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25" w:rsidRDefault="003D5AF6" w:rsidP="003D5AF6">
      <w:pPr>
        <w:jc w:val="center"/>
        <w:rPr>
          <w:sz w:val="40"/>
          <w:szCs w:val="40"/>
        </w:rPr>
      </w:pPr>
      <w:r w:rsidRPr="003D5AF6">
        <w:rPr>
          <w:rFonts w:hint="eastAsia"/>
          <w:sz w:val="40"/>
          <w:szCs w:val="40"/>
        </w:rPr>
        <w:t>User Manual</w:t>
      </w:r>
      <w:r w:rsidRPr="003D5AF6">
        <w:rPr>
          <w:sz w:val="40"/>
          <w:szCs w:val="40"/>
        </w:rPr>
        <w:t xml:space="preserve"> for CRE (Causal Rule Explorer)</w:t>
      </w:r>
    </w:p>
    <w:p w:rsidR="009C15BA" w:rsidRDefault="009C15BA" w:rsidP="009C15BA"/>
    <w:p w:rsidR="00583B16" w:rsidRDefault="009C15BA" w:rsidP="009C15BA">
      <w:pPr>
        <w:pStyle w:val="a4"/>
        <w:numPr>
          <w:ilvl w:val="0"/>
          <w:numId w:val="1"/>
        </w:numPr>
        <w:ind w:firstLineChars="0"/>
      </w:pPr>
      <w:r>
        <w:t xml:space="preserve">Start CRE by double-clicking on the CRE.jar file. Note that Java SE runtime environment (jre7 or later) needs to be installed on the computer before running CRE. </w:t>
      </w:r>
    </w:p>
    <w:p w:rsidR="009C15BA" w:rsidRDefault="00583B16" w:rsidP="009C15BA">
      <w:pPr>
        <w:pStyle w:val="a4"/>
        <w:numPr>
          <w:ilvl w:val="0"/>
          <w:numId w:val="1"/>
        </w:numPr>
        <w:ind w:firstLineChars="0"/>
      </w:pPr>
      <w:r>
        <w:t xml:space="preserve">At the very top of the </w:t>
      </w:r>
      <w:r>
        <w:t xml:space="preserve">CRE </w:t>
      </w:r>
      <w:r>
        <w:t xml:space="preserve">window, </w:t>
      </w:r>
      <w:r>
        <w:t>there</w:t>
      </w:r>
      <w:r>
        <w:t xml:space="preserve"> is a row of tabs.</w:t>
      </w:r>
      <w:r>
        <w:t xml:space="preserve"> When CRE is first started, only the “File” tab is active and the others are greyed out, which</w:t>
      </w:r>
      <w:r w:rsidR="009C15BA">
        <w:t xml:space="preserve"> is shown in Figure 1.</w:t>
      </w:r>
    </w:p>
    <w:p w:rsidR="00AB5290" w:rsidRDefault="00AB5290" w:rsidP="00AB5290">
      <w:pPr>
        <w:jc w:val="center"/>
      </w:pPr>
      <w:r>
        <w:rPr>
          <w:noProof/>
        </w:rPr>
        <w:drawing>
          <wp:inline distT="0" distB="0" distL="0" distR="0" wp14:anchorId="541DF852" wp14:editId="2326DD8B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79" w:rsidRPr="00057A79" w:rsidRDefault="00057A79" w:rsidP="00AB5290">
      <w:pPr>
        <w:jc w:val="center"/>
        <w:rPr>
          <w:sz w:val="20"/>
        </w:rPr>
      </w:pPr>
      <w:r w:rsidRPr="00057A79">
        <w:rPr>
          <w:rFonts w:hint="eastAsia"/>
          <w:sz w:val="20"/>
        </w:rPr>
        <w:t>Figure 1</w:t>
      </w:r>
    </w:p>
    <w:p w:rsidR="00D6189C" w:rsidRDefault="00C76B8B" w:rsidP="009C15BA">
      <w:pPr>
        <w:pStyle w:val="a4"/>
        <w:numPr>
          <w:ilvl w:val="0"/>
          <w:numId w:val="1"/>
        </w:numPr>
        <w:ind w:firstLineChars="0"/>
      </w:pPr>
      <w:r>
        <w:t>After selecting an input data set, the other tabs become active</w:t>
      </w:r>
      <w:r w:rsidR="00E473F5">
        <w:t>, if the corresponding algorithms can handle this data set. (</w:t>
      </w:r>
      <w:r w:rsidR="00E473F5">
        <w:t xml:space="preserve">Click the question mark </w:t>
      </w:r>
      <w:r w:rsidR="00E473F5">
        <w:t>next to “Open file” button for more details.)</w:t>
      </w:r>
    </w:p>
    <w:p w:rsidR="00057A79" w:rsidRDefault="00057A79" w:rsidP="00057A79">
      <w:pPr>
        <w:jc w:val="center"/>
      </w:pPr>
      <w:r>
        <w:rPr>
          <w:noProof/>
        </w:rPr>
        <w:lastRenderedPageBreak/>
        <w:drawing>
          <wp:inline distT="0" distB="0" distL="0" distR="0" wp14:anchorId="5058B818" wp14:editId="041E558F">
            <wp:extent cx="5274310" cy="3978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79" w:rsidRPr="00057A79" w:rsidRDefault="00057A79" w:rsidP="00057A79">
      <w:pPr>
        <w:jc w:val="center"/>
        <w:rPr>
          <w:sz w:val="20"/>
        </w:rPr>
      </w:pPr>
      <w:r w:rsidRPr="00057A79">
        <w:rPr>
          <w:rFonts w:hint="eastAsia"/>
          <w:sz w:val="20"/>
        </w:rPr>
        <w:t>Figure 2</w:t>
      </w:r>
    </w:p>
    <w:p w:rsidR="00C76B8B" w:rsidRDefault="00C76B8B" w:rsidP="00C76B8B">
      <w:r>
        <w:t xml:space="preserve">Now we use the CDT algorithm as an example to </w:t>
      </w:r>
      <w:r w:rsidR="00E473F5" w:rsidRPr="00E473F5">
        <w:t xml:space="preserve">demonstrate how to use CRE </w:t>
      </w:r>
      <w:r w:rsidR="00E473F5">
        <w:t>for causal discovery.</w:t>
      </w:r>
    </w:p>
    <w:p w:rsidR="00C76B8B" w:rsidRDefault="00C76B8B" w:rsidP="00E473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Open the </w:t>
      </w:r>
      <w:r>
        <w:t>input file. Double-click the “Open file...” button and select an</w:t>
      </w:r>
      <w:r w:rsidR="00E473F5">
        <w:t xml:space="preserve"> input file. See Figure 1.</w:t>
      </w:r>
    </w:p>
    <w:p w:rsidR="00C76B8B" w:rsidRDefault="00C76B8B" w:rsidP="00E473F5">
      <w:pPr>
        <w:pStyle w:val="a4"/>
        <w:numPr>
          <w:ilvl w:val="0"/>
          <w:numId w:val="2"/>
        </w:numPr>
        <w:ind w:firstLineChars="0"/>
      </w:pPr>
      <w:r>
        <w:t xml:space="preserve">Once the tabs are active, click them to select a specific algorithm, </w:t>
      </w:r>
      <w:r w:rsidR="00E473F5">
        <w:t>i.e</w:t>
      </w:r>
      <w:r>
        <w:t>. CDT in</w:t>
      </w:r>
      <w:r w:rsidR="00E473F5">
        <w:t xml:space="preserve"> this example. See </w:t>
      </w:r>
      <w:r>
        <w:t>Figure 2.</w:t>
      </w:r>
    </w:p>
    <w:p w:rsidR="00057A79" w:rsidRDefault="00057A79" w:rsidP="00E473F5">
      <w:pPr>
        <w:pStyle w:val="a4"/>
        <w:numPr>
          <w:ilvl w:val="0"/>
          <w:numId w:val="2"/>
        </w:numPr>
        <w:ind w:firstLineChars="0"/>
      </w:pPr>
      <w:r>
        <w:t>Configure the options and parameters on the left-top panel. Click question mark for help.</w:t>
      </w:r>
    </w:p>
    <w:p w:rsidR="00057A79" w:rsidRDefault="00057A79" w:rsidP="00E473F5">
      <w:pPr>
        <w:pStyle w:val="a4"/>
        <w:numPr>
          <w:ilvl w:val="0"/>
          <w:numId w:val="2"/>
        </w:numPr>
        <w:ind w:firstLineChars="0"/>
      </w:pPr>
      <w:r>
        <w:t xml:space="preserve">Click the </w:t>
      </w:r>
      <w:r w:rsidR="00C41226">
        <w:t>“Start” button</w:t>
      </w:r>
      <w:r w:rsidR="00456DB2">
        <w:t xml:space="preserve"> to run the algorithm</w:t>
      </w:r>
      <w:r w:rsidR="00C41226">
        <w:t>.</w:t>
      </w:r>
    </w:p>
    <w:p w:rsidR="00C6390D" w:rsidRDefault="00C6390D" w:rsidP="00E473F5">
      <w:pPr>
        <w:pStyle w:val="a4"/>
        <w:numPr>
          <w:ilvl w:val="0"/>
          <w:numId w:val="2"/>
        </w:numPr>
        <w:ind w:firstLineChars="0"/>
      </w:pPr>
      <w:r>
        <w:t xml:space="preserve">Obtain the results. The results are </w:t>
      </w:r>
      <w:r w:rsidR="00442DA7">
        <w:t>displayed with both text (</w:t>
      </w:r>
      <w:r w:rsidR="00442DA7">
        <w:t>Figure 3</w:t>
      </w:r>
      <w:r w:rsidR="00442DA7">
        <w:t>) and diagram</w:t>
      </w:r>
      <w:r>
        <w:t xml:space="preserve"> </w:t>
      </w:r>
      <w:r w:rsidR="00442DA7">
        <w:t>(</w:t>
      </w:r>
      <w:r>
        <w:t>Figure 4</w:t>
      </w:r>
      <w:r w:rsidR="00442DA7">
        <w:t>)</w:t>
      </w:r>
      <w:r>
        <w:t>.</w:t>
      </w:r>
    </w:p>
    <w:p w:rsidR="00C6390D" w:rsidRDefault="00C6390D" w:rsidP="00C6390D">
      <w:pPr>
        <w:jc w:val="center"/>
      </w:pPr>
      <w:r>
        <w:rPr>
          <w:noProof/>
        </w:rPr>
        <w:lastRenderedPageBreak/>
        <w:drawing>
          <wp:inline distT="0" distB="0" distL="0" distR="0" wp14:anchorId="53646904" wp14:editId="643224F9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0D" w:rsidRDefault="00C6390D" w:rsidP="00C6390D">
      <w:pPr>
        <w:jc w:val="center"/>
        <w:rPr>
          <w:sz w:val="20"/>
        </w:rPr>
      </w:pPr>
      <w:r w:rsidRPr="00C6390D">
        <w:rPr>
          <w:rFonts w:hint="eastAsia"/>
          <w:sz w:val="20"/>
        </w:rPr>
        <w:t>Figure 3</w:t>
      </w:r>
    </w:p>
    <w:p w:rsidR="00C6390D" w:rsidRDefault="00C6390D" w:rsidP="00C6390D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C5BE474" wp14:editId="14789261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0D" w:rsidRPr="00C6390D" w:rsidRDefault="00C6390D" w:rsidP="00C6390D">
      <w:pPr>
        <w:jc w:val="center"/>
        <w:rPr>
          <w:sz w:val="20"/>
        </w:rPr>
      </w:pPr>
      <w:r>
        <w:rPr>
          <w:rFonts w:hint="eastAsia"/>
          <w:sz w:val="20"/>
        </w:rPr>
        <w:t>Figure 4</w:t>
      </w:r>
    </w:p>
    <w:p w:rsidR="00C6390D" w:rsidRPr="003D5AF6" w:rsidRDefault="00C6390D" w:rsidP="00E473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</w:t>
      </w:r>
      <w:r>
        <w:t>h</w:t>
      </w:r>
      <w:r>
        <w:rPr>
          <w:rFonts w:hint="eastAsia"/>
        </w:rPr>
        <w:t>e history results are on</w:t>
      </w:r>
      <w:r>
        <w:t xml:space="preserve"> the left-bottom panel. Click the item and results will show on the right panel.</w:t>
      </w:r>
      <w:bookmarkStart w:id="0" w:name="_GoBack"/>
      <w:bookmarkEnd w:id="0"/>
    </w:p>
    <w:sectPr w:rsidR="00C6390D" w:rsidRPr="003D5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0464"/>
    <w:multiLevelType w:val="hybridMultilevel"/>
    <w:tmpl w:val="E0326F8E"/>
    <w:lvl w:ilvl="0" w:tplc="98A6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84B18"/>
    <w:multiLevelType w:val="hybridMultilevel"/>
    <w:tmpl w:val="E0326F8E"/>
    <w:lvl w:ilvl="0" w:tplc="98A6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F6"/>
    <w:rsid w:val="00057A79"/>
    <w:rsid w:val="003D5AF6"/>
    <w:rsid w:val="00442DA7"/>
    <w:rsid w:val="00456DB2"/>
    <w:rsid w:val="00583B16"/>
    <w:rsid w:val="006F0DAE"/>
    <w:rsid w:val="00815E25"/>
    <w:rsid w:val="0093366A"/>
    <w:rsid w:val="009C15BA"/>
    <w:rsid w:val="00AB5290"/>
    <w:rsid w:val="00C41226"/>
    <w:rsid w:val="00C6390D"/>
    <w:rsid w:val="00C76B8B"/>
    <w:rsid w:val="00C8361F"/>
    <w:rsid w:val="00D6189C"/>
    <w:rsid w:val="00E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272A"/>
  <w15:chartTrackingRefBased/>
  <w15:docId w15:val="{14A99EEB-A4B1-46D6-BBB4-FED2ADF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AF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D5AF6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C1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Yizhao Han</dc:creator>
  <cp:keywords/>
  <dc:description/>
  <cp:lastModifiedBy>Ma, Saisai - maysy020</cp:lastModifiedBy>
  <cp:revision>2</cp:revision>
  <dcterms:created xsi:type="dcterms:W3CDTF">2017-08-04T06:23:00Z</dcterms:created>
  <dcterms:modified xsi:type="dcterms:W3CDTF">2017-08-04T06:23:00Z</dcterms:modified>
</cp:coreProperties>
</file>