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DENİZCİLİK DANIŞMANLIK ŞİRKETİ</w:t>
      </w:r>
    </w:p>
    <w:p>
      <w:pPr>
        <w:spacing w:after="200"/>
        <w:jc w:val="center"/>
      </w:pPr>
      <w:r>
        <w:rPr>
          <w:i/>
          <w:iCs/>
          <w:color w:val="595959"/>
          <w:sz w:val="32"/>
          <w:szCs w:val="32"/>
        </w:rPr>
        <w:t xml:space="preserve">İş Planı, Pazar Analizi ve Hizmet Portföyü</w:t>
      </w:r>
    </w:p>
    <w:p>
      <w:pPr>
        <w:spacing w:after="200" w:before="600"/>
        <w:jc w:val="center"/>
      </w:pPr>
      <w:r>
        <w:rPr>
          <w:b/>
          <w:bCs/>
          <w:sz w:val="28"/>
          <w:szCs w:val="28"/>
        </w:rPr>
        <w:t xml:space="preserve">Odak Alanları</w:t>
      </w:r>
    </w:p>
    <w:p>
      <w:pPr>
        <w:spacing w:after="80"/>
        <w:jc w:val="center"/>
      </w:pPr>
      <w:r>
        <w:rPr>
          <w:sz w:val="26"/>
          <w:szCs w:val="26"/>
        </w:rPr>
        <w:t xml:space="preserve">Söküm Tersanesi Süreçleri  •  Tersane Operasyonları</w:t>
      </w:r>
    </w:p>
    <w:p>
      <w:pPr>
        <w:spacing w:after="80"/>
        <w:jc w:val="center"/>
      </w:pPr>
      <w:r>
        <w:rPr>
          <w:sz w:val="26"/>
          <w:szCs w:val="26"/>
        </w:rPr>
        <w:t xml:space="preserve">Ticari ve Hukuki Danışmanlık  •  HKC / EU SRR Uyumu</w:t>
      </w:r>
    </w:p>
    <w:p>
      <w:pPr>
        <w:spacing w:after="100" w:before="1200"/>
        <w:jc w:val="center"/>
      </w:pPr>
      <w:r>
        <w:rPr>
          <w:i/>
          <w:iCs/>
          <w:color w:val="595959"/>
          <w:sz w:val="22"/>
          <w:szCs w:val="22"/>
        </w:rPr>
        <w:t xml:space="preserve">Hedef Pazar: Armatörler &amp; Uluslararası Brokerlar / Cash Buyer'lar</w:t>
      </w:r>
    </w:p>
    <w:p>
      <w:pPr>
        <w:spacing w:before="1800"/>
        <w:jc w:val="center"/>
      </w:pPr>
      <w:r>
        <w:rPr>
          <w:color w:val="595959"/>
          <w:sz w:val="24"/>
          <w:szCs w:val="24"/>
        </w:rPr>
        <w:t xml:space="preserve">Mayıs 2026</w:t>
      </w:r>
    </w:p>
    <w:p>
      <w:r>
        <w:br w:type="page"/>
      </w:r>
    </w:p>
    <w:p>
      <w:pPr>
        <w:pStyle w:val="Heading1"/>
        <w:spacing w:after="200" w:before="360"/>
      </w:pPr>
      <w:r>
        <w:rPr>
          <w:b/>
          <w:bCs/>
          <w:color w:val="1F4E79"/>
          <w:sz w:val="36"/>
          <w:szCs w:val="36"/>
        </w:rPr>
        <w:t xml:space="preserve">1. Yönetici Özeti</w:t>
      </w:r>
    </w:p>
    <w:p>
      <w:pPr>
        <w:spacing w:after="120" w:line="300"/>
        <w:jc w:val="both"/>
      </w:pPr>
      <w:r>
        <w:t xml:space="preserve">Şirketimiz, Türkiye merkezli, gemi söküm tersanesi süreçleri ile tersane operasyonlarına odaklanan; armatörlere, uluslararası brokerlara ve cash buyer firmalarına ticari ve hukuki danışmanlık sunan butik bir denizcilik danışmanlık şirketi olarak konumlanacaktır.</w:t>
      </w:r>
    </w:p>
    <w:p>
      <w:pPr>
        <w:spacing w:after="120" w:line="300"/>
        <w:jc w:val="both"/>
      </w:pPr>
      <w:r>
        <w:t xml:space="preserve">Hong Kong Konvansiyonu’nun (HKC) 26 Haziran 2025 itibarıyla yürürlüğe girmesi ve AB Gemi Geri Dönüşüm Tüzüğü’nün (EU SRR) varlığı, armatörlerin ve cash buyer’ların artık yalnızca fiyat değil; sertifikasyon, izlenebilirlik, çevre ve iş güvenliği uyumu temelinde bir tersane seçimi yapmasını zorunlu kılmıştır. Bu zorunluluk, sektörde uzmanlaşmış bağımsız bir danışmanlık şirketi için belirgin bir pazar boşluğu yaratmaktadır.</w:t>
      </w:r>
    </w:p>
    <w:p>
      <w:pPr>
        <w:spacing w:after="120" w:line="300"/>
        <w:jc w:val="both"/>
      </w:pPr>
      <w:r>
        <w:t xml:space="preserve">Türkiye, Aliağa bölgesinde yoğunlaşan tersaneleri ile dünyada AB onaylı listede çok sayıda tesise sahip ülkelerden biri konumundadır. Aliağa, yıllık 1+ milyon LDT söküm kapasitesi ile global ölçekte önemli bir oyuncudur ve özellikle AB bayraklı gemiler ile yeşil söküm gerektiren tonajlar için tercih edilen yargı bölgesi haline gelmiştir.</w:t>
      </w:r>
    </w:p>
    <w:p>
      <w:pPr>
        <w:spacing w:after="120" w:line="300"/>
        <w:jc w:val="both"/>
      </w:pPr>
      <w:r>
        <w:t xml:space="preserve">Hizmet portföyümüz; gemi alım–söküm anlaşması müzakeresi, IHM (Tehlikeli Maddeler Envanteri) yönetimi, Söküm Planı (SRP) hazırlığı, Hong Kong / EU SRR uyum denetimi, tersane operasyon süreçlerinin tasarımı ile uluslararası nakliye, gümrük ve sözleşmesel risk yönetimini kapsar.</w:t>
      </w:r>
    </w:p>
    <w:p>
      <w:pPr>
        <w:spacing w:after="120" w:line="300"/>
        <w:jc w:val="both"/>
      </w:pPr>
      <w:r>
        <w:t xml:space="preserve">İlk 12 ay için hedef: en az 4–6 söküm projesinde danışmanlık, 2 tersanede süreç dönüşüm projesi ve 8–12 IHM/yeşil pasaport sertifikasyon desteği. Bu hacim, kurucu ortak + 2 kıdemli + 1 destek personeli ile yönetilebilir bir gelir tabanı oluşturur.</w:t>
      </w:r>
    </w:p>
    <w:p>
      <w:pPr>
        <w:spacing w:after="60"/>
      </w:pPr>
      <w:r>
        <w:t xml:space="preserve"/>
      </w:r>
    </w:p>
    <w:p>
      <w:pPr>
        <w:pStyle w:val="Heading1"/>
        <w:spacing w:after="200" w:before="360"/>
      </w:pPr>
      <w:r>
        <w:rPr>
          <w:b/>
          <w:bCs/>
          <w:color w:val="1F4E79"/>
          <w:sz w:val="36"/>
          <w:szCs w:val="36"/>
        </w:rPr>
        <w:t xml:space="preserve">2. Sektör ve Pazar Analizi</w:t>
      </w:r>
    </w:p>
    <w:p>
      <w:pPr>
        <w:pStyle w:val="Heading2"/>
        <w:spacing w:after="140" w:before="280"/>
      </w:pPr>
      <w:r>
        <w:rPr>
          <w:b/>
          <w:bCs/>
          <w:color w:val="1F4E79"/>
          <w:sz w:val="28"/>
          <w:szCs w:val="28"/>
        </w:rPr>
        <w:t xml:space="preserve">2.1. Türkiye Denizcilik Sektörünün Konumu</w:t>
      </w:r>
    </w:p>
    <w:p>
      <w:pPr>
        <w:spacing w:after="120" w:line="300"/>
        <w:jc w:val="both"/>
      </w:pPr>
      <w:r>
        <w:t xml:space="preserve">Türkiye, gemi–yat ihracatında dünyanın ilk on ülkesi arasında konumlanmaktadır. 2025'te 2,24 milyar USD ihracat hacmine ulaşan sektör, bir önceki yıla göre %17,38'lik büyüme kaydederek tüm sanayi sektörleri arasında en hızlı büyüyen birinci sektör konumuna yükselmiştir. Bu büyüme, gemi inşa, bakım–onarım ve söküm tersanelerinin sürdürülebilir ve daha uyumlu süreçlere geçişini hem itici güç hem de fırsat haline getirmektedir.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Gösterge</w:t>
            </w:r>
          </w:p>
        </w:tc>
        <w:tc>
          <w:tcPr>
            <w:tcW w:type="dxa" w:w="6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2025 / 2026 Durumu</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Türkiye gemi &amp; yat ihracatı</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2,24 milyar USD (2025); yıllık %17,38 artış. Sanayi sektörleri arasında en hızlı büyüyen birinci sektör.</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Tersane kapasiteleri</w:t>
            </w:r>
          </w:p>
        </w:tc>
        <w:tc>
          <w:tcPr>
            <w:tcW w:type="dxa" w:w="6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Çelik işleme: 700.000 ton/yıl • Yeni inşa: 2 milyon DWT/yıl • Bakım–onarım: 46,4 milyon DWT/yıl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Aliağa söküm bölgesi</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Türkiye söküm sektörünün merkezi. AB onaylı tesisler bakımından dünyada en yüksek sayıdaki yargı bölgelerinden biri. 2025'te toplam tonaj düşüşü, 2026'da toparlanma beklentisi.</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LDT fiyatları (2026)</w:t>
            </w:r>
          </w:p>
        </w:tc>
        <w:tc>
          <w:tcPr>
            <w:tcW w:type="dxa" w:w="6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Türkiye: Konteyner ~290 USD/LDT • Tanker ~280 USD/LDT • Bulker ~270 USD/LDT. Güney Asya'ya kıyasla mainstream tonajda fiyatta dezavantaj, yeşil tonajda avantaj.</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Aliağa limanları</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2025 Ocak–Kasım: 5.701 gemi uğrağı; 80,57 milyon ton net yük (yıllık %3,31 artış); Türkiye'de net ton bazında liderlik.</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Düzenleyici ortam</w:t>
            </w:r>
          </w:p>
        </w:tc>
        <w:tc>
          <w:tcPr>
            <w:tcW w:type="dxa" w:w="6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HKC 26 Haziran 2025'te yürürlüğe girdi. 500 GT üzeri gemiler için ICIHM zorunluluğu en geç 26 Haziran 2030. EU SRR ek olarak 15 tehlikeli madde listesi ve AB onaylı tesis zorunluluğu getiriyor.</w:t>
            </w:r>
          </w:p>
        </w:tc>
      </w:tr>
    </w:tbl>
    <w:p>
      <w:pPr>
        <w:spacing w:after="60"/>
      </w:pPr>
      <w:r>
        <w:t xml:space="preserve"/>
      </w:r>
    </w:p>
    <w:p>
      <w:pPr>
        <w:pStyle w:val="Heading2"/>
        <w:spacing w:after="140" w:before="280"/>
      </w:pPr>
      <w:r>
        <w:rPr>
          <w:b/>
          <w:bCs/>
          <w:color w:val="1F4E79"/>
          <w:sz w:val="28"/>
          <w:szCs w:val="28"/>
        </w:rPr>
        <w:t xml:space="preserve">2.2. Söküm Tersanesi Sektörü ve Aliağa</w:t>
      </w:r>
    </w:p>
    <w:p>
      <w:pPr>
        <w:spacing w:after="120" w:line="300"/>
        <w:jc w:val="both"/>
      </w:pPr>
      <w:r>
        <w:t xml:space="preserve">Aliağa, İzmir'in yaklaşık 50 km kuzeyinde, devlete ait endüstri bölgesinde özel şirketlere kiralanan parsellerde faaliyet gösteren bir kümelenmedir. Kira sözleşmelerinin önemli bir kısmının 2026'da yenilenme/uzatma sürecine girmesi, sektörde hem belirsizlik hem de yeniden yapılanma fırsatı oluşturmaktadır.</w:t>
      </w:r>
    </w:p>
    <w:p>
      <w:pPr>
        <w:spacing w:after="120" w:line="300"/>
        <w:jc w:val="both"/>
      </w:pPr>
      <w:r>
        <w:t xml:space="preserve">Sektör son iki yılda gemi adedi ve LDT bazında küçülmüş; 2026 yılı için sektör temsilcileri toparlanma öngörmektedir. Türkiye'nin esas rekabet avantajı, AB onaylı tesis sayısı, AB ve Akdeniz pazarına coğrafi yakınlık ve sertifikasyon konusundaki olgunluğudur.</w:t>
      </w:r>
    </w:p>
    <w:p>
      <w:pPr>
        <w:pStyle w:val="Heading2"/>
        <w:spacing w:after="140" w:before="280"/>
      </w:pPr>
      <w:r>
        <w:rPr>
          <w:b/>
          <w:bCs/>
          <w:color w:val="1F4E79"/>
          <w:sz w:val="28"/>
          <w:szCs w:val="28"/>
        </w:rPr>
        <w:t xml:space="preserve">2.3. Düzenleyici Çerçeve – Fırsat Penceresi</w:t>
      </w:r>
    </w:p>
    <w:p>
      <w:pPr>
        <w:pStyle w:val="ListParagraph"/>
        <w:numPr>
          <w:ilvl w:val="0"/>
          <w:numId w:val="2"/>
        </w:numPr>
        <w:spacing w:after="80" w:line="280"/>
      </w:pPr>
      <w:r>
        <w:rPr>
          <w:b/>
          <w:bCs/>
        </w:rPr>
        <w:t xml:space="preserve">Hong Kong Konvansiyonu (HKC): </w:t>
      </w:r>
      <w:r>
        <w:t xml:space="preserve">26 Haziran 2025'te yürürlüğe girdi. 500 GT üzeri tüm gemiler için ICIHM (Tehlikeli Maddeler Envanteri Uluslararası Sertifikası) gereksinimi en geç 26 Haziran 2030 tarihine kadar zorunlu.</w:t>
      </w:r>
    </w:p>
    <w:p>
      <w:pPr>
        <w:pStyle w:val="ListParagraph"/>
        <w:numPr>
          <w:ilvl w:val="0"/>
          <w:numId w:val="2"/>
        </w:numPr>
        <w:spacing w:after="80" w:line="280"/>
      </w:pPr>
      <w:r>
        <w:rPr>
          <w:b/>
          <w:bCs/>
        </w:rPr>
        <w:t xml:space="preserve">EU SRR (Gemi Geri Dönüşüm Tüzüğü): </w:t>
      </w:r>
      <w:r>
        <w:t xml:space="preserve">AB / EEA bayraklı veya AB limanına uğrayan gemiler için AB onaylı tesis listesi zorunluluğu. 15 tehlikeli madde (HKC'den 2 fazla).</w:t>
      </w:r>
    </w:p>
    <w:p>
      <w:pPr>
        <w:pStyle w:val="ListParagraph"/>
        <w:numPr>
          <w:ilvl w:val="0"/>
          <w:numId w:val="2"/>
        </w:numPr>
        <w:spacing w:after="80" w:line="280"/>
      </w:pPr>
      <w:r>
        <w:rPr>
          <w:b/>
          <w:bCs/>
        </w:rPr>
        <w:t xml:space="preserve">Basel Konvansiyonu: </w:t>
      </w:r>
      <w:r>
        <w:t xml:space="preserve">Sınır ötesi tehlikeli atık taşımacılığı çerçevesi; özellikle son seyir öncesi bayrak değişikliği ve transit limanlar için kritik.</w:t>
      </w:r>
    </w:p>
    <w:p>
      <w:pPr>
        <w:spacing w:after="120" w:line="300"/>
        <w:jc w:val="both"/>
      </w:pPr>
      <w:r>
        <w:t xml:space="preserve">Bu üçlü düzenleyici çerçeve, armatörlerin söküm kararını artık fiyat değil; uyum, izlenebilirlik ve itibar riski temelinde almalarını gerektirmektedir. Tersaneler için ise hem uyum hem süreç optimizasyonu konusunda bağımsız danışman ihtiyacı kalıcı hale gelmektedir.</w:t>
      </w:r>
    </w:p>
    <w:p>
      <w:pPr>
        <w:pStyle w:val="Heading2"/>
        <w:spacing w:after="140" w:before="280"/>
      </w:pPr>
      <w:r>
        <w:rPr>
          <w:b/>
          <w:bCs/>
          <w:color w:val="1F4E79"/>
          <w:sz w:val="28"/>
          <w:szCs w:val="28"/>
        </w:rPr>
        <w:t xml:space="preserve">2.4. Rakip Analizi</w:t>
      </w:r>
    </w:p>
    <w:p>
      <w:pPr>
        <w:pStyle w:val="ListParagraph"/>
        <w:numPr>
          <w:ilvl w:val="0"/>
          <w:numId w:val="2"/>
        </w:numPr>
        <w:spacing w:after="80" w:line="280"/>
      </w:pPr>
      <w:r>
        <w:rPr>
          <w:b/>
          <w:bCs/>
        </w:rPr>
        <w:t xml:space="preserve">Uluslararası cash buyer'lar (GMS, Wirana, Best Oasis): </w:t>
      </w:r>
      <w:r>
        <w:t xml:space="preserve">Çok güçlü pozisyondalar ancak tersane–armatör arasında bağımsız uyum danışmanlığı yapmıyorlar. İşbirliği fırsatı yaratıyorlar.</w:t>
      </w:r>
    </w:p>
    <w:p>
      <w:pPr>
        <w:pStyle w:val="ListParagraph"/>
        <w:numPr>
          <w:ilvl w:val="0"/>
          <w:numId w:val="2"/>
        </w:numPr>
        <w:spacing w:after="80" w:line="280"/>
      </w:pPr>
      <w:r>
        <w:rPr>
          <w:b/>
          <w:bCs/>
        </w:rPr>
        <w:t xml:space="preserve">Klas kuruluşları (DNV, LR, BV, RINA, ClassNK): </w:t>
      </w:r>
      <w:r>
        <w:t xml:space="preserve">IHM sertifikasyonu ve denetim yapıyor; ancak operasyonel danışmanlık ve sözleşme tarafı çalışmaları kapsam dışı.</w:t>
      </w:r>
    </w:p>
    <w:p>
      <w:pPr>
        <w:pStyle w:val="ListParagraph"/>
        <w:numPr>
          <w:ilvl w:val="0"/>
          <w:numId w:val="2"/>
        </w:numPr>
        <w:spacing w:after="80" w:line="280"/>
      </w:pPr>
      <w:r>
        <w:rPr>
          <w:b/>
          <w:bCs/>
        </w:rPr>
        <w:t xml:space="preserve">Yerli mühendislik firmaları: </w:t>
      </w:r>
      <w:r>
        <w:t xml:space="preserve">Çevre danışmanlığı, ÇED, İSG odaklı; HKC/EU SRR ve uluslararası sözleşme tarafında genellikle uzmanlık zayıf.</w:t>
      </w:r>
    </w:p>
    <w:p>
      <w:pPr>
        <w:pStyle w:val="ListParagraph"/>
        <w:numPr>
          <w:ilvl w:val="0"/>
          <w:numId w:val="2"/>
        </w:numPr>
        <w:spacing w:after="80" w:line="280"/>
      </w:pPr>
      <w:r>
        <w:rPr>
          <w:b/>
          <w:bCs/>
        </w:rPr>
        <w:t xml:space="preserve">Yerli hukuk büroları: </w:t>
      </w:r>
      <w:r>
        <w:t xml:space="preserve">Sözleşme tarafında güçlü ancak operasyonel tersane süreçlerine entegre değiller.</w:t>
      </w:r>
    </w:p>
    <w:p>
      <w:pPr>
        <w:spacing w:after="120" w:line="300"/>
        <w:jc w:val="both"/>
      </w:pPr>
      <w:r>
        <w:t xml:space="preserve">Pozisyonumuz: bu dört oyuncunun arasındaki entegrasyon boşluğunu dolduran, tersane sahasını bilen + sözleşmeyi okuyan + regülasyonu yorumlayan butik bir merkez.</w:t>
      </w:r>
    </w:p>
    <w:p>
      <w:pPr>
        <w:spacing w:after="60"/>
      </w:pPr>
      <w:r>
        <w:t xml:space="preserve"/>
      </w:r>
    </w:p>
    <w:p>
      <w:pPr>
        <w:pStyle w:val="Heading1"/>
        <w:spacing w:after="200" w:before="360"/>
      </w:pPr>
      <w:r>
        <w:rPr>
          <w:b/>
          <w:bCs/>
          <w:color w:val="1F4E79"/>
          <w:sz w:val="36"/>
          <w:szCs w:val="36"/>
        </w:rPr>
        <w:t xml:space="preserve">3. Hizmet Portföyü</w:t>
      </w:r>
    </w:p>
    <w:p>
      <w:pPr>
        <w:spacing w:after="120" w:line="300"/>
        <w:jc w:val="both"/>
      </w:pPr>
      <w:r>
        <w:t xml:space="preserve">Hizmet portföyümüz iki ana eksen üzerine kuruludur: (i) bir geminin söküme gönderilmesi sürecinde armatör/cash buyer tarafında end-to-end proje yönetimi, ve (ii) tersanenin uluslararası standartlara uyumlu, izlenebilir ve sürdürülebilir bir operasyon kurması için süreç dönüşüm danışmanlığı. Aşağıdaki tablo ana hizmet gruplarını özetlemektedir.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Hizmet Grubu</w:t>
            </w:r>
          </w:p>
        </w:tc>
        <w:tc>
          <w:tcPr>
            <w:tcW w:type="dxa" w:w="4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Kapsam</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Tipik Süre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Söküm Proje Danışmanlığı</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Tersane seçimi, fiyat müzakere desteği, MoA hazırlığı, sözleşme yönetimi, son seyir koordinasyonu.</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4–8 hafta</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HKC / EU SRR Uyum</w:t>
            </w:r>
          </w:p>
        </w:tc>
        <w:tc>
          <w:tcPr>
            <w:tcW w:type="dxa" w:w="4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IHM Bölüm I/II/III, ICIHM sertifika süreç desteği, SRFP / SRP hazırlığı, Final Survey rehberliği.</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6–12 hafta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Tersane Operasyon Tasarımı</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Söküm planı, iş akış optimizasyonu, vinç/ekipman planlaması, KPI/SLA sistemleri.</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8–16 hafta</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Ticari &amp; Hukuki Danışmanlık</w:t>
            </w:r>
          </w:p>
        </w:tc>
        <w:tc>
          <w:tcPr>
            <w:tcW w:type="dxa" w:w="4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BIMCO RECYCLECON / DEMOLISHCON şablon uyarlamaları, Basel uyumu, gümrük süreçleri, P&amp;I/Cargo claim koordinasyonu.</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Proje bazlı</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Cash Buyer / Broker Desteği</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Türkiye yargı bölgesi due diligence, tersane denetim raporları, son seyir lojistiği.</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İşlem bazlı</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Eğitim &amp; Sertifikasyon</w:t>
            </w:r>
          </w:p>
        </w:tc>
        <w:tc>
          <w:tcPr>
            <w:tcW w:type="dxa" w:w="4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Tersane personeli için HKC, İSG, asbest farkındalık eğitimleri; armatör operasyon ekipleri için ICIHM workshopları.</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Modüler</w:t>
            </w:r>
          </w:p>
        </w:tc>
      </w:tr>
    </w:tbl>
    <w:p>
      <w:pPr>
        <w:spacing w:after="60"/>
      </w:pPr>
      <w:r>
        <w:t xml:space="preserve"/>
      </w:r>
    </w:p>
    <w:p>
      <w:pPr>
        <w:pStyle w:val="Heading2"/>
        <w:spacing w:after="140" w:before="280"/>
      </w:pPr>
      <w:r>
        <w:rPr>
          <w:b/>
          <w:bCs/>
          <w:color w:val="1F4E79"/>
          <w:sz w:val="28"/>
          <w:szCs w:val="28"/>
        </w:rPr>
        <w:t xml:space="preserve">3.1. Söküm Proje Danışmanlığı (Armatör Tarafı)</w:t>
      </w:r>
    </w:p>
    <w:p>
      <w:pPr>
        <w:pStyle w:val="ListParagraph"/>
        <w:numPr>
          <w:ilvl w:val="0"/>
          <w:numId w:val="2"/>
        </w:numPr>
        <w:spacing w:after="80" w:line="280"/>
      </w:pPr>
      <w:r>
        <w:rPr>
          <w:b/>
          <w:bCs/>
        </w:rPr>
        <w:t xml:space="preserve">Tersane seçimi &amp; due diligence: </w:t>
      </w:r>
      <w:r>
        <w:t xml:space="preserve">Aliağa'daki tesisler arasında HKC/EU SRR statüsü, kapasite, geçmiş referansları ve İSG kayıtları temelinde karşılaştırmalı analiz raporu hazırlanması.</w:t>
      </w:r>
    </w:p>
    <w:p>
      <w:pPr>
        <w:pStyle w:val="ListParagraph"/>
        <w:numPr>
          <w:ilvl w:val="0"/>
          <w:numId w:val="2"/>
        </w:numPr>
        <w:spacing w:after="80" w:line="280"/>
      </w:pPr>
      <w:r>
        <w:rPr>
          <w:b/>
          <w:bCs/>
        </w:rPr>
        <w:t xml:space="preserve">Fiyat müzakeresi &amp; MoA: </w:t>
      </w:r>
      <w:r>
        <w:t xml:space="preserve">Cash buyer veya doğrudan tersane ile yapılacak Memorandum of Agreement (MoA) görüşmelerinde armatörü temsil; BIMCO RECYCLECON / DEMOLISHCON formlarının özelleştirilmesi.</w:t>
      </w:r>
    </w:p>
    <w:p>
      <w:pPr>
        <w:pStyle w:val="ListParagraph"/>
        <w:numPr>
          <w:ilvl w:val="0"/>
          <w:numId w:val="2"/>
        </w:numPr>
        <w:spacing w:after="80" w:line="280"/>
      </w:pPr>
      <w:r>
        <w:rPr>
          <w:b/>
          <w:bCs/>
        </w:rPr>
        <w:t xml:space="preserve">Son seyir (final voyage): </w:t>
      </w:r>
      <w:r>
        <w:t xml:space="preserve">Söküm noktasına son seyir planlaması, bayrak değişikliği, sigorta, P&amp;I ve klas sürelerinin koordinasyonu.</w:t>
      </w:r>
    </w:p>
    <w:p>
      <w:pPr>
        <w:pStyle w:val="ListParagraph"/>
        <w:numPr>
          <w:ilvl w:val="0"/>
          <w:numId w:val="2"/>
        </w:numPr>
        <w:spacing w:after="80" w:line="280"/>
      </w:pPr>
      <w:r>
        <w:rPr>
          <w:b/>
          <w:bCs/>
        </w:rPr>
        <w:t xml:space="preserve">Final Survey desteği: </w:t>
      </w:r>
      <w:r>
        <w:t xml:space="preserve">Tersane teslim töreni; gerekli sertifikaların doğrulanması (Statement of Completion of Ship Recycling).</w:t>
      </w:r>
    </w:p>
    <w:p>
      <w:pPr>
        <w:pStyle w:val="Heading2"/>
        <w:spacing w:after="140" w:before="280"/>
      </w:pPr>
      <w:r>
        <w:rPr>
          <w:b/>
          <w:bCs/>
          <w:color w:val="1F4E79"/>
          <w:sz w:val="28"/>
          <w:szCs w:val="28"/>
        </w:rPr>
        <w:t xml:space="preserve">3.2. HKC / EU SRR Uyum Danışmanlığı</w:t>
      </w:r>
    </w:p>
    <w:p>
      <w:pPr>
        <w:pStyle w:val="ListParagraph"/>
        <w:numPr>
          <w:ilvl w:val="0"/>
          <w:numId w:val="2"/>
        </w:numPr>
        <w:spacing w:after="80" w:line="280"/>
      </w:pPr>
      <w:r>
        <w:rPr>
          <w:b/>
          <w:bCs/>
        </w:rPr>
        <w:t xml:space="preserve">IHM Bölüm I: </w:t>
      </w:r>
      <w:r>
        <w:t xml:space="preserve">Mevcut filo için IHM Part I örnekleme, laboratuvar koordinasyonu, sertifika başvurusu.</w:t>
      </w:r>
    </w:p>
    <w:p>
      <w:pPr>
        <w:pStyle w:val="ListParagraph"/>
        <w:numPr>
          <w:ilvl w:val="0"/>
          <w:numId w:val="2"/>
        </w:numPr>
        <w:spacing w:after="80" w:line="280"/>
      </w:pPr>
      <w:r>
        <w:rPr>
          <w:b/>
          <w:bCs/>
        </w:rPr>
        <w:t xml:space="preserve">IHM Bölüm II &amp; III: </w:t>
      </w:r>
      <w:r>
        <w:t xml:space="preserve">Son seyir öncesi operasyonel olarak biriken malzemelerin (Part II) ve gemide bulunan diğer maddelerin (Part III) raporlanması.</w:t>
      </w:r>
    </w:p>
    <w:p>
      <w:pPr>
        <w:pStyle w:val="ListParagraph"/>
        <w:numPr>
          <w:ilvl w:val="0"/>
          <w:numId w:val="2"/>
        </w:numPr>
        <w:spacing w:after="80" w:line="280"/>
      </w:pPr>
      <w:r>
        <w:rPr>
          <w:b/>
          <w:bCs/>
        </w:rPr>
        <w:t xml:space="preserve">SRFP / SRP: </w:t>
      </w:r>
      <w:r>
        <w:t xml:space="preserve">Ship Recycling Facility Plan (tersaneler için) ve Ship Recycling Plan (gemi bazında) hazırlığı ve klas onayı.</w:t>
      </w:r>
    </w:p>
    <w:p>
      <w:pPr>
        <w:pStyle w:val="ListParagraph"/>
        <w:numPr>
          <w:ilvl w:val="0"/>
          <w:numId w:val="2"/>
        </w:numPr>
        <w:spacing w:after="80" w:line="280"/>
      </w:pPr>
      <w:r>
        <w:rPr>
          <w:b/>
          <w:bCs/>
        </w:rPr>
        <w:t xml:space="preserve">Klas koordinasyonu: </w:t>
      </w:r>
      <w:r>
        <w:t xml:space="preserve">DNV, LR, BV, RINA, ClassNK ile sertifikasyon süreçlerinin yönetimi; armatörün tek temas noktası olarak hareket.</w:t>
      </w:r>
    </w:p>
    <w:p>
      <w:pPr>
        <w:pStyle w:val="Heading2"/>
        <w:spacing w:after="140" w:before="280"/>
      </w:pPr>
      <w:r>
        <w:rPr>
          <w:b/>
          <w:bCs/>
          <w:color w:val="1F4E79"/>
          <w:sz w:val="28"/>
          <w:szCs w:val="28"/>
        </w:rPr>
        <w:t xml:space="preserve">3.3. Tersane Operasyon Süreç Danışmanlığı</w:t>
      </w:r>
    </w:p>
    <w:p>
      <w:pPr>
        <w:pStyle w:val="ListParagraph"/>
        <w:numPr>
          <w:ilvl w:val="0"/>
          <w:numId w:val="2"/>
        </w:numPr>
        <w:spacing w:after="80" w:line="280"/>
      </w:pPr>
      <w:r>
        <w:rPr>
          <w:b/>
          <w:bCs/>
        </w:rPr>
        <w:t xml:space="preserve">As-Is analiz: </w:t>
      </w:r>
      <w:r>
        <w:t xml:space="preserve">Mevcut tersane sahasında süreç haritası, darboğaz analizi, vinç–ekipman–insan kaynağı performansı.</w:t>
      </w:r>
    </w:p>
    <w:p>
      <w:pPr>
        <w:pStyle w:val="ListParagraph"/>
        <w:numPr>
          <w:ilvl w:val="0"/>
          <w:numId w:val="2"/>
        </w:numPr>
        <w:spacing w:after="80" w:line="280"/>
      </w:pPr>
      <w:r>
        <w:rPr>
          <w:b/>
          <w:bCs/>
        </w:rPr>
        <w:t xml:space="preserve">To-Be tasarım: </w:t>
      </w:r>
      <w:r>
        <w:t xml:space="preserve">HKC uyumlu söküm akışı, atık ayrıştırma istasyonları, asbest/PCB sökme prosedürleri.</w:t>
      </w:r>
    </w:p>
    <w:p>
      <w:pPr>
        <w:pStyle w:val="ListParagraph"/>
        <w:numPr>
          <w:ilvl w:val="0"/>
          <w:numId w:val="2"/>
        </w:numPr>
        <w:spacing w:after="80" w:line="280"/>
      </w:pPr>
      <w:r>
        <w:rPr>
          <w:b/>
          <w:bCs/>
        </w:rPr>
        <w:t xml:space="preserve">Dijitalleşme: </w:t>
      </w:r>
      <w:r>
        <w:t xml:space="preserve">Söküm takip yazılımı seçimi, IHM verisinin saha takibine entegrasyonu, KPI panosu kurulumu.</w:t>
      </w:r>
    </w:p>
    <w:p>
      <w:pPr>
        <w:pStyle w:val="ListParagraph"/>
        <w:numPr>
          <w:ilvl w:val="0"/>
          <w:numId w:val="2"/>
        </w:numPr>
        <w:spacing w:after="80" w:line="280"/>
      </w:pPr>
      <w:r>
        <w:rPr>
          <w:b/>
          <w:bCs/>
        </w:rPr>
        <w:t xml:space="preserve">Sürekli iyileştirme: </w:t>
      </w:r>
      <w:r>
        <w:t xml:space="preserve">Aylık operasyon değerlendirme, kayıt denetimi, çalışan eğitim takip sistemi.</w:t>
      </w:r>
    </w:p>
    <w:p>
      <w:pPr>
        <w:pStyle w:val="Heading2"/>
        <w:spacing w:after="140" w:before="280"/>
      </w:pPr>
      <w:r>
        <w:rPr>
          <w:b/>
          <w:bCs/>
          <w:color w:val="1F4E79"/>
          <w:sz w:val="28"/>
          <w:szCs w:val="28"/>
        </w:rPr>
        <w:t xml:space="preserve">3.4. Ticari &amp; Hukuki Danışmanlık</w:t>
      </w:r>
    </w:p>
    <w:p>
      <w:pPr>
        <w:pStyle w:val="ListParagraph"/>
        <w:numPr>
          <w:ilvl w:val="0"/>
          <w:numId w:val="2"/>
        </w:numPr>
        <w:spacing w:after="80" w:line="280"/>
      </w:pPr>
      <w:r>
        <w:rPr>
          <w:b/>
          <w:bCs/>
        </w:rPr>
        <w:t xml:space="preserve">Sözleşme yönetimi: </w:t>
      </w:r>
      <w:r>
        <w:t xml:space="preserve">BIMCO RECYCLECON 2012, DEMOLISHCON ve özel cash buyer şablonlarının armatör çıkarına uyarlanması.</w:t>
      </w:r>
    </w:p>
    <w:p>
      <w:pPr>
        <w:pStyle w:val="ListParagraph"/>
        <w:numPr>
          <w:ilvl w:val="0"/>
          <w:numId w:val="2"/>
        </w:numPr>
        <w:spacing w:after="80" w:line="280"/>
      </w:pPr>
      <w:r>
        <w:rPr>
          <w:b/>
          <w:bCs/>
        </w:rPr>
        <w:t xml:space="preserve">Basel Konvansiyonu: </w:t>
      </w:r>
      <w:r>
        <w:t xml:space="preserve">Sınır ötesi atık taşımacılığı çerçevesinde son seyir, bayrak ve liman uğrak stratejisi.</w:t>
      </w:r>
    </w:p>
    <w:p>
      <w:pPr>
        <w:pStyle w:val="ListParagraph"/>
        <w:numPr>
          <w:ilvl w:val="0"/>
          <w:numId w:val="2"/>
        </w:numPr>
        <w:spacing w:after="80" w:line="280"/>
      </w:pPr>
      <w:r>
        <w:rPr>
          <w:b/>
          <w:bCs/>
        </w:rPr>
        <w:t xml:space="preserve">Gümrük &amp; ihracat: </w:t>
      </w:r>
      <w:r>
        <w:t xml:space="preserve">Söküm sonrası elde edilen çelik, ekipman ve yedek parçaların yurt içi/yurt dışı satışında gümrük ve KDV/ÖTV süreçleri.</w:t>
      </w:r>
    </w:p>
    <w:p>
      <w:pPr>
        <w:pStyle w:val="ListParagraph"/>
        <w:numPr>
          <w:ilvl w:val="0"/>
          <w:numId w:val="2"/>
        </w:numPr>
        <w:spacing w:after="80" w:line="280"/>
      </w:pPr>
      <w:r>
        <w:rPr>
          <w:b/>
          <w:bCs/>
        </w:rPr>
        <w:t xml:space="preserve">Uyuşmazlık yönetimi: </w:t>
      </w:r>
      <w:r>
        <w:t xml:space="preserve">Tersane–armatör arası talep ve karşı taleplerin yönetimi, hakem heyeti veya İngiliz hukuku tahkim süreçlerinde teknik tarafgir rapor.</w:t>
      </w:r>
    </w:p>
    <w:p>
      <w:pPr>
        <w:pStyle w:val="Heading2"/>
        <w:spacing w:after="140" w:before="280"/>
      </w:pPr>
      <w:r>
        <w:rPr>
          <w:b/>
          <w:bCs/>
          <w:color w:val="1F4E79"/>
          <w:sz w:val="28"/>
          <w:szCs w:val="28"/>
        </w:rPr>
        <w:t xml:space="preserve">3.5. Cash Buyer &amp; Broker Desteği</w:t>
      </w:r>
    </w:p>
    <w:p>
      <w:pPr>
        <w:spacing w:after="120" w:line="300"/>
        <w:jc w:val="both"/>
      </w:pPr>
      <w:r>
        <w:t xml:space="preserve">Türkiye'ye gemi satmayı planlayan uluslararası cash buyer ve brokerlar için Türkiye yargı bölgesinde tam kapsamlı temsil: tersane denetimi, MoA hazırlığı, son seyir koordinasyonu, Türkçe–İngilizce raporlama. Bu hizmet, Türkiye'de fiziksel ofisi olmayan ancak yargı bölgesinde işlem yapmak isteyen firmalar için kritik bir köprü hizmetidir.</w:t>
      </w:r>
    </w:p>
    <w:p>
      <w:pPr>
        <w:pStyle w:val="Heading2"/>
        <w:spacing w:after="140" w:before="280"/>
      </w:pPr>
      <w:r>
        <w:rPr>
          <w:b/>
          <w:bCs/>
          <w:color w:val="1F4E79"/>
          <w:sz w:val="28"/>
          <w:szCs w:val="28"/>
        </w:rPr>
        <w:t xml:space="preserve">3.6. Eğitim &amp; Sertifikasyon</w:t>
      </w:r>
    </w:p>
    <w:p>
      <w:pPr>
        <w:spacing w:after="120" w:line="300"/>
        <w:jc w:val="both"/>
      </w:pPr>
      <w:r>
        <w:t xml:space="preserve">Tersaneler için HKC farkındalık, İSG, asbest sökümü, atık ayrıştırma eğitimleri; armatörler için ICIHM yönetim workshopları. Eğitimler kurumsal ve halka açık formatta sunulur ve katılım sertifikası ile belgelendirilir.</w:t>
      </w:r>
    </w:p>
    <w:p>
      <w:pPr>
        <w:spacing w:after="60"/>
      </w:pPr>
      <w:r>
        <w:t xml:space="preserve"/>
      </w:r>
    </w:p>
    <w:p>
      <w:pPr>
        <w:pStyle w:val="Heading1"/>
        <w:spacing w:after="200" w:before="360"/>
      </w:pPr>
      <w:r>
        <w:rPr>
          <w:b/>
          <w:bCs/>
          <w:color w:val="1F4E79"/>
          <w:sz w:val="36"/>
          <w:szCs w:val="36"/>
        </w:rPr>
        <w:t xml:space="preserve">4. Hedef Müşteri Segmentleri</w:t>
      </w:r>
    </w:p>
    <w:p>
      <w:pPr>
        <w:pStyle w:val="Heading2"/>
        <w:spacing w:after="140" w:before="280"/>
      </w:pPr>
      <w:r>
        <w:rPr>
          <w:b/>
          <w:bCs/>
          <w:color w:val="1F4E79"/>
          <w:sz w:val="28"/>
          <w:szCs w:val="28"/>
        </w:rPr>
        <w:t xml:space="preserve">4.1. Armatörler / Gemi Sahipleri</w:t>
      </w:r>
    </w:p>
    <w:p>
      <w:pPr>
        <w:spacing w:after="120" w:line="300"/>
        <w:jc w:val="both"/>
      </w:pPr>
      <w:r>
        <w:t xml:space="preserve">Filolarındaki yaşlı tonajı söküme göndermek isteyen yerli ve yabancı armatörler. Özellikle: kuru yük (bulker), tanker, konteyner armatörleri; ayrıca AB bayraklı gemi sahipleri ve devlet kontrolünde gemi işleten kuruluşlar (askeri, balıkçılık, araştırma).</w:t>
      </w:r>
    </w:p>
    <w:p>
      <w:pPr>
        <w:pStyle w:val="ListParagraph"/>
        <w:numPr>
          <w:ilvl w:val="0"/>
          <w:numId w:val="2"/>
        </w:numPr>
        <w:spacing w:after="80" w:line="280"/>
      </w:pPr>
      <w:r>
        <w:t xml:space="preserve">Karar verici: Teknik müdür, fleet manager, hukuk müşaviri.</w:t>
      </w:r>
    </w:p>
    <w:p>
      <w:pPr>
        <w:pStyle w:val="ListParagraph"/>
        <w:numPr>
          <w:ilvl w:val="0"/>
          <w:numId w:val="2"/>
        </w:numPr>
        <w:spacing w:after="80" w:line="280"/>
      </w:pPr>
      <w:r>
        <w:t xml:space="preserve">Ana ihtiyaç: Düşük itibar riski + tam uyum + makul fiyat üçgeninde optimum çözüm.</w:t>
      </w:r>
    </w:p>
    <w:p>
      <w:pPr>
        <w:pStyle w:val="ListParagraph"/>
        <w:numPr>
          <w:ilvl w:val="0"/>
          <w:numId w:val="2"/>
        </w:numPr>
        <w:spacing w:after="80" w:line="280"/>
      </w:pPr>
      <w:r>
        <w:t xml:space="preserve">Satış kanalı: Doğrudan ilişki, klas kuruluşu referansı, denizcilik fuarları (Posidonia, Nor-Shipping).</w:t>
      </w:r>
    </w:p>
    <w:p>
      <w:pPr>
        <w:pStyle w:val="Heading2"/>
        <w:spacing w:after="140" w:before="280"/>
      </w:pPr>
      <w:r>
        <w:rPr>
          <w:b/>
          <w:bCs/>
          <w:color w:val="1F4E79"/>
          <w:sz w:val="28"/>
          <w:szCs w:val="28"/>
        </w:rPr>
        <w:t xml:space="preserve">4.2. Uluslararası Cash Buyer'lar ve Brokerlar</w:t>
      </w:r>
    </w:p>
    <w:p>
      <w:pPr>
        <w:spacing w:after="120" w:line="300"/>
        <w:jc w:val="both"/>
      </w:pPr>
      <w:r>
        <w:t xml:space="preserve">Geminin armatörden alıp tersaneye sattığı GMS, Wirana, Best Oasis, Star Asia gibi global cash buyer'lar ile Clarksons, Braemar, BRS, Compass Maritime gibi gemi alım–satım brokerleri. Bu firmalar Türkiye'de fiziksel ekibe sahip olmadıkları için yerel bilgi ihtiyacı yüksektir.</w:t>
      </w:r>
    </w:p>
    <w:p>
      <w:pPr>
        <w:pStyle w:val="ListParagraph"/>
        <w:numPr>
          <w:ilvl w:val="0"/>
          <w:numId w:val="2"/>
        </w:numPr>
        <w:spacing w:after="80" w:line="280"/>
      </w:pPr>
      <w:r>
        <w:t xml:space="preserve">Karar verici: Recycling desk başkanı, country manager.</w:t>
      </w:r>
    </w:p>
    <w:p>
      <w:pPr>
        <w:pStyle w:val="ListParagraph"/>
        <w:numPr>
          <w:ilvl w:val="0"/>
          <w:numId w:val="2"/>
        </w:numPr>
        <w:spacing w:after="80" w:line="280"/>
      </w:pPr>
      <w:r>
        <w:t xml:space="preserve">Ana ihtiyaç: Türkiye yargı bölgesi temsili, tersane denetim raporları, son seyir koordinasyonu.</w:t>
      </w:r>
    </w:p>
    <w:p>
      <w:pPr>
        <w:pStyle w:val="ListParagraph"/>
        <w:numPr>
          <w:ilvl w:val="0"/>
          <w:numId w:val="2"/>
        </w:numPr>
        <w:spacing w:after="80" w:line="280"/>
      </w:pPr>
      <w:r>
        <w:t xml:space="preserve">Satış kanalı: LinkedIn outreach, doğrudan ziyaret (Singapur, Dubai, Hamburg, Londra), sektör konferansları.</w:t>
      </w:r>
    </w:p>
    <w:p>
      <w:pPr>
        <w:spacing w:after="60"/>
      </w:pPr>
      <w:r>
        <w:t xml:space="preserve"/>
      </w:r>
    </w:p>
    <w:p>
      <w:pPr>
        <w:pStyle w:val="Heading1"/>
        <w:spacing w:after="200" w:before="360"/>
      </w:pPr>
      <w:r>
        <w:rPr>
          <w:b/>
          <w:bCs/>
          <w:color w:val="1F4E79"/>
          <w:sz w:val="36"/>
          <w:szCs w:val="36"/>
        </w:rPr>
        <w:t xml:space="preserve">5. Pazarlama ve Satış Stratejisi</w:t>
      </w:r>
    </w:p>
    <w:p>
      <w:pPr>
        <w:pStyle w:val="Heading2"/>
        <w:spacing w:after="140" w:before="280"/>
      </w:pPr>
      <w:r>
        <w:rPr>
          <w:b/>
          <w:bCs/>
          <w:color w:val="1F4E79"/>
          <w:sz w:val="28"/>
          <w:szCs w:val="28"/>
        </w:rPr>
        <w:t xml:space="preserve">5.1. Konumlandırma</w:t>
      </w:r>
    </w:p>
    <w:p>
      <w:pPr>
        <w:spacing w:after="120" w:line="300"/>
        <w:jc w:val="both"/>
      </w:pPr>
      <w:r>
        <w:t xml:space="preserve">"Türkiye'de söküm projelerinizin tek temas noktası". Bağımsız, sertifikalı, hem teknik hem hukuki dili konuşan; armatör ile tersane arasında köprü kuran butik danışman.</w:t>
      </w:r>
    </w:p>
    <w:p>
      <w:pPr>
        <w:pStyle w:val="Heading2"/>
        <w:spacing w:after="140" w:before="280"/>
      </w:pPr>
      <w:r>
        <w:rPr>
          <w:b/>
          <w:bCs/>
          <w:color w:val="1F4E79"/>
          <w:sz w:val="28"/>
          <w:szCs w:val="28"/>
        </w:rPr>
        <w:t xml:space="preserve">5.2. Pazarlama Araçları</w:t>
      </w:r>
    </w:p>
    <w:p>
      <w:pPr>
        <w:pStyle w:val="ListParagraph"/>
        <w:numPr>
          <w:ilvl w:val="0"/>
          <w:numId w:val="2"/>
        </w:numPr>
        <w:spacing w:after="80" w:line="280"/>
      </w:pPr>
      <w:r>
        <w:t xml:space="preserve">Profesyonel İngilizce/Türkçe web sitesi: hizmetler, vaka çalışmaları, makaleler.</w:t>
      </w:r>
    </w:p>
    <w:p>
      <w:pPr>
        <w:pStyle w:val="ListParagraph"/>
        <w:numPr>
          <w:ilvl w:val="0"/>
          <w:numId w:val="2"/>
        </w:numPr>
        <w:spacing w:after="80" w:line="280"/>
      </w:pPr>
      <w:r>
        <w:t xml:space="preserve">LinkedIn Company Page: haftada 2 sektör analizi paylaşımı (HKC, LDT fiyatları, regülasyon güncellemeleri).</w:t>
      </w:r>
    </w:p>
    <w:p>
      <w:pPr>
        <w:pStyle w:val="ListParagraph"/>
        <w:numPr>
          <w:ilvl w:val="0"/>
          <w:numId w:val="2"/>
        </w:numPr>
        <w:spacing w:after="80" w:line="280"/>
      </w:pPr>
      <w:r>
        <w:t xml:space="preserve">"Turkey Ship Recycling Monitor" – aylık ücretsiz bülten; cash buyer ve armatör mailing list'ine düzenli erişim.</w:t>
      </w:r>
    </w:p>
    <w:p>
      <w:pPr>
        <w:pStyle w:val="ListParagraph"/>
        <w:numPr>
          <w:ilvl w:val="0"/>
          <w:numId w:val="2"/>
        </w:numPr>
        <w:spacing w:after="80" w:line="280"/>
      </w:pPr>
      <w:r>
        <w:t xml:space="preserve">Yıllık "Türkiye Söküm Tersanesi Raporu" – ücretsiz indirilebilir PDF; lead magnet ve marka konumlandırma aracı.</w:t>
      </w:r>
    </w:p>
    <w:p>
      <w:pPr>
        <w:pStyle w:val="ListParagraph"/>
        <w:numPr>
          <w:ilvl w:val="0"/>
          <w:numId w:val="2"/>
        </w:numPr>
        <w:spacing w:after="80" w:line="280"/>
      </w:pPr>
      <w:r>
        <w:t xml:space="preserve">Sektör konferansları: Posidonia (Atina), Nor-Shipping (Oslo), Sea Asia (Singapur), TURKMOS (Istanbul).</w:t>
      </w:r>
    </w:p>
    <w:p>
      <w:pPr>
        <w:pStyle w:val="Heading2"/>
        <w:spacing w:after="140" w:before="280"/>
      </w:pPr>
      <w:r>
        <w:rPr>
          <w:b/>
          <w:bCs/>
          <w:color w:val="1F4E79"/>
          <w:sz w:val="28"/>
          <w:szCs w:val="28"/>
        </w:rPr>
        <w:t xml:space="preserve">5.3. Satış Hunisi</w:t>
      </w:r>
    </w:p>
    <w:p>
      <w:pPr>
        <w:pStyle w:val="ListParagraph"/>
        <w:numPr>
          <w:ilvl w:val="0"/>
          <w:numId w:val="2"/>
        </w:numPr>
        <w:spacing w:after="80" w:line="280"/>
      </w:pPr>
      <w:r>
        <w:rPr>
          <w:b/>
          <w:bCs/>
        </w:rPr>
        <w:t xml:space="preserve">Farkındalık: </w:t>
      </w:r>
      <w:r>
        <w:t xml:space="preserve">LinkedIn + bülten ile sektörel görünürlük.</w:t>
      </w:r>
    </w:p>
    <w:p>
      <w:pPr>
        <w:pStyle w:val="ListParagraph"/>
        <w:numPr>
          <w:ilvl w:val="0"/>
          <w:numId w:val="2"/>
        </w:numPr>
        <w:spacing w:after="80" w:line="280"/>
      </w:pPr>
      <w:r>
        <w:rPr>
          <w:b/>
          <w:bCs/>
        </w:rPr>
        <w:t xml:space="preserve">İlgi: </w:t>
      </w:r>
      <w:r>
        <w:t xml:space="preserve">Türkiye Söküm Tersanesi Raporu indirme, webinar katılımı.</w:t>
      </w:r>
    </w:p>
    <w:p>
      <w:pPr>
        <w:pStyle w:val="ListParagraph"/>
        <w:numPr>
          <w:ilvl w:val="0"/>
          <w:numId w:val="2"/>
        </w:numPr>
        <w:spacing w:after="80" w:line="280"/>
      </w:pPr>
      <w:r>
        <w:rPr>
          <w:b/>
          <w:bCs/>
        </w:rPr>
        <w:t xml:space="preserve">Değerlendirme: </w:t>
      </w:r>
      <w:r>
        <w:t xml:space="preserve">İlk ücretsiz değerlendirme görüşmesi (45 dk) – gemi/tersane bazlı.</w:t>
      </w:r>
    </w:p>
    <w:p>
      <w:pPr>
        <w:pStyle w:val="ListParagraph"/>
        <w:numPr>
          <w:ilvl w:val="0"/>
          <w:numId w:val="2"/>
        </w:numPr>
        <w:spacing w:after="80" w:line="280"/>
      </w:pPr>
      <w:r>
        <w:rPr>
          <w:b/>
          <w:bCs/>
        </w:rPr>
        <w:t xml:space="preserve">Karar: </w:t>
      </w:r>
      <w:r>
        <w:t xml:space="preserve">Proje teklifi (scope, ekip, ücret, takvim).</w:t>
      </w:r>
    </w:p>
    <w:p>
      <w:pPr>
        <w:pStyle w:val="ListParagraph"/>
        <w:numPr>
          <w:ilvl w:val="0"/>
          <w:numId w:val="2"/>
        </w:numPr>
        <w:spacing w:after="80" w:line="280"/>
      </w:pPr>
      <w:r>
        <w:rPr>
          <w:b/>
          <w:bCs/>
        </w:rPr>
        <w:t xml:space="preserve">Sadakat: </w:t>
      </w:r>
      <w:r>
        <w:t xml:space="preserve">Aylık abonelik tabanlı retainer model; söküm sonrası analiz raporu.</w:t>
      </w:r>
    </w:p>
    <w:p>
      <w:pPr>
        <w:pStyle w:val="Heading2"/>
        <w:spacing w:after="140" w:before="280"/>
      </w:pPr>
      <w:r>
        <w:rPr>
          <w:b/>
          <w:bCs/>
          <w:color w:val="1F4E79"/>
          <w:sz w:val="28"/>
          <w:szCs w:val="28"/>
        </w:rPr>
        <w:t xml:space="preserve">5.4. Fiyatlandırma Modeli</w:t>
      </w:r>
    </w:p>
    <w:p>
      <w:pPr>
        <w:pStyle w:val="ListParagraph"/>
        <w:numPr>
          <w:ilvl w:val="0"/>
          <w:numId w:val="2"/>
        </w:numPr>
        <w:spacing w:after="80" w:line="280"/>
      </w:pPr>
      <w:r>
        <w:t xml:space="preserve">Proje bazlı sabit ücret (söküm danışmanlığı için 25.000–75.000 USD).</w:t>
      </w:r>
    </w:p>
    <w:p>
      <w:pPr>
        <w:pStyle w:val="ListParagraph"/>
        <w:numPr>
          <w:ilvl w:val="0"/>
          <w:numId w:val="2"/>
        </w:numPr>
        <w:spacing w:after="80" w:line="280"/>
      </w:pPr>
      <w:r>
        <w:t xml:space="preserve">Saatlik / günlük ücret (hukuki danışmanlık için 250–450 USD/saat veya 1.800–2.800 USD/gün).</w:t>
      </w:r>
    </w:p>
    <w:p>
      <w:pPr>
        <w:pStyle w:val="ListParagraph"/>
        <w:numPr>
          <w:ilvl w:val="0"/>
          <w:numId w:val="2"/>
        </w:numPr>
        <w:spacing w:after="80" w:line="280"/>
      </w:pPr>
      <w:r>
        <w:t xml:space="preserve">Retainer (aylık 5.000–12.000 USD; tersane operasyon dönüşüm projelerinde).</w:t>
      </w:r>
    </w:p>
    <w:p>
      <w:pPr>
        <w:pStyle w:val="ListParagraph"/>
        <w:numPr>
          <w:ilvl w:val="0"/>
          <w:numId w:val="2"/>
        </w:numPr>
        <w:spacing w:after="80" w:line="280"/>
      </w:pPr>
      <w:r>
        <w:t xml:space="preserve">Başarı primi (söküm fiyatında elde edilen iyileşmenin %5–10'u; opsiyonel hybrid model).</w:t>
      </w:r>
    </w:p>
    <w:p>
      <w:pPr>
        <w:spacing w:after="60"/>
      </w:pPr>
      <w:r>
        <w:t xml:space="preserve"/>
      </w:r>
    </w:p>
    <w:p>
      <w:pPr>
        <w:pStyle w:val="Heading1"/>
        <w:spacing w:after="200" w:before="360"/>
      </w:pPr>
      <w:r>
        <w:rPr>
          <w:b/>
          <w:bCs/>
          <w:color w:val="1F4E79"/>
          <w:sz w:val="36"/>
          <w:szCs w:val="36"/>
        </w:rPr>
        <w:t xml:space="preserve">6. Operasyon Modeli</w:t>
      </w:r>
    </w:p>
    <w:p>
      <w:pPr>
        <w:pStyle w:val="Heading2"/>
        <w:spacing w:after="140" w:before="280"/>
      </w:pPr>
      <w:r>
        <w:rPr>
          <w:b/>
          <w:bCs/>
          <w:color w:val="1F4E79"/>
          <w:sz w:val="28"/>
          <w:szCs w:val="28"/>
        </w:rPr>
        <w:t xml:space="preserve">6.1. Ekip Yapısı (İlk 12 Ay)</w:t>
      </w:r>
    </w:p>
    <w:p>
      <w:pPr>
        <w:pStyle w:val="ListParagraph"/>
        <w:numPr>
          <w:ilvl w:val="0"/>
          <w:numId w:val="2"/>
        </w:numPr>
        <w:spacing w:after="80" w:line="280"/>
      </w:pPr>
      <w:r>
        <w:t xml:space="preserve">Kurucu / Genel Müdür – denizcilik &amp; ticari müzakere uzmanlığı.</w:t>
      </w:r>
    </w:p>
    <w:p>
      <w:pPr>
        <w:pStyle w:val="ListParagraph"/>
        <w:numPr>
          <w:ilvl w:val="0"/>
          <w:numId w:val="2"/>
        </w:numPr>
        <w:spacing w:after="80" w:line="280"/>
      </w:pPr>
      <w:r>
        <w:t xml:space="preserve">Kıdemli Danışman (Operasyon) – tersane saha deneyimi, eski tersane operasyon yöneticisi profili.</w:t>
      </w:r>
    </w:p>
    <w:p>
      <w:pPr>
        <w:pStyle w:val="ListParagraph"/>
        <w:numPr>
          <w:ilvl w:val="0"/>
          <w:numId w:val="2"/>
        </w:numPr>
        <w:spacing w:after="80" w:line="280"/>
      </w:pPr>
      <w:r>
        <w:t xml:space="preserve">Kıdemli Danışman (Hukuk &amp; Uyum) – denizcilik hukuku, HKC/EU SRR uyum deneyimi.</w:t>
      </w:r>
    </w:p>
    <w:p>
      <w:pPr>
        <w:pStyle w:val="ListParagraph"/>
        <w:numPr>
          <w:ilvl w:val="0"/>
          <w:numId w:val="2"/>
        </w:numPr>
        <w:spacing w:after="80" w:line="280"/>
      </w:pPr>
      <w:r>
        <w:t xml:space="preserve">Junior analist + ofis koordinatörü.</w:t>
      </w:r>
    </w:p>
    <w:p>
      <w:pPr>
        <w:pStyle w:val="Heading2"/>
        <w:spacing w:after="140" w:before="280"/>
      </w:pPr>
      <w:r>
        <w:rPr>
          <w:b/>
          <w:bCs/>
          <w:color w:val="1F4E79"/>
          <w:sz w:val="28"/>
          <w:szCs w:val="28"/>
        </w:rPr>
        <w:t xml:space="preserve">6.2. Ortak ve Tedarikçi Ağı</w:t>
      </w:r>
    </w:p>
    <w:p>
      <w:pPr>
        <w:pStyle w:val="ListParagraph"/>
        <w:numPr>
          <w:ilvl w:val="0"/>
          <w:numId w:val="2"/>
        </w:numPr>
        <w:spacing w:after="80" w:line="280"/>
      </w:pPr>
      <w:r>
        <w:t xml:space="preserve">İki klas kuruluşu (DNV + LR önerilir) ile çerçeve işbirliği – IHM ve SRP onayları için.</w:t>
      </w:r>
    </w:p>
    <w:p>
      <w:pPr>
        <w:pStyle w:val="ListParagraph"/>
        <w:numPr>
          <w:ilvl w:val="0"/>
          <w:numId w:val="2"/>
        </w:numPr>
        <w:spacing w:after="80" w:line="280"/>
      </w:pPr>
      <w:r>
        <w:t xml:space="preserve">Akredite asbest / tehlikeli madde laboratuvarı (örn. Bureau Veritas TR, SGS TR).</w:t>
      </w:r>
    </w:p>
    <w:p>
      <w:pPr>
        <w:pStyle w:val="ListParagraph"/>
        <w:numPr>
          <w:ilvl w:val="0"/>
          <w:numId w:val="2"/>
        </w:numPr>
        <w:spacing w:after="80" w:line="280"/>
      </w:pPr>
      <w:r>
        <w:t xml:space="preserve">Bir uluslararası denizcilik hukuk bürosu ile referans/CO-CONSULTANT anlaşması (İngiliz hukuku tahkimi için).</w:t>
      </w:r>
    </w:p>
    <w:p>
      <w:pPr>
        <w:pStyle w:val="ListParagraph"/>
        <w:numPr>
          <w:ilvl w:val="0"/>
          <w:numId w:val="2"/>
        </w:numPr>
        <w:spacing w:after="80" w:line="280"/>
      </w:pPr>
      <w:r>
        <w:t xml:space="preserve">Aliağa'da yerleşik 2 tersane ile çerçeve operasyon protokolü.</w:t>
      </w:r>
    </w:p>
    <w:p>
      <w:pPr>
        <w:pStyle w:val="Heading2"/>
        <w:spacing w:after="140" w:before="280"/>
      </w:pPr>
      <w:r>
        <w:rPr>
          <w:b/>
          <w:bCs/>
          <w:color w:val="1F4E79"/>
          <w:sz w:val="28"/>
          <w:szCs w:val="28"/>
        </w:rPr>
        <w:t xml:space="preserve">6.3. Lokasyon</w:t>
      </w:r>
    </w:p>
    <w:p>
      <w:pPr>
        <w:spacing w:after="120" w:line="300"/>
        <w:jc w:val="both"/>
      </w:pPr>
      <w:r>
        <w:t xml:space="preserve">Merkez ofis: İzmir (Aliağa'ya yakınlık + havalimanı erişimi). Temsil ofisi: İstanbul (Levent/Maslak; armatör ve broker yoğunluğu nedeniyle). Uzun vadede Pire / Atina'da temsil ofisi düşünülebilir.</w:t>
      </w:r>
    </w:p>
    <w:p>
      <w:pPr>
        <w:pStyle w:val="Heading2"/>
        <w:spacing w:after="140" w:before="280"/>
      </w:pPr>
      <w:r>
        <w:rPr>
          <w:b/>
          <w:bCs/>
          <w:color w:val="1F4E79"/>
          <w:sz w:val="28"/>
          <w:szCs w:val="28"/>
        </w:rPr>
        <w:t xml:space="preserve">6.4. Süreç Kalite Yönetimi</w:t>
      </w:r>
    </w:p>
    <w:p>
      <w:pPr>
        <w:pStyle w:val="ListParagraph"/>
        <w:numPr>
          <w:ilvl w:val="0"/>
          <w:numId w:val="2"/>
        </w:numPr>
        <w:spacing w:after="80" w:line="280"/>
      </w:pPr>
      <w:r>
        <w:t xml:space="preserve">ISO 9001 ve ISO 14001 sertifikasyonu (12. ay hedefi).</w:t>
      </w:r>
    </w:p>
    <w:p>
      <w:pPr>
        <w:pStyle w:val="ListParagraph"/>
        <w:numPr>
          <w:ilvl w:val="0"/>
          <w:numId w:val="2"/>
        </w:numPr>
        <w:spacing w:after="80" w:line="280"/>
      </w:pPr>
      <w:r>
        <w:t xml:space="preserve">ISO 45001 İSG yönetim sistemi (24. ay hedefi).</w:t>
      </w:r>
    </w:p>
    <w:p>
      <w:pPr>
        <w:pStyle w:val="ListParagraph"/>
        <w:numPr>
          <w:ilvl w:val="0"/>
          <w:numId w:val="2"/>
        </w:numPr>
        <w:spacing w:after="80" w:line="280"/>
      </w:pPr>
      <w:r>
        <w:t xml:space="preserve">Her proje sonunda "closing report" ile kalite, süre ve müşteri memnuniyeti puanlaması.</w:t>
      </w:r>
    </w:p>
    <w:p>
      <w:pPr>
        <w:spacing w:after="60"/>
      </w:pPr>
      <w:r>
        <w:t xml:space="preserve"/>
      </w:r>
    </w:p>
    <w:p>
      <w:pPr>
        <w:pStyle w:val="Heading1"/>
        <w:spacing w:after="200" w:before="360"/>
      </w:pPr>
      <w:r>
        <w:rPr>
          <w:b/>
          <w:bCs/>
          <w:color w:val="1F4E79"/>
          <w:sz w:val="36"/>
          <w:szCs w:val="36"/>
        </w:rPr>
        <w:t xml:space="preserve">7. Finansal Projeksiyon (Senaryo)</w:t>
      </w:r>
    </w:p>
    <w:p>
      <w:pPr>
        <w:spacing w:after="120" w:line="300"/>
        <w:jc w:val="both"/>
      </w:pPr>
      <w:r>
        <w:t xml:space="preserve">Aşağıdaki üç yıllık projeksiyon, gerçekçi orta senaryoyu yansıtmaktadır. Tüm değerler bin ABD doları cinsindendir. Söküm proje danışmanlığında ortalama ücret 40–50 bin USD/proje, HKC uyum dosyalarında ortalama 12–15 bin USD/dosya, retainer 8–10 bin USD/ay esas alınmıştır.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Kalem (bin USD)</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Yıl 1</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Yıl 2</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Yıl 3</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Söküm proje danışmanlığı (4 / 8 / 14 proje)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160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360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700</w:t>
            </w:r>
          </w:p>
        </w:tc>
      </w:tr>
      <w:tr>
        <w:tc>
          <w:tcPr>
            <w:tcW w:type="dxa" w:w="3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HKC / EU SRR uyum (10 / 20 / 35 dosya)</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120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260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475</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Tersane süreç dönüşüm (retainer)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60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180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300</w:t>
            </w:r>
          </w:p>
        </w:tc>
      </w:tr>
      <w:tr>
        <w:tc>
          <w:tcPr>
            <w:tcW w:type="dxa" w:w="3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Eğitim &amp; sertifikasyon</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25</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60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110</w:t>
            </w:r>
          </w:p>
        </w:tc>
      </w:tr>
      <w:tr>
        <w:tc>
          <w:tcPr>
            <w:tcW w:type="dxa" w:w="36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left"/>
            </w:pPr>
            <w:r>
              <w:rPr>
                <w:b/>
                <w:bCs/>
                <w:sz w:val="22"/>
                <w:szCs w:val="22"/>
              </w:rPr>
              <w:t xml:space="preserve">TOPLAM GELİR</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365</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860</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1.585</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Personel maliyeti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180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320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520</w:t>
            </w:r>
          </w:p>
        </w:tc>
      </w:tr>
      <w:tr>
        <w:tc>
          <w:tcPr>
            <w:tcW w:type="dxa" w:w="3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Ofis &amp; operasyon</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60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90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140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Pazarlama (fuar, web, içerik)</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45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70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100</w:t>
            </w:r>
          </w:p>
        </w:tc>
      </w:tr>
      <w:tr>
        <w:tc>
          <w:tcPr>
            <w:tcW w:type="dxa" w:w="3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Dış uzman &amp; alt yüklenici</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30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80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150</w:t>
            </w:r>
          </w:p>
        </w:tc>
      </w:tr>
      <w:tr>
        <w:tc>
          <w:tcPr>
            <w:tcW w:type="dxa" w:w="36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left"/>
            </w:pPr>
            <w:r>
              <w:rPr>
                <w:b/>
                <w:bCs/>
                <w:sz w:val="22"/>
                <w:szCs w:val="22"/>
              </w:rPr>
              <w:t xml:space="preserve">TOPLAM GİDER</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315</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560</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910</w:t>
            </w:r>
          </w:p>
        </w:tc>
      </w:tr>
      <w:tr>
        <w:tc>
          <w:tcPr>
            <w:tcW w:type="dxa" w:w="3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FAALİYET KÂRI (USD bin)</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50</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300</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675</w:t>
            </w:r>
          </w:p>
        </w:tc>
      </w:tr>
    </w:tbl>
    <w:p>
      <w:pPr>
        <w:spacing w:after="60"/>
      </w:pPr>
      <w:r>
        <w:t xml:space="preserve"/>
      </w:r>
    </w:p>
    <w:p>
      <w:pPr>
        <w:pStyle w:val="Heading2"/>
        <w:spacing w:after="140" w:before="280"/>
      </w:pPr>
      <w:r>
        <w:rPr>
          <w:b/>
          <w:bCs/>
          <w:color w:val="1F4E79"/>
          <w:sz w:val="28"/>
          <w:szCs w:val="28"/>
        </w:rPr>
        <w:t xml:space="preserve">Başlangıç Yatırımı</w:t>
      </w:r>
    </w:p>
    <w:p>
      <w:pPr>
        <w:pStyle w:val="ListParagraph"/>
        <w:numPr>
          <w:ilvl w:val="0"/>
          <w:numId w:val="2"/>
        </w:numPr>
        <w:spacing w:after="80" w:line="280"/>
      </w:pPr>
      <w:r>
        <w:t xml:space="preserve">Şirket kuruluşu, ofis tefrişatı, IT altyapı: 25–35 bin USD.</w:t>
      </w:r>
    </w:p>
    <w:p>
      <w:pPr>
        <w:pStyle w:val="ListParagraph"/>
        <w:numPr>
          <w:ilvl w:val="0"/>
          <w:numId w:val="2"/>
        </w:numPr>
        <w:spacing w:after="80" w:line="280"/>
      </w:pPr>
      <w:r>
        <w:t xml:space="preserve">İlk 6 aylık işletme sermayesi: 150–200 bin USD.</w:t>
      </w:r>
    </w:p>
    <w:p>
      <w:pPr>
        <w:pStyle w:val="ListParagraph"/>
        <w:numPr>
          <w:ilvl w:val="0"/>
          <w:numId w:val="2"/>
        </w:numPr>
        <w:spacing w:after="80" w:line="280"/>
      </w:pPr>
      <w:r>
        <w:t xml:space="preserve">Pazarlama &amp; marka kimliği (web, broşür, ilk fuar): 30–45 bin USD.</w:t>
      </w:r>
    </w:p>
    <w:p>
      <w:pPr>
        <w:pStyle w:val="ListParagraph"/>
        <w:numPr>
          <w:ilvl w:val="0"/>
          <w:numId w:val="2"/>
        </w:numPr>
        <w:spacing w:after="80" w:line="280"/>
      </w:pPr>
      <w:r>
        <w:t xml:space="preserve">Toplam tahmini sermaye ihtiyacı: 220–280 bin USD.</w:t>
      </w:r>
    </w:p>
    <w:p>
      <w:pPr>
        <w:spacing w:after="60"/>
      </w:pPr>
      <w:r>
        <w:t xml:space="preserve"/>
      </w:r>
    </w:p>
    <w:p>
      <w:pPr>
        <w:pStyle w:val="Heading1"/>
        <w:spacing w:after="200" w:before="360"/>
      </w:pPr>
      <w:r>
        <w:rPr>
          <w:b/>
          <w:bCs/>
          <w:color w:val="1F4E79"/>
          <w:sz w:val="36"/>
          <w:szCs w:val="36"/>
        </w:rPr>
        <w:t xml:space="preserve">8. Riskler ve Azaltma Stratejileri</w:t>
      </w:r>
    </w:p>
    <w:p>
      <w:pPr>
        <w:pStyle w:val="ListParagraph"/>
        <w:numPr>
          <w:ilvl w:val="0"/>
          <w:numId w:val="2"/>
        </w:numPr>
        <w:spacing w:after="80" w:line="280"/>
      </w:pPr>
      <w:r>
        <w:rPr>
          <w:b/>
          <w:bCs/>
        </w:rPr>
        <w:t xml:space="preserve">Düzenleyici risk: </w:t>
      </w:r>
      <w:r>
        <w:t xml:space="preserve">HKC veya EU SRR ek standartlar getirebilir. Azaltma: klas kuruluşları ve sektör derneklerinde aktif üyelik; aylık regülasyon bülteni.</w:t>
      </w:r>
    </w:p>
    <w:p>
      <w:pPr>
        <w:pStyle w:val="ListParagraph"/>
        <w:numPr>
          <w:ilvl w:val="0"/>
          <w:numId w:val="2"/>
        </w:numPr>
        <w:spacing w:after="80" w:line="280"/>
      </w:pPr>
      <w:r>
        <w:rPr>
          <w:b/>
          <w:bCs/>
        </w:rPr>
        <w:t xml:space="preserve">Konjonktürel risk: </w:t>
      </w:r>
      <w:r>
        <w:t xml:space="preserve">LDT fiyatlarındaki dalgalanma söküm hacmini etkiler. Azaltma: gelir kaynaklarını eğitim ve tersane retainer'larıyla çeşitlendirme.</w:t>
      </w:r>
    </w:p>
    <w:p>
      <w:pPr>
        <w:pStyle w:val="ListParagraph"/>
        <w:numPr>
          <w:ilvl w:val="0"/>
          <w:numId w:val="2"/>
        </w:numPr>
        <w:spacing w:after="80" w:line="280"/>
      </w:pPr>
      <w:r>
        <w:rPr>
          <w:b/>
          <w:bCs/>
        </w:rPr>
        <w:t xml:space="preserve">Tersane kira yenileme riski (2026): </w:t>
      </w:r>
      <w:r>
        <w:t xml:space="preserve">Bazı tersanelerin kira yenileme süreci belirsizlik yaratabilir. Azaltma: birden fazla tersane ile çerçeve protokol.</w:t>
      </w:r>
    </w:p>
    <w:p>
      <w:pPr>
        <w:pStyle w:val="ListParagraph"/>
        <w:numPr>
          <w:ilvl w:val="0"/>
          <w:numId w:val="2"/>
        </w:numPr>
        <w:spacing w:after="80" w:line="280"/>
      </w:pPr>
      <w:r>
        <w:rPr>
          <w:b/>
          <w:bCs/>
        </w:rPr>
        <w:t xml:space="preserve">İtibar riski: </w:t>
      </w:r>
      <w:r>
        <w:t xml:space="preserve">NGO Shipbreaking Platform gibi izleyicilerin Aliağa eleştirileri. Azaltma: yalnızca HKC/EU SRR uyumlu projelerde çalışma politikası; şeffaf raporlama.</w:t>
      </w:r>
    </w:p>
    <w:p>
      <w:pPr>
        <w:pStyle w:val="ListParagraph"/>
        <w:numPr>
          <w:ilvl w:val="0"/>
          <w:numId w:val="2"/>
        </w:numPr>
        <w:spacing w:after="80" w:line="280"/>
      </w:pPr>
      <w:r>
        <w:rPr>
          <w:b/>
          <w:bCs/>
        </w:rPr>
        <w:t xml:space="preserve">Anahtar personel riski: </w:t>
      </w:r>
      <w:r>
        <w:t xml:space="preserve">Az sayıda uzmanın işten ayrılması büyük etki yaratır. Azaltma: bilgi yönetim sistemi, ikili sorumluluk yapısı, hisse opsiyonu programı.</w:t>
      </w:r>
    </w:p>
    <w:p>
      <w:pPr>
        <w:pStyle w:val="ListParagraph"/>
        <w:numPr>
          <w:ilvl w:val="0"/>
          <w:numId w:val="2"/>
        </w:numPr>
        <w:spacing w:after="80" w:line="280"/>
      </w:pPr>
      <w:r>
        <w:rPr>
          <w:b/>
          <w:bCs/>
        </w:rPr>
        <w:t xml:space="preserve">Kur riski: </w:t>
      </w:r>
      <w:r>
        <w:t xml:space="preserve">Gelirin büyük kısmı USD/EUR, giderlerin önemli bir kısmı TL. Azaltma: gelir döviz cinsi ile gider planlaması, kısmi vadeli işlemler.</w:t>
      </w:r>
    </w:p>
    <w:p>
      <w:pPr>
        <w:spacing w:after="60"/>
      </w:pPr>
      <w:r>
        <w:t xml:space="preserve"/>
      </w:r>
    </w:p>
    <w:p>
      <w:pPr>
        <w:pStyle w:val="Heading1"/>
        <w:spacing w:after="200" w:before="360"/>
      </w:pPr>
      <w:r>
        <w:rPr>
          <w:b/>
          <w:bCs/>
          <w:color w:val="1F4E79"/>
          <w:sz w:val="36"/>
          <w:szCs w:val="36"/>
        </w:rPr>
        <w:t xml:space="preserve">9. Yol Haritası (0–36 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Dönem</w:t>
            </w:r>
          </w:p>
        </w:tc>
        <w:tc>
          <w:tcPr>
            <w:tcW w:type="dxa" w:w="7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Kilometre Taşları</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sz w:val="22"/>
                <w:szCs w:val="22"/>
              </w:rPr>
              <w:t xml:space="preserve">0–3. ay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Şirket kuruluşu, marka kimliği, web sitesi, ilk 2 klas kuruluşu MOU, LinkedIn aktivasyonu.</w:t>
            </w:r>
          </w:p>
        </w:tc>
      </w:tr>
      <w:tr>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sz w:val="22"/>
                <w:szCs w:val="22"/>
              </w:rPr>
              <w:t xml:space="preserve">3–6. ay</w:t>
            </w:r>
          </w:p>
        </w:tc>
        <w:tc>
          <w:tcPr>
            <w:tcW w:type="dxa" w:w="7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İlk iki müşteri projesi (söküm proje + IHM), ilk eğitim oturumu, ilk fuar katılımı.</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sz w:val="22"/>
                <w:szCs w:val="22"/>
              </w:rPr>
              <w:t xml:space="preserve">6–12. ay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Türkiye Söküm Tersanesi Raporu yayını, İstanbul temsil ofisi, ISO 9001/14001 sertifikasyonu.</w:t>
            </w:r>
          </w:p>
        </w:tc>
      </w:tr>
      <w:tr>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sz w:val="22"/>
                <w:szCs w:val="22"/>
              </w:rPr>
              <w:t xml:space="preserve">12–24. ay</w:t>
            </w:r>
          </w:p>
        </w:tc>
        <w:tc>
          <w:tcPr>
            <w:tcW w:type="dxa" w:w="7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Cash buyer çerçeve sözleşmesi, tersane operasyon dönüşüm projeleri, 2 ek kıdemli danışman.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sz w:val="22"/>
                <w:szCs w:val="22"/>
              </w:rPr>
              <w:t xml:space="preserve">24–36. ay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Pire/Atina temsil ofisi, ISO 45001, yıllık bağımsız tersane endeksi yayınlama.</w:t>
            </w:r>
          </w:p>
        </w:tc>
      </w:tr>
    </w:tbl>
    <w:p>
      <w:pPr>
        <w:spacing w:after="60"/>
      </w:pPr>
      <w:r>
        <w:t xml:space="preserve"/>
      </w:r>
    </w:p>
    <w:p>
      <w:pPr>
        <w:pStyle w:val="Heading1"/>
        <w:spacing w:after="200" w:before="360"/>
      </w:pPr>
      <w:r>
        <w:rPr>
          <w:b/>
          <w:bCs/>
          <w:color w:val="1F4E79"/>
          <w:sz w:val="36"/>
          <w:szCs w:val="36"/>
        </w:rPr>
        <w:t xml:space="preserve">10. Kaynaklar ve Referanslar</w:t>
      </w:r>
    </w:p>
    <w:p>
      <w:pPr>
        <w:spacing w:after="120" w:line="300"/>
        <w:jc w:val="both"/>
      </w:pPr>
      <w:r>
        <w:t xml:space="preserve">Bu rapor, aşağıdaki kamuya açık kaynaklardan derlenen veriler ile sektör uzman görüşlerine dayanmaktadır:</w:t>
      </w:r>
    </w:p>
    <w:p>
      <w:pPr>
        <w:pStyle w:val="ListParagraph"/>
        <w:numPr>
          <w:ilvl w:val="0"/>
          <w:numId w:val="2"/>
        </w:numPr>
        <w:spacing w:after="80" w:line="280"/>
      </w:pPr>
      <w:r>
        <w:t xml:space="preserve">Deniz Haber – DTO Aliağa 2025 değerlendirme ve hedefleri, denizhaber.com</w:t>
      </w:r>
    </w:p>
    <w:p>
      <w:pPr>
        <w:pStyle w:val="ListParagraph"/>
        <w:numPr>
          <w:ilvl w:val="0"/>
          <w:numId w:val="2"/>
        </w:numPr>
        <w:spacing w:after="80" w:line="280"/>
      </w:pPr>
      <w:r>
        <w:t xml:space="preserve">Vira Haber / Net Haber – Aliağa Limanları 2025 Ocak–Kasım istatistikleri</w:t>
      </w:r>
    </w:p>
    <w:p>
      <w:pPr>
        <w:pStyle w:val="ListParagraph"/>
        <w:numPr>
          <w:ilvl w:val="0"/>
          <w:numId w:val="2"/>
        </w:numPr>
        <w:spacing w:after="80" w:line="280"/>
      </w:pPr>
      <w:r>
        <w:t xml:space="preserve">DenizHaber &amp; Yat Marina – Gemi &amp; Yat Sektörü 2025 İhracat Rakamları (2,24 milyar USD, %17,38 artış)</w:t>
      </w:r>
    </w:p>
    <w:p>
      <w:pPr>
        <w:pStyle w:val="ListParagraph"/>
        <w:numPr>
          <w:ilvl w:val="0"/>
          <w:numId w:val="2"/>
        </w:numPr>
        <w:spacing w:after="80" w:line="280"/>
      </w:pPr>
      <w:r>
        <w:t xml:space="preserve">MarineDeal News – Türk gemi ve yat inşa sanayi kapasiteleri</w:t>
      </w:r>
    </w:p>
    <w:p>
      <w:pPr>
        <w:pStyle w:val="ListParagraph"/>
        <w:numPr>
          <w:ilvl w:val="0"/>
          <w:numId w:val="2"/>
        </w:numPr>
        <w:spacing w:after="80" w:line="280"/>
      </w:pPr>
      <w:r>
        <w:t xml:space="preserve">DNV – Hong Kong Convention ve ICIHM sertifikasyon yol haritası</w:t>
      </w:r>
    </w:p>
    <w:p>
      <w:pPr>
        <w:pStyle w:val="ListParagraph"/>
        <w:numPr>
          <w:ilvl w:val="0"/>
          <w:numId w:val="2"/>
        </w:numPr>
        <w:spacing w:after="80" w:line="280"/>
      </w:pPr>
      <w:r>
        <w:t xml:space="preserve">Holland &amp; Knight – HKC yürürlüğe girişinin ilk 3 aylık etkisi (Eylül 2025)</w:t>
      </w:r>
    </w:p>
    <w:p>
      <w:pPr>
        <w:pStyle w:val="ListParagraph"/>
        <w:numPr>
          <w:ilvl w:val="0"/>
          <w:numId w:val="2"/>
        </w:numPr>
        <w:spacing w:after="80" w:line="280"/>
      </w:pPr>
      <w:r>
        <w:t xml:space="preserve">Gleiss Lutz – HKC ve uluslararası gemi geri dönüşüm regülasyonu</w:t>
      </w:r>
    </w:p>
    <w:p>
      <w:pPr>
        <w:pStyle w:val="ListParagraph"/>
        <w:numPr>
          <w:ilvl w:val="0"/>
          <w:numId w:val="2"/>
        </w:numPr>
        <w:spacing w:after="80" w:line="280"/>
      </w:pPr>
      <w:r>
        <w:t xml:space="preserve">Britannia P&amp;I – Hong Kong Convention in force (Temmuz 2025)</w:t>
      </w:r>
    </w:p>
    <w:p>
      <w:pPr>
        <w:pStyle w:val="ListParagraph"/>
        <w:numPr>
          <w:ilvl w:val="0"/>
          <w:numId w:val="2"/>
        </w:numPr>
        <w:spacing w:after="80" w:line="280"/>
      </w:pPr>
      <w:r>
        <w:t xml:space="preserve">Shippinginbox / Best Oasis – 2026 LDT fiyat raporu ve karşılaştırmalı pazar analizi</w:t>
      </w:r>
    </w:p>
    <w:p>
      <w:pPr>
        <w:pStyle w:val="ListParagraph"/>
        <w:numPr>
          <w:ilvl w:val="0"/>
          <w:numId w:val="2"/>
        </w:numPr>
        <w:spacing w:after="80" w:line="280"/>
      </w:pPr>
      <w:r>
        <w:t xml:space="preserve">NGO Shipbreaking Platform – Türkiye raporu</w:t>
      </w:r>
    </w:p>
    <w:p>
      <w:pPr>
        <w:pStyle w:val="ListParagraph"/>
        <w:numPr>
          <w:ilvl w:val="0"/>
          <w:numId w:val="2"/>
        </w:numPr>
        <w:spacing w:after="80" w:line="280"/>
      </w:pPr>
      <w:r>
        <w:t xml:space="preserve">Inkwood Research – Turkey Ship Recycling Market Size and Growth raporu</w:t>
      </w:r>
    </w:p>
    <w:p>
      <w:pPr>
        <w:spacing w:after="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Sayfa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Denizcilik Danışmanlık | İş Planı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Denizcilik Danışmanlık Şirketi - İş Planı</dc:title>
  <dc:creator>Arda Avcıoğlu</dc:creator>
  <dc:description>Türkiye söküm tersanesi ve tersane süreçlerine odaklı danışmanlık şirketi iş planı</dc:description>
  <cp:lastModifiedBy>Un-named</cp:lastModifiedBy>
  <cp:revision>1</cp:revision>
  <dcterms:created xsi:type="dcterms:W3CDTF">2026-05-12T17:13:33.452Z</dcterms:created>
  <dcterms:modified xsi:type="dcterms:W3CDTF">2026-05-12T17:13:33.455Z</dcterms:modified>
</cp:coreProperties>
</file>

<file path=docProps/custom.xml><?xml version="1.0" encoding="utf-8"?>
<Properties xmlns="http://schemas.openxmlformats.org/officeDocument/2006/custom-properties" xmlns:vt="http://schemas.openxmlformats.org/officeDocument/2006/docPropsVTypes"/>
</file>