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MARITIME CONSULTING FIRM</w:t>
      </w:r>
    </w:p>
    <w:p>
      <w:pPr>
        <w:spacing w:after="200"/>
        <w:jc w:val="center"/>
      </w:pPr>
      <w:r>
        <w:rPr>
          <w:i/>
          <w:iCs/>
          <w:color w:val="595959"/>
          <w:sz w:val="32"/>
          <w:szCs w:val="32"/>
        </w:rPr>
        <w:t xml:space="preserve">Business Plan, Market Analysis &amp; Service Portfolio</w:t>
      </w:r>
    </w:p>
    <w:p>
      <w:pPr>
        <w:spacing w:after="200" w:before="600"/>
        <w:jc w:val="center"/>
      </w:pPr>
      <w:r>
        <w:rPr>
          <w:b/>
          <w:bCs/>
          <w:sz w:val="28"/>
          <w:szCs w:val="28"/>
        </w:rPr>
        <w:t xml:space="preserve">Focus Areas</w:t>
      </w:r>
    </w:p>
    <w:p>
      <w:pPr>
        <w:spacing w:after="80"/>
        <w:jc w:val="center"/>
      </w:pPr>
      <w:r>
        <w:rPr>
          <w:sz w:val="26"/>
          <w:szCs w:val="26"/>
        </w:rPr>
        <w:t xml:space="preserve">Ship Recycling Yard Processes  •  Shipyard Operations</w:t>
      </w:r>
    </w:p>
    <w:p>
      <w:pPr>
        <w:spacing w:after="80"/>
        <w:jc w:val="center"/>
      </w:pPr>
      <w:r>
        <w:rPr>
          <w:sz w:val="26"/>
          <w:szCs w:val="26"/>
        </w:rPr>
        <w:t xml:space="preserve">Commercial &amp; Legal Advisory  •  HKC / EU SRR Compliance</w:t>
      </w:r>
    </w:p>
    <w:p>
      <w:pPr>
        <w:spacing w:after="100" w:before="1200"/>
        <w:jc w:val="center"/>
      </w:pPr>
      <w:r>
        <w:rPr>
          <w:i/>
          <w:iCs/>
          <w:color w:val="595959"/>
          <w:sz w:val="22"/>
          <w:szCs w:val="22"/>
        </w:rPr>
        <w:t xml:space="preserve">Target Market: Shipowners &amp; International Brokers / Cash Buyers</w:t>
      </w:r>
    </w:p>
    <w:p>
      <w:pPr>
        <w:spacing w:before="1800"/>
        <w:jc w:val="center"/>
      </w:pPr>
      <w:r>
        <w:rPr>
          <w:color w:val="595959"/>
          <w:sz w:val="24"/>
          <w:szCs w:val="24"/>
        </w:rPr>
        <w:t xml:space="preserve">May 2026</w:t>
      </w:r>
    </w:p>
    <w:p>
      <w:r>
        <w:br w:type="page"/>
      </w:r>
    </w:p>
    <w:p>
      <w:pPr>
        <w:pStyle w:val="Heading1"/>
        <w:spacing w:after="200" w:before="360"/>
      </w:pPr>
      <w:r>
        <w:rPr>
          <w:b/>
          <w:bCs/>
          <w:color w:val="1F4E79"/>
          <w:sz w:val="36"/>
          <w:szCs w:val="36"/>
        </w:rPr>
        <w:t xml:space="preserve">1. Executive Summary</w:t>
      </w:r>
    </w:p>
    <w:p>
      <w:pPr>
        <w:spacing w:after="120" w:line="300"/>
        <w:jc w:val="both"/>
      </w:pPr>
      <w:r>
        <w:t xml:space="preserve">Our company will be positioned as a boutique maritime consulting firm based in Turkey, focused on ship recycling yard processes and shipyard operations, providing commercial and legal advisory services to shipowners, international brokers and cash buyer firms.</w:t>
      </w:r>
    </w:p>
    <w:p>
      <w:pPr>
        <w:spacing w:after="120" w:line="300"/>
        <w:jc w:val="both"/>
      </w:pPr>
      <w:r>
        <w:t xml:space="preserve">The entry into force of the Hong Kong Convention (HKC) on 26 June 2025, alongside the EU Ship Recycling Regulation (EU SRR), now requires shipowners and cash buyers to make yard selection decisions not only on price, but on certification, traceability, environmental and occupational safety compliance. This requirement creates a clear market gap for a specialised independent advisory firm.</w:t>
      </w:r>
    </w:p>
    <w:p>
      <w:pPr>
        <w:spacing w:after="120" w:line="300"/>
        <w:jc w:val="both"/>
      </w:pPr>
      <w:r>
        <w:t xml:space="preserve">Turkey is one of the leading jurisdictions globally in terms of EU-approved ship recycling facilities, with operations concentrated in the Aliağa region. With more than 1 million LDT of annual recycling capacity, Aliağa has become the preferred jurisdiction for EU-flagged tonnage and any vessel requiring green recycling.</w:t>
      </w:r>
    </w:p>
    <w:p>
      <w:pPr>
        <w:spacing w:after="120" w:line="300"/>
        <w:jc w:val="both"/>
      </w:pPr>
      <w:r>
        <w:t xml:space="preserve">Our service portfolio covers the full lifecycle: ship sale &amp; recycling agreement negotiation, IHM (Inventory of Hazardous Materials) management, Ship Recycling Plan (SRP) preparation, HKC / EU SRR compliance audits, shipyard operations design, and international logistics, customs and contractual risk management.</w:t>
      </w:r>
    </w:p>
    <w:p>
      <w:pPr>
        <w:spacing w:after="120" w:line="300"/>
        <w:jc w:val="both"/>
      </w:pPr>
      <w:r>
        <w:t xml:space="preserve">Targets for the first 12 months: advisory on at least 4–6 recycling projects, process transformation engagements at 2 yards, and 8–12 IHM / green passport certification engagements. This volume produces a sustainable revenue base manageable by a founding partner, 2 senior consultants and 1 support staff.</w:t>
      </w:r>
    </w:p>
    <w:p>
      <w:pPr>
        <w:spacing w:after="60"/>
      </w:pPr>
      <w:r>
        <w:t xml:space="preserve"/>
      </w:r>
    </w:p>
    <w:p>
      <w:pPr>
        <w:pStyle w:val="Heading1"/>
        <w:spacing w:after="200" w:before="360"/>
      </w:pPr>
      <w:r>
        <w:rPr>
          <w:b/>
          <w:bCs/>
          <w:color w:val="1F4E79"/>
          <w:sz w:val="36"/>
          <w:szCs w:val="36"/>
        </w:rPr>
        <w:t xml:space="preserve">2. Industry &amp; Market Analysis</w:t>
      </w:r>
    </w:p>
    <w:p>
      <w:pPr>
        <w:pStyle w:val="Heading2"/>
        <w:spacing w:after="140" w:before="280"/>
      </w:pPr>
      <w:r>
        <w:rPr>
          <w:b/>
          <w:bCs/>
          <w:color w:val="1F4E79"/>
          <w:sz w:val="28"/>
          <w:szCs w:val="28"/>
        </w:rPr>
        <w:t xml:space="preserve">2.1. Turkey's Position in the Maritime Sector</w:t>
      </w:r>
    </w:p>
    <w:p>
      <w:pPr>
        <w:spacing w:after="120" w:line="300"/>
        <w:jc w:val="both"/>
      </w:pPr>
      <w:r>
        <w:t xml:space="preserve">Turkey is ranked among the top ten countries globally in ship and yacht exports. In 2025 the sector reached USD 2.24 billion in exports, a 17.38% year-on-year increase, making it the fastest-growing industrial sector in Turkey. This growth is both a driver and an opportunity for shipbuilding, repair and recycling yards to move toward more sustainable and compliant processes.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Indicator</w:t>
            </w:r>
          </w:p>
        </w:tc>
        <w:tc>
          <w:tcPr>
            <w:tcW w:type="dxa" w:w="6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2025 / 2026 Status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Turkey ship &amp; yacht exports</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USD 2.24 billion (2025); +17.38% YoY. Fastest-growing industrial sector in Turkey.</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Shipyard capacity</w:t>
            </w:r>
          </w:p>
        </w:tc>
        <w:tc>
          <w:tcPr>
            <w:tcW w:type="dxa" w:w="6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Steel processing: 700,000 t/year • New build: 2 million DWT/year • Repair &amp; maintenance: 46.4 million DWT/year</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Aliağa recycling cluster</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Centre of Turkey's ship recycling industry. Among the jurisdictions with the highest number of EU-approved facilities globally. Tonnage decline in 2025 with recovery expected in 2026.</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LDT prices (2026)</w:t>
            </w:r>
          </w:p>
        </w:tc>
        <w:tc>
          <w:tcPr>
            <w:tcW w:type="dxa" w:w="6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Turkey: Containers ~USD 290/LDT • Tankers ~USD 280/LDT • Bulkers ~USD 270/LDT. Pricing disadvantage vs. South Asia for mainstream tonnage; advantage on green/EU-flagged tonnage.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Aliağa ports</w:t>
            </w:r>
          </w:p>
        </w:tc>
        <w:tc>
          <w:tcPr>
            <w:tcW w:type="dxa" w:w="6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Jan–Nov 2025: 5,701 vessel calls; 80.57 million tonnes net cargo handled (+3.31% YoY); national leader in net tonnage.</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Regulatory environment</w:t>
            </w:r>
          </w:p>
        </w:tc>
        <w:tc>
          <w:tcPr>
            <w:tcW w:type="dxa" w:w="6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HKC entered into force on 26 June 2025. ICIHM mandatory for vessels above 500 GT by 26 June 2030 at the latest. EU SRR adds a 15-substance list and EU-approved facility requirement.</w:t>
            </w:r>
          </w:p>
        </w:tc>
      </w:tr>
    </w:tbl>
    <w:p>
      <w:pPr>
        <w:spacing w:after="60"/>
      </w:pPr>
      <w:r>
        <w:t xml:space="preserve"/>
      </w:r>
    </w:p>
    <w:p>
      <w:pPr>
        <w:pStyle w:val="Heading2"/>
        <w:spacing w:after="140" w:before="280"/>
      </w:pPr>
      <w:r>
        <w:rPr>
          <w:b/>
          <w:bCs/>
          <w:color w:val="1F4E79"/>
          <w:sz w:val="28"/>
          <w:szCs w:val="28"/>
        </w:rPr>
        <w:t xml:space="preserve">2.2. Ship Recycling Industry and Aliağa</w:t>
      </w:r>
    </w:p>
    <w:p>
      <w:pPr>
        <w:spacing w:after="120" w:line="300"/>
        <w:jc w:val="both"/>
      </w:pPr>
      <w:r>
        <w:t xml:space="preserve">Aliağa, located roughly 50 km north of İzmir, is a cluster of state-owned plots leased to private operators within a heavy-industry zone. A significant portion of these leases enter renewal/extension cycles in 2026, creating both uncertainty and a restructuring opportunity for the sector.</w:t>
      </w:r>
    </w:p>
    <w:p>
      <w:pPr>
        <w:spacing w:after="120" w:line="300"/>
        <w:jc w:val="both"/>
      </w:pPr>
      <w:r>
        <w:t xml:space="preserve">Over the past two years the sector has contracted in terms of vessel count and LDT, but industry representatives expect recovery in 2026. Turkey's structural advantages remain: the number of EU-approved facilities, geographical proximity to the EU and Mediterranean basin, and demonstrated maturity in certification.</w:t>
      </w:r>
    </w:p>
    <w:p>
      <w:pPr>
        <w:pStyle w:val="Heading2"/>
        <w:spacing w:after="140" w:before="280"/>
      </w:pPr>
      <w:r>
        <w:rPr>
          <w:b/>
          <w:bCs/>
          <w:color w:val="1F4E79"/>
          <w:sz w:val="28"/>
          <w:szCs w:val="28"/>
        </w:rPr>
        <w:t xml:space="preserve">2.3. Regulatory Framework – The Window of Opportunity</w:t>
      </w:r>
    </w:p>
    <w:p>
      <w:pPr>
        <w:pStyle w:val="ListParagraph"/>
        <w:numPr>
          <w:ilvl w:val="0"/>
          <w:numId w:val="2"/>
        </w:numPr>
        <w:spacing w:after="80" w:line="280"/>
      </w:pPr>
      <w:r>
        <w:rPr>
          <w:b/>
          <w:bCs/>
        </w:rPr>
        <w:t xml:space="preserve">Hong Kong Convention (HKC): </w:t>
      </w:r>
      <w:r>
        <w:t xml:space="preserve">Entered into force on 26 June 2025. All ships above 500 GT must carry an ICIHM (International Certificate on Inventory of Hazardous Materials) by 26 June 2030 at the latest, or earlier if going to recycling.</w:t>
      </w:r>
    </w:p>
    <w:p>
      <w:pPr>
        <w:pStyle w:val="ListParagraph"/>
        <w:numPr>
          <w:ilvl w:val="0"/>
          <w:numId w:val="2"/>
        </w:numPr>
        <w:spacing w:after="80" w:line="280"/>
      </w:pPr>
      <w:r>
        <w:rPr>
          <w:b/>
          <w:bCs/>
        </w:rPr>
        <w:t xml:space="preserve">EU Ship Recycling Regulation (SRR): </w:t>
      </w:r>
      <w:r>
        <w:t xml:space="preserve">Mandates use of EU-approved facilities for EU/EEA-flagged ships and any vessel calling at EU/EEA ports. Lists 15 hazardous materials (two more than HKC).</w:t>
      </w:r>
    </w:p>
    <w:p>
      <w:pPr>
        <w:pStyle w:val="ListParagraph"/>
        <w:numPr>
          <w:ilvl w:val="0"/>
          <w:numId w:val="2"/>
        </w:numPr>
        <w:spacing w:after="80" w:line="280"/>
      </w:pPr>
      <w:r>
        <w:rPr>
          <w:b/>
          <w:bCs/>
        </w:rPr>
        <w:t xml:space="preserve">Basel Convention: </w:t>
      </w:r>
      <w:r>
        <w:t xml:space="preserve">Governs trans-boundary movement of hazardous waste; particularly critical for last-voyage flag changes and transit ports.</w:t>
      </w:r>
    </w:p>
    <w:p>
      <w:pPr>
        <w:spacing w:after="120" w:line="300"/>
        <w:jc w:val="both"/>
      </w:pPr>
      <w:r>
        <w:t xml:space="preserve">This triple regulatory framework requires shipowners to make recycling decisions based on compliance, traceability and reputational risk rather than price alone. For yards, this creates a permanent demand for independent advisory on both compliance and process optimisation.</w:t>
      </w:r>
    </w:p>
    <w:p>
      <w:pPr>
        <w:pStyle w:val="Heading2"/>
        <w:spacing w:after="140" w:before="280"/>
      </w:pPr>
      <w:r>
        <w:rPr>
          <w:b/>
          <w:bCs/>
          <w:color w:val="1F4E79"/>
          <w:sz w:val="28"/>
          <w:szCs w:val="28"/>
        </w:rPr>
        <w:t xml:space="preserve">2.4. Competitive Landscape</w:t>
      </w:r>
    </w:p>
    <w:p>
      <w:pPr>
        <w:pStyle w:val="ListParagraph"/>
        <w:numPr>
          <w:ilvl w:val="0"/>
          <w:numId w:val="2"/>
        </w:numPr>
        <w:spacing w:after="80" w:line="280"/>
      </w:pPr>
      <w:r>
        <w:rPr>
          <w:b/>
          <w:bCs/>
        </w:rPr>
        <w:t xml:space="preserve">International cash buyers (GMS, Wirana, Best Oasis): </w:t>
      </w:r>
      <w:r>
        <w:t xml:space="preserve">Very strong commercial position but do not provide independent compliance advisory between yard and shipowner. Partnership opportunity rather than competitive threat.</w:t>
      </w:r>
    </w:p>
    <w:p>
      <w:pPr>
        <w:pStyle w:val="ListParagraph"/>
        <w:numPr>
          <w:ilvl w:val="0"/>
          <w:numId w:val="2"/>
        </w:numPr>
        <w:spacing w:after="80" w:line="280"/>
      </w:pPr>
      <w:r>
        <w:rPr>
          <w:b/>
          <w:bCs/>
        </w:rPr>
        <w:t xml:space="preserve">Classification societies (DNV, LR, BV, RINA, ClassNK): </w:t>
      </w:r>
      <w:r>
        <w:t xml:space="preserve">Handle IHM certification and audits; operational advisory and contract-side work fall outside their scope.</w:t>
      </w:r>
    </w:p>
    <w:p>
      <w:pPr>
        <w:pStyle w:val="ListParagraph"/>
        <w:numPr>
          <w:ilvl w:val="0"/>
          <w:numId w:val="2"/>
        </w:numPr>
        <w:spacing w:after="80" w:line="280"/>
      </w:pPr>
      <w:r>
        <w:rPr>
          <w:b/>
          <w:bCs/>
        </w:rPr>
        <w:t xml:space="preserve">Local engineering firms: </w:t>
      </w:r>
      <w:r>
        <w:t xml:space="preserve">Focused on environmental, EIA and OHS work; typically weak on HKC/EU SRR and international contracting expertise.</w:t>
      </w:r>
    </w:p>
    <w:p>
      <w:pPr>
        <w:pStyle w:val="ListParagraph"/>
        <w:numPr>
          <w:ilvl w:val="0"/>
          <w:numId w:val="2"/>
        </w:numPr>
        <w:spacing w:after="80" w:line="280"/>
      </w:pPr>
      <w:r>
        <w:rPr>
          <w:b/>
          <w:bCs/>
        </w:rPr>
        <w:t xml:space="preserve">Local law firms: </w:t>
      </w:r>
      <w:r>
        <w:t xml:space="preserve">Strong on the contract side but not integrated with shipyard operational processes.</w:t>
      </w:r>
    </w:p>
    <w:p>
      <w:pPr>
        <w:spacing w:after="120" w:line="300"/>
        <w:jc w:val="both"/>
      </w:pPr>
      <w:r>
        <w:t xml:space="preserve">Our positioning: a boutique hub that fills the integration gap between these four player groups — knowing the yard floor, reading the contract, and interpreting the regulation.</w:t>
      </w:r>
    </w:p>
    <w:p>
      <w:pPr>
        <w:spacing w:after="60"/>
      </w:pPr>
      <w:r>
        <w:t xml:space="preserve"/>
      </w:r>
    </w:p>
    <w:p>
      <w:pPr>
        <w:pStyle w:val="Heading1"/>
        <w:spacing w:after="200" w:before="360"/>
      </w:pPr>
      <w:r>
        <w:rPr>
          <w:b/>
          <w:bCs/>
          <w:color w:val="1F4E79"/>
          <w:sz w:val="36"/>
          <w:szCs w:val="36"/>
        </w:rPr>
        <w:t xml:space="preserve">3. Service Portfolio</w:t>
      </w:r>
    </w:p>
    <w:p>
      <w:pPr>
        <w:spacing w:after="120" w:line="300"/>
        <w:jc w:val="both"/>
      </w:pPr>
      <w:r>
        <w:t xml:space="preserve">Our service portfolio rests on two main axes: (i) end-to-end project management on the shipowner / cash buyer side for the recycling of a vessel, and (ii) process transformation advisory to help yards build internationally compliant, traceable and sustainable operations. The table below summarises the main service 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Service Line</w:t>
            </w:r>
          </w:p>
        </w:tc>
        <w:tc>
          <w:tcPr>
            <w:tcW w:type="dxa" w:w="4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Scope</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Typical Duration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Recycling Project Advisory</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Yard selection, price negotiation support, MoA drafting, contract management, final voyage coordination.</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4–8 weeks</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HKC / EU SRR Compliance</w:t>
            </w:r>
          </w:p>
        </w:tc>
        <w:tc>
          <w:tcPr>
            <w:tcW w:type="dxa" w:w="4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IHM Parts I/II/III, ICIHM certification support, SRFP / SRP preparation, Final Survey guidance.</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6–12 weeks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Shipyard Operations Design</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Recycling plan, workflow optimisation, crane/equipment planning, KPI/SLA systems.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8–16 weeks</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Commercial &amp; Legal Advisory</w:t>
            </w:r>
          </w:p>
        </w:tc>
        <w:tc>
          <w:tcPr>
            <w:tcW w:type="dxa" w:w="4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BIMCO RECYCLECON / DEMOLISHCON template tailoring, Basel compliance, customs, P&amp;I/Cargo claim coordination.</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Project-based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sz w:val="22"/>
                <w:szCs w:val="22"/>
              </w:rPr>
              <w:t xml:space="preserve">Cash Buyer / Broker Support</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Turkey-jurisdiction due diligence, yard audit reports, final voyage logistics.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Per transaction</w:t>
            </w:r>
          </w:p>
        </w:tc>
      </w:tr>
      <w:tr>
        <w:tc>
          <w:tcPr>
            <w:tcW w:type="dxa" w:w="30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b/>
                <w:bCs/>
                <w:sz w:val="22"/>
                <w:szCs w:val="22"/>
              </w:rPr>
              <w:t xml:space="preserve">Training &amp; Certification</w:t>
            </w:r>
          </w:p>
        </w:tc>
        <w:tc>
          <w:tcPr>
            <w:tcW w:type="dxa" w:w="4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HKC awareness, OHS, asbestos awareness training for yard personnel; ICIHM workshops for shipowner operations teams.</w:t>
            </w:r>
          </w:p>
        </w:tc>
        <w:tc>
          <w:tcPr>
            <w:tcW w:type="dxa" w:w="15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Modular</w:t>
            </w:r>
          </w:p>
        </w:tc>
      </w:tr>
    </w:tbl>
    <w:p>
      <w:pPr>
        <w:spacing w:after="60"/>
      </w:pPr>
      <w:r>
        <w:t xml:space="preserve"/>
      </w:r>
    </w:p>
    <w:p>
      <w:pPr>
        <w:pStyle w:val="Heading2"/>
        <w:spacing w:after="140" w:before="280"/>
      </w:pPr>
      <w:r>
        <w:rPr>
          <w:b/>
          <w:bCs/>
          <w:color w:val="1F4E79"/>
          <w:sz w:val="28"/>
          <w:szCs w:val="28"/>
        </w:rPr>
        <w:t xml:space="preserve">3.1. Recycling Project Advisory (Shipowner Side)</w:t>
      </w:r>
    </w:p>
    <w:p>
      <w:pPr>
        <w:pStyle w:val="ListParagraph"/>
        <w:numPr>
          <w:ilvl w:val="0"/>
          <w:numId w:val="2"/>
        </w:numPr>
        <w:spacing w:after="80" w:line="280"/>
      </w:pPr>
      <w:r>
        <w:rPr>
          <w:b/>
          <w:bCs/>
        </w:rPr>
        <w:t xml:space="preserve">Yard selection &amp; due diligence: </w:t>
      </w:r>
      <w:r>
        <w:t xml:space="preserve">Comparative analysis of Aliağa facilities based on HKC/EU SRR status, capacity, past references and OHS track record.</w:t>
      </w:r>
    </w:p>
    <w:p>
      <w:pPr>
        <w:pStyle w:val="ListParagraph"/>
        <w:numPr>
          <w:ilvl w:val="0"/>
          <w:numId w:val="2"/>
        </w:numPr>
        <w:spacing w:after="80" w:line="280"/>
      </w:pPr>
      <w:r>
        <w:rPr>
          <w:b/>
          <w:bCs/>
        </w:rPr>
        <w:t xml:space="preserve">Price negotiation &amp; MoA: </w:t>
      </w:r>
      <w:r>
        <w:t xml:space="preserve">Representing the shipowner in MoA negotiations with cash buyers or directly with the yard; customisation of BIMCO RECYCLECON / DEMOLISHCON forms.</w:t>
      </w:r>
    </w:p>
    <w:p>
      <w:pPr>
        <w:pStyle w:val="ListParagraph"/>
        <w:numPr>
          <w:ilvl w:val="0"/>
          <w:numId w:val="2"/>
        </w:numPr>
        <w:spacing w:after="80" w:line="280"/>
      </w:pPr>
      <w:r>
        <w:rPr>
          <w:b/>
          <w:bCs/>
        </w:rPr>
        <w:t xml:space="preserve">Final voyage: </w:t>
      </w:r>
      <w:r>
        <w:t xml:space="preserve">Final voyage planning to the recycling site, flag change, insurance, P&amp;I and class period coordination.</w:t>
      </w:r>
    </w:p>
    <w:p>
      <w:pPr>
        <w:pStyle w:val="ListParagraph"/>
        <w:numPr>
          <w:ilvl w:val="0"/>
          <w:numId w:val="2"/>
        </w:numPr>
        <w:spacing w:after="80" w:line="280"/>
      </w:pPr>
      <w:r>
        <w:rPr>
          <w:b/>
          <w:bCs/>
        </w:rPr>
        <w:t xml:space="preserve">Final Survey support: </w:t>
      </w:r>
      <w:r>
        <w:t xml:space="preserve">Yard delivery; verification of certificates including the Statement of Completion of Ship Recycling.</w:t>
      </w:r>
    </w:p>
    <w:p>
      <w:pPr>
        <w:pStyle w:val="Heading2"/>
        <w:spacing w:after="140" w:before="280"/>
      </w:pPr>
      <w:r>
        <w:rPr>
          <w:b/>
          <w:bCs/>
          <w:color w:val="1F4E79"/>
          <w:sz w:val="28"/>
          <w:szCs w:val="28"/>
        </w:rPr>
        <w:t xml:space="preserve">3.2. HKC / EU SRR Compliance Advisory</w:t>
      </w:r>
    </w:p>
    <w:p>
      <w:pPr>
        <w:pStyle w:val="ListParagraph"/>
        <w:numPr>
          <w:ilvl w:val="0"/>
          <w:numId w:val="2"/>
        </w:numPr>
        <w:spacing w:after="80" w:line="280"/>
      </w:pPr>
      <w:r>
        <w:rPr>
          <w:b/>
          <w:bCs/>
        </w:rPr>
        <w:t xml:space="preserve">IHM Part I: </w:t>
      </w:r>
      <w:r>
        <w:t xml:space="preserve">Sampling for the existing fleet, laboratory coordination, certificate application.</w:t>
      </w:r>
    </w:p>
    <w:p>
      <w:pPr>
        <w:pStyle w:val="ListParagraph"/>
        <w:numPr>
          <w:ilvl w:val="0"/>
          <w:numId w:val="2"/>
        </w:numPr>
        <w:spacing w:after="80" w:line="280"/>
      </w:pPr>
      <w:r>
        <w:rPr>
          <w:b/>
          <w:bCs/>
        </w:rPr>
        <w:t xml:space="preserve">IHM Parts II &amp; III: </w:t>
      </w:r>
      <w:r>
        <w:t xml:space="preserve">Reporting of operationally generated materials (Part II) and other onboard substances (Part III) prior to final voyage.</w:t>
      </w:r>
    </w:p>
    <w:p>
      <w:pPr>
        <w:pStyle w:val="ListParagraph"/>
        <w:numPr>
          <w:ilvl w:val="0"/>
          <w:numId w:val="2"/>
        </w:numPr>
        <w:spacing w:after="80" w:line="280"/>
      </w:pPr>
      <w:r>
        <w:rPr>
          <w:b/>
          <w:bCs/>
        </w:rPr>
        <w:t xml:space="preserve">SRFP / SRP: </w:t>
      </w:r>
      <w:r>
        <w:t xml:space="preserve">Preparation and class approval of Ship Recycling Facility Plan (for yards) and Ship Recycling Plan (per vessel).</w:t>
      </w:r>
    </w:p>
    <w:p>
      <w:pPr>
        <w:pStyle w:val="ListParagraph"/>
        <w:numPr>
          <w:ilvl w:val="0"/>
          <w:numId w:val="2"/>
        </w:numPr>
        <w:spacing w:after="80" w:line="280"/>
      </w:pPr>
      <w:r>
        <w:rPr>
          <w:b/>
          <w:bCs/>
        </w:rPr>
        <w:t xml:space="preserve">Class coordination: </w:t>
      </w:r>
      <w:r>
        <w:t xml:space="preserve">Managing certification processes with DNV, LR, BV, RINA, ClassNK as the single point of contact for the shipowner.</w:t>
      </w:r>
    </w:p>
    <w:p>
      <w:pPr>
        <w:pStyle w:val="Heading2"/>
        <w:spacing w:after="140" w:before="280"/>
      </w:pPr>
      <w:r>
        <w:rPr>
          <w:b/>
          <w:bCs/>
          <w:color w:val="1F4E79"/>
          <w:sz w:val="28"/>
          <w:szCs w:val="28"/>
        </w:rPr>
        <w:t xml:space="preserve">3.3. Shipyard Operations Process Advisory</w:t>
      </w:r>
    </w:p>
    <w:p>
      <w:pPr>
        <w:pStyle w:val="ListParagraph"/>
        <w:numPr>
          <w:ilvl w:val="0"/>
          <w:numId w:val="2"/>
        </w:numPr>
        <w:spacing w:after="80" w:line="280"/>
      </w:pPr>
      <w:r>
        <w:rPr>
          <w:b/>
          <w:bCs/>
        </w:rPr>
        <w:t xml:space="preserve">As-Is analysis: </w:t>
      </w:r>
      <w:r>
        <w:t xml:space="preserve">Process mapping of the existing yard, bottleneck analysis, crane/equipment/human resource performance review.</w:t>
      </w:r>
    </w:p>
    <w:p>
      <w:pPr>
        <w:pStyle w:val="ListParagraph"/>
        <w:numPr>
          <w:ilvl w:val="0"/>
          <w:numId w:val="2"/>
        </w:numPr>
        <w:spacing w:after="80" w:line="280"/>
      </w:pPr>
      <w:r>
        <w:rPr>
          <w:b/>
          <w:bCs/>
        </w:rPr>
        <w:t xml:space="preserve">To-Be design: </w:t>
      </w:r>
      <w:r>
        <w:t xml:space="preserve">HKC-compliant recycling flow, waste segregation stations, asbestos/PCB removal procedures.</w:t>
      </w:r>
    </w:p>
    <w:p>
      <w:pPr>
        <w:pStyle w:val="ListParagraph"/>
        <w:numPr>
          <w:ilvl w:val="0"/>
          <w:numId w:val="2"/>
        </w:numPr>
        <w:spacing w:after="80" w:line="280"/>
      </w:pPr>
      <w:r>
        <w:rPr>
          <w:b/>
          <w:bCs/>
        </w:rPr>
        <w:t xml:space="preserve">Digitalisation: </w:t>
      </w:r>
      <w:r>
        <w:t xml:space="preserve">Selection of recycling tracking software, integration of IHM data with on-site tracking, KPI dashboard implementation.</w:t>
      </w:r>
    </w:p>
    <w:p>
      <w:pPr>
        <w:pStyle w:val="ListParagraph"/>
        <w:numPr>
          <w:ilvl w:val="0"/>
          <w:numId w:val="2"/>
        </w:numPr>
        <w:spacing w:after="80" w:line="280"/>
      </w:pPr>
      <w:r>
        <w:rPr>
          <w:b/>
          <w:bCs/>
        </w:rPr>
        <w:t xml:space="preserve">Continuous improvement: </w:t>
      </w:r>
      <w:r>
        <w:t xml:space="preserve">Monthly operations review, record audits, employee training tracking system.</w:t>
      </w:r>
    </w:p>
    <w:p>
      <w:pPr>
        <w:pStyle w:val="Heading2"/>
        <w:spacing w:after="140" w:before="280"/>
      </w:pPr>
      <w:r>
        <w:rPr>
          <w:b/>
          <w:bCs/>
          <w:color w:val="1F4E79"/>
          <w:sz w:val="28"/>
          <w:szCs w:val="28"/>
        </w:rPr>
        <w:t xml:space="preserve">3.4. Commercial &amp; Legal Advisory</w:t>
      </w:r>
    </w:p>
    <w:p>
      <w:pPr>
        <w:pStyle w:val="ListParagraph"/>
        <w:numPr>
          <w:ilvl w:val="0"/>
          <w:numId w:val="2"/>
        </w:numPr>
        <w:spacing w:after="80" w:line="280"/>
      </w:pPr>
      <w:r>
        <w:rPr>
          <w:b/>
          <w:bCs/>
        </w:rPr>
        <w:t xml:space="preserve">Contract management: </w:t>
      </w:r>
      <w:r>
        <w:t xml:space="preserve">Adaptation of BIMCO RECYCLECON 2012, DEMOLISHCON and bespoke cash buyer templates to the shipowner's interest.</w:t>
      </w:r>
    </w:p>
    <w:p>
      <w:pPr>
        <w:pStyle w:val="ListParagraph"/>
        <w:numPr>
          <w:ilvl w:val="0"/>
          <w:numId w:val="2"/>
        </w:numPr>
        <w:spacing w:after="80" w:line="280"/>
      </w:pPr>
      <w:r>
        <w:rPr>
          <w:b/>
          <w:bCs/>
        </w:rPr>
        <w:t xml:space="preserve">Basel Convention: </w:t>
      </w:r>
      <w:r>
        <w:t xml:space="preserve">Strategy on final voyage, flag and port calls within the trans-boundary hazardous waste framework.</w:t>
      </w:r>
    </w:p>
    <w:p>
      <w:pPr>
        <w:pStyle w:val="ListParagraph"/>
        <w:numPr>
          <w:ilvl w:val="0"/>
          <w:numId w:val="2"/>
        </w:numPr>
        <w:spacing w:after="80" w:line="280"/>
      </w:pPr>
      <w:r>
        <w:rPr>
          <w:b/>
          <w:bCs/>
        </w:rPr>
        <w:t xml:space="preserve">Customs &amp; export: </w:t>
      </w:r>
      <w:r>
        <w:t xml:space="preserve">Customs, VAT/SCT processes for the domestic / international sale of steel, equipment and spare parts recovered after recycling.</w:t>
      </w:r>
    </w:p>
    <w:p>
      <w:pPr>
        <w:pStyle w:val="ListParagraph"/>
        <w:numPr>
          <w:ilvl w:val="0"/>
          <w:numId w:val="2"/>
        </w:numPr>
        <w:spacing w:after="80" w:line="280"/>
      </w:pPr>
      <w:r>
        <w:rPr>
          <w:b/>
          <w:bCs/>
        </w:rPr>
        <w:t xml:space="preserve">Dispute management: </w:t>
      </w:r>
      <w:r>
        <w:t xml:space="preserve">Management of claims and counter-claims between yard and shipowner, technical advocacy reports for arbitral tribunals under English law.</w:t>
      </w:r>
    </w:p>
    <w:p>
      <w:pPr>
        <w:pStyle w:val="Heading2"/>
        <w:spacing w:after="140" w:before="280"/>
      </w:pPr>
      <w:r>
        <w:rPr>
          <w:b/>
          <w:bCs/>
          <w:color w:val="1F4E79"/>
          <w:sz w:val="28"/>
          <w:szCs w:val="28"/>
        </w:rPr>
        <w:t xml:space="preserve">3.5. Cash Buyer &amp; Broker Support</w:t>
      </w:r>
    </w:p>
    <w:p>
      <w:pPr>
        <w:spacing w:after="120" w:line="300"/>
        <w:jc w:val="both"/>
      </w:pPr>
      <w:r>
        <w:t xml:space="preserve">Full-scope Turkey-jurisdiction representation for international cash buyers and brokers planning to sell vessels into Turkey: yard audit, MoA preparation, final voyage coordination, bilingual (Turkish–English) reporting. This service is a critical bridge for firms transacting in the jurisdiction without a physical Turkey office.</w:t>
      </w:r>
    </w:p>
    <w:p>
      <w:pPr>
        <w:pStyle w:val="Heading2"/>
        <w:spacing w:after="140" w:before="280"/>
      </w:pPr>
      <w:r>
        <w:rPr>
          <w:b/>
          <w:bCs/>
          <w:color w:val="1F4E79"/>
          <w:sz w:val="28"/>
          <w:szCs w:val="28"/>
        </w:rPr>
        <w:t xml:space="preserve">3.6. Training &amp; Certification</w:t>
      </w:r>
    </w:p>
    <w:p>
      <w:pPr>
        <w:spacing w:after="120" w:line="300"/>
        <w:jc w:val="both"/>
      </w:pPr>
      <w:r>
        <w:t xml:space="preserve">HKC awareness, OHS, asbestos removal and waste segregation training for yards; ICIHM management workshops for shipowners. Training is delivered in corporate and open formats, with certificates of participation.</w:t>
      </w:r>
    </w:p>
    <w:p>
      <w:pPr>
        <w:spacing w:after="60"/>
      </w:pPr>
      <w:r>
        <w:t xml:space="preserve"/>
      </w:r>
    </w:p>
    <w:p>
      <w:pPr>
        <w:pStyle w:val="Heading1"/>
        <w:spacing w:after="200" w:before="360"/>
      </w:pPr>
      <w:r>
        <w:rPr>
          <w:b/>
          <w:bCs/>
          <w:color w:val="1F4E79"/>
          <w:sz w:val="36"/>
          <w:szCs w:val="36"/>
        </w:rPr>
        <w:t xml:space="preserve">4. Target Customer Segments</w:t>
      </w:r>
    </w:p>
    <w:p>
      <w:pPr>
        <w:pStyle w:val="Heading2"/>
        <w:spacing w:after="140" w:before="280"/>
      </w:pPr>
      <w:r>
        <w:rPr>
          <w:b/>
          <w:bCs/>
          <w:color w:val="1F4E79"/>
          <w:sz w:val="28"/>
          <w:szCs w:val="28"/>
        </w:rPr>
        <w:t xml:space="preserve">4.1. Shipowners</w:t>
      </w:r>
    </w:p>
    <w:p>
      <w:pPr>
        <w:spacing w:after="120" w:line="300"/>
        <w:jc w:val="both"/>
      </w:pPr>
      <w:r>
        <w:t xml:space="preserve">Local and foreign shipowners looking to send aging tonnage for recycling. In particular: dry bulk (bulker), tanker and container owners; also EU-flagged vessel owners and state-controlled operators (naval, fisheries, research).</w:t>
      </w:r>
    </w:p>
    <w:p>
      <w:pPr>
        <w:pStyle w:val="ListParagraph"/>
        <w:numPr>
          <w:ilvl w:val="0"/>
          <w:numId w:val="2"/>
        </w:numPr>
        <w:spacing w:after="80" w:line="280"/>
      </w:pPr>
      <w:r>
        <w:t xml:space="preserve">Decision maker: Technical manager, fleet manager, in-house counsel.</w:t>
      </w:r>
    </w:p>
    <w:p>
      <w:pPr>
        <w:pStyle w:val="ListParagraph"/>
        <w:numPr>
          <w:ilvl w:val="0"/>
          <w:numId w:val="2"/>
        </w:numPr>
        <w:spacing w:after="80" w:line="280"/>
      </w:pPr>
      <w:r>
        <w:t xml:space="preserve">Key need: optimum point on the triangle of low reputational risk + full compliance + reasonable price.</w:t>
      </w:r>
    </w:p>
    <w:p>
      <w:pPr>
        <w:pStyle w:val="ListParagraph"/>
        <w:numPr>
          <w:ilvl w:val="0"/>
          <w:numId w:val="2"/>
        </w:numPr>
        <w:spacing w:after="80" w:line="280"/>
      </w:pPr>
      <w:r>
        <w:t xml:space="preserve">Sales channel: direct relationships, classification society referrals, maritime fairs (Posidonia, Nor-Shipping).</w:t>
      </w:r>
    </w:p>
    <w:p>
      <w:pPr>
        <w:pStyle w:val="Heading2"/>
        <w:spacing w:after="140" w:before="280"/>
      </w:pPr>
      <w:r>
        <w:rPr>
          <w:b/>
          <w:bCs/>
          <w:color w:val="1F4E79"/>
          <w:sz w:val="28"/>
          <w:szCs w:val="28"/>
        </w:rPr>
        <w:t xml:space="preserve">4.2. International Cash Buyers and Brokers</w:t>
      </w:r>
    </w:p>
    <w:p>
      <w:pPr>
        <w:spacing w:after="120" w:line="300"/>
        <w:jc w:val="both"/>
      </w:pPr>
      <w:r>
        <w:t xml:space="preserve">Global cash buyers such as GMS, Wirana, Best Oasis, Star Asia who acquire vessels from owners and sell them on to recycling yards, alongside shipbrokers like Clarksons, Braemar, BRS, and Compass Maritime. These firms typically do not maintain a physical team in Turkey and have a high need for local knowledge.</w:t>
      </w:r>
    </w:p>
    <w:p>
      <w:pPr>
        <w:pStyle w:val="ListParagraph"/>
        <w:numPr>
          <w:ilvl w:val="0"/>
          <w:numId w:val="2"/>
        </w:numPr>
        <w:spacing w:after="80" w:line="280"/>
      </w:pPr>
      <w:r>
        <w:t xml:space="preserve">Decision maker: Head of recycling desk, country manager.</w:t>
      </w:r>
    </w:p>
    <w:p>
      <w:pPr>
        <w:pStyle w:val="ListParagraph"/>
        <w:numPr>
          <w:ilvl w:val="0"/>
          <w:numId w:val="2"/>
        </w:numPr>
        <w:spacing w:after="80" w:line="280"/>
      </w:pPr>
      <w:r>
        <w:t xml:space="preserve">Key need: Turkey-jurisdiction representation, yard audit reports, final voyage coordination.</w:t>
      </w:r>
    </w:p>
    <w:p>
      <w:pPr>
        <w:pStyle w:val="ListParagraph"/>
        <w:numPr>
          <w:ilvl w:val="0"/>
          <w:numId w:val="2"/>
        </w:numPr>
        <w:spacing w:after="80" w:line="280"/>
      </w:pPr>
      <w:r>
        <w:t xml:space="preserve">Sales channel: LinkedIn outreach, direct visits (Singapore, Dubai, Hamburg, London), industry conferences.</w:t>
      </w:r>
    </w:p>
    <w:p>
      <w:pPr>
        <w:spacing w:after="60"/>
      </w:pPr>
      <w:r>
        <w:t xml:space="preserve"/>
      </w:r>
    </w:p>
    <w:p>
      <w:pPr>
        <w:pStyle w:val="Heading1"/>
        <w:spacing w:after="200" w:before="360"/>
      </w:pPr>
      <w:r>
        <w:rPr>
          <w:b/>
          <w:bCs/>
          <w:color w:val="1F4E79"/>
          <w:sz w:val="36"/>
          <w:szCs w:val="36"/>
        </w:rPr>
        <w:t xml:space="preserve">5. Marketing &amp; Sales Strategy</w:t>
      </w:r>
    </w:p>
    <w:p>
      <w:pPr>
        <w:pStyle w:val="Heading2"/>
        <w:spacing w:after="140" w:before="280"/>
      </w:pPr>
      <w:r>
        <w:rPr>
          <w:b/>
          <w:bCs/>
          <w:color w:val="1F4E79"/>
          <w:sz w:val="28"/>
          <w:szCs w:val="28"/>
        </w:rPr>
        <w:t xml:space="preserve">5.1. Positioning</w:t>
      </w:r>
    </w:p>
    <w:p>
      <w:pPr>
        <w:spacing w:after="120" w:line="300"/>
        <w:jc w:val="both"/>
      </w:pPr>
      <w:r>
        <w:t xml:space="preserve">"Your single point of contact for ship recycling projects in Turkey." An independent, certified boutique advisor that speaks both technical and legal language and bridges shipowners and yards.</w:t>
      </w:r>
    </w:p>
    <w:p>
      <w:pPr>
        <w:pStyle w:val="Heading2"/>
        <w:spacing w:after="140" w:before="280"/>
      </w:pPr>
      <w:r>
        <w:rPr>
          <w:b/>
          <w:bCs/>
          <w:color w:val="1F4E79"/>
          <w:sz w:val="28"/>
          <w:szCs w:val="28"/>
        </w:rPr>
        <w:t xml:space="preserve">5.2. Marketing Tools</w:t>
      </w:r>
    </w:p>
    <w:p>
      <w:pPr>
        <w:pStyle w:val="ListParagraph"/>
        <w:numPr>
          <w:ilvl w:val="0"/>
          <w:numId w:val="2"/>
        </w:numPr>
        <w:spacing w:after="80" w:line="280"/>
      </w:pPr>
      <w:r>
        <w:t xml:space="preserve">Professional English/Turkish website: services, case studies, articles.</w:t>
      </w:r>
    </w:p>
    <w:p>
      <w:pPr>
        <w:pStyle w:val="ListParagraph"/>
        <w:numPr>
          <w:ilvl w:val="0"/>
          <w:numId w:val="2"/>
        </w:numPr>
        <w:spacing w:after="80" w:line="280"/>
      </w:pPr>
      <w:r>
        <w:t xml:space="preserve">LinkedIn Company Page: two sector analysis posts per week (HKC, LDT prices, regulatory updates).</w:t>
      </w:r>
    </w:p>
    <w:p>
      <w:pPr>
        <w:pStyle w:val="ListParagraph"/>
        <w:numPr>
          <w:ilvl w:val="0"/>
          <w:numId w:val="2"/>
        </w:numPr>
        <w:spacing w:after="80" w:line="280"/>
      </w:pPr>
      <w:r>
        <w:t xml:space="preserve">"Turkey Ship Recycling Monitor" – free monthly newsletter; structured access to cash buyer and shipowner mailing lists.</w:t>
      </w:r>
    </w:p>
    <w:p>
      <w:pPr>
        <w:pStyle w:val="ListParagraph"/>
        <w:numPr>
          <w:ilvl w:val="0"/>
          <w:numId w:val="2"/>
        </w:numPr>
        <w:spacing w:after="80" w:line="280"/>
      </w:pPr>
      <w:r>
        <w:t xml:space="preserve">Annual "Turkey Ship Recycling Report" – free downloadable PDF; lead magnet and brand positioning asset.</w:t>
      </w:r>
    </w:p>
    <w:p>
      <w:pPr>
        <w:pStyle w:val="ListParagraph"/>
        <w:numPr>
          <w:ilvl w:val="0"/>
          <w:numId w:val="2"/>
        </w:numPr>
        <w:spacing w:after="80" w:line="280"/>
      </w:pPr>
      <w:r>
        <w:t xml:space="preserve">Industry conferences: Posidonia (Athens), Nor-Shipping (Oslo), Sea Asia (Singapore), TURKMOS (Istanbul).</w:t>
      </w:r>
    </w:p>
    <w:p>
      <w:pPr>
        <w:pStyle w:val="Heading2"/>
        <w:spacing w:after="140" w:before="280"/>
      </w:pPr>
      <w:r>
        <w:rPr>
          <w:b/>
          <w:bCs/>
          <w:color w:val="1F4E79"/>
          <w:sz w:val="28"/>
          <w:szCs w:val="28"/>
        </w:rPr>
        <w:t xml:space="preserve">5.3. Sales Funnel</w:t>
      </w:r>
    </w:p>
    <w:p>
      <w:pPr>
        <w:pStyle w:val="ListParagraph"/>
        <w:numPr>
          <w:ilvl w:val="0"/>
          <w:numId w:val="2"/>
        </w:numPr>
        <w:spacing w:after="80" w:line="280"/>
      </w:pPr>
      <w:r>
        <w:rPr>
          <w:b/>
          <w:bCs/>
        </w:rPr>
        <w:t xml:space="preserve">Awareness: </w:t>
      </w:r>
      <w:r>
        <w:t xml:space="preserve">LinkedIn + newsletter for industry visibility.</w:t>
      </w:r>
    </w:p>
    <w:p>
      <w:pPr>
        <w:pStyle w:val="ListParagraph"/>
        <w:numPr>
          <w:ilvl w:val="0"/>
          <w:numId w:val="2"/>
        </w:numPr>
        <w:spacing w:after="80" w:line="280"/>
      </w:pPr>
      <w:r>
        <w:rPr>
          <w:b/>
          <w:bCs/>
        </w:rPr>
        <w:t xml:space="preserve">Interest: </w:t>
      </w:r>
      <w:r>
        <w:t xml:space="preserve">Turkey Ship Recycling Report download, webinar participation.</w:t>
      </w:r>
    </w:p>
    <w:p>
      <w:pPr>
        <w:pStyle w:val="ListParagraph"/>
        <w:numPr>
          <w:ilvl w:val="0"/>
          <w:numId w:val="2"/>
        </w:numPr>
        <w:spacing w:after="80" w:line="280"/>
      </w:pPr>
      <w:r>
        <w:rPr>
          <w:b/>
          <w:bCs/>
        </w:rPr>
        <w:t xml:space="preserve">Consideration: </w:t>
      </w:r>
      <w:r>
        <w:t xml:space="preserve">Free initial assessment call (45 min) – vessel/yard specific.</w:t>
      </w:r>
    </w:p>
    <w:p>
      <w:pPr>
        <w:pStyle w:val="ListParagraph"/>
        <w:numPr>
          <w:ilvl w:val="0"/>
          <w:numId w:val="2"/>
        </w:numPr>
        <w:spacing w:after="80" w:line="280"/>
      </w:pPr>
      <w:r>
        <w:rPr>
          <w:b/>
          <w:bCs/>
        </w:rPr>
        <w:t xml:space="preserve">Decision: </w:t>
      </w:r>
      <w:r>
        <w:t xml:space="preserve">Project proposal (scope, team, fee, timeline).</w:t>
      </w:r>
    </w:p>
    <w:p>
      <w:pPr>
        <w:pStyle w:val="ListParagraph"/>
        <w:numPr>
          <w:ilvl w:val="0"/>
          <w:numId w:val="2"/>
        </w:numPr>
        <w:spacing w:after="80" w:line="280"/>
      </w:pPr>
      <w:r>
        <w:rPr>
          <w:b/>
          <w:bCs/>
        </w:rPr>
        <w:t xml:space="preserve">Retention: </w:t>
      </w:r>
      <w:r>
        <w:t xml:space="preserve">Monthly retainer model; post-recycling analysis report.</w:t>
      </w:r>
    </w:p>
    <w:p>
      <w:pPr>
        <w:pStyle w:val="Heading2"/>
        <w:spacing w:after="140" w:before="280"/>
      </w:pPr>
      <w:r>
        <w:rPr>
          <w:b/>
          <w:bCs/>
          <w:color w:val="1F4E79"/>
          <w:sz w:val="28"/>
          <w:szCs w:val="28"/>
        </w:rPr>
        <w:t xml:space="preserve">5.4. Pricing Model</w:t>
      </w:r>
    </w:p>
    <w:p>
      <w:pPr>
        <w:pStyle w:val="ListParagraph"/>
        <w:numPr>
          <w:ilvl w:val="0"/>
          <w:numId w:val="2"/>
        </w:numPr>
        <w:spacing w:after="80" w:line="280"/>
      </w:pPr>
      <w:r>
        <w:t xml:space="preserve">Project-based fixed fee (recycling advisory: USD 25,000–75,000).</w:t>
      </w:r>
    </w:p>
    <w:p>
      <w:pPr>
        <w:pStyle w:val="ListParagraph"/>
        <w:numPr>
          <w:ilvl w:val="0"/>
          <w:numId w:val="2"/>
        </w:numPr>
        <w:spacing w:after="80" w:line="280"/>
      </w:pPr>
      <w:r>
        <w:t xml:space="preserve">Hourly / daily fee (legal advisory: USD 250–450/hour or USD 1,800–2,800/day).</w:t>
      </w:r>
    </w:p>
    <w:p>
      <w:pPr>
        <w:pStyle w:val="ListParagraph"/>
        <w:numPr>
          <w:ilvl w:val="0"/>
          <w:numId w:val="2"/>
        </w:numPr>
        <w:spacing w:after="80" w:line="280"/>
      </w:pPr>
      <w:r>
        <w:t xml:space="preserve">Retainer (USD 5,000–12,000/month for yard process transformation projects).</w:t>
      </w:r>
    </w:p>
    <w:p>
      <w:pPr>
        <w:pStyle w:val="ListParagraph"/>
        <w:numPr>
          <w:ilvl w:val="0"/>
          <w:numId w:val="2"/>
        </w:numPr>
        <w:spacing w:after="80" w:line="280"/>
      </w:pPr>
      <w:r>
        <w:t xml:space="preserve">Success fee (5–10% of the price uplift achieved; optional hybrid model).</w:t>
      </w:r>
    </w:p>
    <w:p>
      <w:pPr>
        <w:spacing w:after="60"/>
      </w:pPr>
      <w:r>
        <w:t xml:space="preserve"/>
      </w:r>
    </w:p>
    <w:p>
      <w:pPr>
        <w:pStyle w:val="Heading1"/>
        <w:spacing w:after="200" w:before="360"/>
      </w:pPr>
      <w:r>
        <w:rPr>
          <w:b/>
          <w:bCs/>
          <w:color w:val="1F4E79"/>
          <w:sz w:val="36"/>
          <w:szCs w:val="36"/>
        </w:rPr>
        <w:t xml:space="preserve">6. Operating Model</w:t>
      </w:r>
    </w:p>
    <w:p>
      <w:pPr>
        <w:pStyle w:val="Heading2"/>
        <w:spacing w:after="140" w:before="280"/>
      </w:pPr>
      <w:r>
        <w:rPr>
          <w:b/>
          <w:bCs/>
          <w:color w:val="1F4E79"/>
          <w:sz w:val="28"/>
          <w:szCs w:val="28"/>
        </w:rPr>
        <w:t xml:space="preserve">6.1. Team Structure (First 12 Months)</w:t>
      </w:r>
    </w:p>
    <w:p>
      <w:pPr>
        <w:pStyle w:val="ListParagraph"/>
        <w:numPr>
          <w:ilvl w:val="0"/>
          <w:numId w:val="2"/>
        </w:numPr>
        <w:spacing w:after="80" w:line="280"/>
      </w:pPr>
      <w:r>
        <w:t xml:space="preserve">Founder / Managing Director – maritime industry &amp; commercial negotiation expertise.</w:t>
      </w:r>
    </w:p>
    <w:p>
      <w:pPr>
        <w:pStyle w:val="ListParagraph"/>
        <w:numPr>
          <w:ilvl w:val="0"/>
          <w:numId w:val="2"/>
        </w:numPr>
        <w:spacing w:after="80" w:line="280"/>
      </w:pPr>
      <w:r>
        <w:t xml:space="preserve">Senior Consultant (Operations) – yard floor experience, former yard operations manager profile.</w:t>
      </w:r>
    </w:p>
    <w:p>
      <w:pPr>
        <w:pStyle w:val="ListParagraph"/>
        <w:numPr>
          <w:ilvl w:val="0"/>
          <w:numId w:val="2"/>
        </w:numPr>
        <w:spacing w:after="80" w:line="280"/>
      </w:pPr>
      <w:r>
        <w:t xml:space="preserve">Senior Consultant (Legal &amp; Compliance) – maritime law, HKC/EU SRR compliance experience.</w:t>
      </w:r>
    </w:p>
    <w:p>
      <w:pPr>
        <w:pStyle w:val="ListParagraph"/>
        <w:numPr>
          <w:ilvl w:val="0"/>
          <w:numId w:val="2"/>
        </w:numPr>
        <w:spacing w:after="80" w:line="280"/>
      </w:pPr>
      <w:r>
        <w:t xml:space="preserve">Junior analyst + office coordinator.</w:t>
      </w:r>
    </w:p>
    <w:p>
      <w:pPr>
        <w:pStyle w:val="Heading2"/>
        <w:spacing w:after="140" w:before="280"/>
      </w:pPr>
      <w:r>
        <w:rPr>
          <w:b/>
          <w:bCs/>
          <w:color w:val="1F4E79"/>
          <w:sz w:val="28"/>
          <w:szCs w:val="28"/>
        </w:rPr>
        <w:t xml:space="preserve">6.2. Partner and Supplier Network</w:t>
      </w:r>
    </w:p>
    <w:p>
      <w:pPr>
        <w:pStyle w:val="ListParagraph"/>
        <w:numPr>
          <w:ilvl w:val="0"/>
          <w:numId w:val="2"/>
        </w:numPr>
        <w:spacing w:after="80" w:line="280"/>
      </w:pPr>
      <w:r>
        <w:t xml:space="preserve">Framework cooperation with two classification societies (DNV + LR recommended) for IHM and SRP approvals.</w:t>
      </w:r>
    </w:p>
    <w:p>
      <w:pPr>
        <w:pStyle w:val="ListParagraph"/>
        <w:numPr>
          <w:ilvl w:val="0"/>
          <w:numId w:val="2"/>
        </w:numPr>
        <w:spacing w:after="80" w:line="280"/>
      </w:pPr>
      <w:r>
        <w:t xml:space="preserve">Accredited asbestos / hazardous materials laboratory (e.g. Bureau Veritas TR, SGS TR).</w:t>
      </w:r>
    </w:p>
    <w:p>
      <w:pPr>
        <w:pStyle w:val="ListParagraph"/>
        <w:numPr>
          <w:ilvl w:val="0"/>
          <w:numId w:val="2"/>
        </w:numPr>
        <w:spacing w:after="80" w:line="280"/>
      </w:pPr>
      <w:r>
        <w:t xml:space="preserve">Co-consultant arrangement with an international maritime law firm for English-law arbitration matters.</w:t>
      </w:r>
    </w:p>
    <w:p>
      <w:pPr>
        <w:pStyle w:val="ListParagraph"/>
        <w:numPr>
          <w:ilvl w:val="0"/>
          <w:numId w:val="2"/>
        </w:numPr>
        <w:spacing w:after="80" w:line="280"/>
      </w:pPr>
      <w:r>
        <w:t xml:space="preserve">Framework operational protocol with 2 yards based in Aliağa.</w:t>
      </w:r>
    </w:p>
    <w:p>
      <w:pPr>
        <w:pStyle w:val="Heading2"/>
        <w:spacing w:after="140" w:before="280"/>
      </w:pPr>
      <w:r>
        <w:rPr>
          <w:b/>
          <w:bCs/>
          <w:color w:val="1F4E79"/>
          <w:sz w:val="28"/>
          <w:szCs w:val="28"/>
        </w:rPr>
        <w:t xml:space="preserve">6.3. Location</w:t>
      </w:r>
    </w:p>
    <w:p>
      <w:pPr>
        <w:spacing w:after="120" w:line="300"/>
        <w:jc w:val="both"/>
      </w:pPr>
      <w:r>
        <w:t xml:space="preserve">Headquarters: İzmir (proximity to Aliağa + airport access). Representative office: Istanbul (Levent/Maslak; due to shipowner and broker concentration). In the medium term, a representative office in Piraeus / Athens could be considered.</w:t>
      </w:r>
    </w:p>
    <w:p>
      <w:pPr>
        <w:pStyle w:val="Heading2"/>
        <w:spacing w:after="140" w:before="280"/>
      </w:pPr>
      <w:r>
        <w:rPr>
          <w:b/>
          <w:bCs/>
          <w:color w:val="1F4E79"/>
          <w:sz w:val="28"/>
          <w:szCs w:val="28"/>
        </w:rPr>
        <w:t xml:space="preserve">6.4. Quality Management</w:t>
      </w:r>
    </w:p>
    <w:p>
      <w:pPr>
        <w:pStyle w:val="ListParagraph"/>
        <w:numPr>
          <w:ilvl w:val="0"/>
          <w:numId w:val="2"/>
        </w:numPr>
        <w:spacing w:after="80" w:line="280"/>
      </w:pPr>
      <w:r>
        <w:t xml:space="preserve">ISO 9001 and ISO 14001 certification (month 12 target).</w:t>
      </w:r>
    </w:p>
    <w:p>
      <w:pPr>
        <w:pStyle w:val="ListParagraph"/>
        <w:numPr>
          <w:ilvl w:val="0"/>
          <w:numId w:val="2"/>
        </w:numPr>
        <w:spacing w:after="80" w:line="280"/>
      </w:pPr>
      <w:r>
        <w:t xml:space="preserve">ISO 45001 OHS management system (month 24 target).</w:t>
      </w:r>
    </w:p>
    <w:p>
      <w:pPr>
        <w:pStyle w:val="ListParagraph"/>
        <w:numPr>
          <w:ilvl w:val="0"/>
          <w:numId w:val="2"/>
        </w:numPr>
        <w:spacing w:after="80" w:line="280"/>
      </w:pPr>
      <w:r>
        <w:t xml:space="preserve">Closing report at the end of each project with quality, schedule and customer satisfaction scoring.</w:t>
      </w:r>
    </w:p>
    <w:p>
      <w:pPr>
        <w:spacing w:after="60"/>
      </w:pPr>
      <w:r>
        <w:t xml:space="preserve"/>
      </w:r>
    </w:p>
    <w:p>
      <w:pPr>
        <w:pStyle w:val="Heading1"/>
        <w:spacing w:after="200" w:before="360"/>
      </w:pPr>
      <w:r>
        <w:rPr>
          <w:b/>
          <w:bCs/>
          <w:color w:val="1F4E79"/>
          <w:sz w:val="36"/>
          <w:szCs w:val="36"/>
        </w:rPr>
        <w:t xml:space="preserve">7. Financial Projection (Base Case)</w:t>
      </w:r>
    </w:p>
    <w:p>
      <w:pPr>
        <w:spacing w:after="120" w:line="300"/>
        <w:jc w:val="both"/>
      </w:pPr>
      <w:r>
        <w:t xml:space="preserve">The three-year projection below reflects a realistic base case. All figures are in thousand US dollars. Assumptions: average fee of USD 40,000–50,000 per recycling advisory project, USD 12,000–15,000 per HKC compliance engagement, retainer of USD 8,000–10,000 per month.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Item (USD '000)</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Year 1</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Year 2</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Year 3</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Recycling project advisory (4 / 8 / 14 projects)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160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360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700</w:t>
            </w:r>
          </w:p>
        </w:tc>
      </w:tr>
      <w:tr>
        <w:tc>
          <w:tcPr>
            <w:tcW w:type="dxa" w:w="3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HKC / EU SRR compliance (10 / 20 / 35 files)</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120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260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475</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Yard process transformation (retainer)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60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180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300</w:t>
            </w:r>
          </w:p>
        </w:tc>
      </w:tr>
      <w:tr>
        <w:tc>
          <w:tcPr>
            <w:tcW w:type="dxa" w:w="3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Training &amp; certification</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25</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60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110</w:t>
            </w:r>
          </w:p>
        </w:tc>
      </w:tr>
      <w:tr>
        <w:tc>
          <w:tcPr>
            <w:tcW w:type="dxa" w:w="36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left"/>
            </w:pPr>
            <w:r>
              <w:rPr>
                <w:b/>
                <w:bCs/>
                <w:sz w:val="22"/>
                <w:szCs w:val="22"/>
              </w:rPr>
              <w:t xml:space="preserve">TOTAL REVENUE</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365</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860</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1,585</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Personnel cost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180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320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520</w:t>
            </w:r>
          </w:p>
        </w:tc>
      </w:tr>
      <w:tr>
        <w:tc>
          <w:tcPr>
            <w:tcW w:type="dxa" w:w="3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Office &amp; operations</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60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90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140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Marketing (fairs, web, content)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45</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70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2"/>
                <w:szCs w:val="22"/>
              </w:rPr>
              <w:t xml:space="preserve">100</w:t>
            </w:r>
          </w:p>
        </w:tc>
      </w:tr>
      <w:tr>
        <w:tc>
          <w:tcPr>
            <w:tcW w:type="dxa" w:w="36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External expert &amp; subcontractor</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30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80</w:t>
            </w:r>
          </w:p>
        </w:tc>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sz w:val="22"/>
                <w:szCs w:val="22"/>
              </w:rPr>
              <w:t xml:space="preserve">150</w:t>
            </w:r>
          </w:p>
        </w:tc>
      </w:tr>
      <w:tr>
        <w:tc>
          <w:tcPr>
            <w:tcW w:type="dxa" w:w="36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left"/>
            </w:pPr>
            <w:r>
              <w:rPr>
                <w:b/>
                <w:bCs/>
                <w:sz w:val="22"/>
                <w:szCs w:val="22"/>
              </w:rPr>
              <w:t xml:space="preserve">TOTAL EXPENSES</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315</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560</w:t>
            </w:r>
          </w:p>
        </w:tc>
        <w:tc>
          <w:tcPr>
            <w:tcW w:type="dxa" w:w="1800"/>
            <w:tcBorders>
              <w:top w:val="single" w:color="BFBFBF" w:sz="4"/>
              <w:left w:val="single" w:color="BFBFBF" w:sz="4"/>
              <w:bottom w:val="single" w:color="BFBFBF" w:sz="4"/>
              <w:right w:val="single" w:color="BFBFBF" w:sz="4"/>
            </w:tcBorders>
            <w:shd w:fill="D9D9D9" w:color="auto" w:val="clear"/>
            <w:tcMar>
              <w:top w:type="dxa" w:w="100"/>
              <w:left w:type="dxa" w:w="140"/>
              <w:bottom w:type="dxa" w:w="100"/>
              <w:right w:type="dxa" w:w="140"/>
            </w:tcMar>
          </w:tcPr>
          <w:p>
            <w:pPr>
              <w:jc w:val="center"/>
            </w:pPr>
            <w:r>
              <w:rPr>
                <w:b/>
                <w:bCs/>
                <w:sz w:val="22"/>
                <w:szCs w:val="22"/>
              </w:rPr>
              <w:t xml:space="preserve">910</w:t>
            </w:r>
          </w:p>
        </w:tc>
      </w:tr>
      <w:tr>
        <w:tc>
          <w:tcPr>
            <w:tcW w:type="dxa" w:w="36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OPERATING PROFIT (USD '000)</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50</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300</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675</w:t>
            </w:r>
          </w:p>
        </w:tc>
      </w:tr>
    </w:tbl>
    <w:p>
      <w:pPr>
        <w:spacing w:after="60"/>
      </w:pPr>
      <w:r>
        <w:t xml:space="preserve"/>
      </w:r>
    </w:p>
    <w:p>
      <w:pPr>
        <w:pStyle w:val="Heading2"/>
        <w:spacing w:after="140" w:before="280"/>
      </w:pPr>
      <w:r>
        <w:rPr>
          <w:b/>
          <w:bCs/>
          <w:color w:val="1F4E79"/>
          <w:sz w:val="28"/>
          <w:szCs w:val="28"/>
        </w:rPr>
        <w:t xml:space="preserve">Initial Investment</w:t>
      </w:r>
    </w:p>
    <w:p>
      <w:pPr>
        <w:pStyle w:val="ListParagraph"/>
        <w:numPr>
          <w:ilvl w:val="0"/>
          <w:numId w:val="2"/>
        </w:numPr>
        <w:spacing w:after="80" w:line="280"/>
      </w:pPr>
      <w:r>
        <w:t xml:space="preserve">Company incorporation, office fit-out, IT infrastructure: USD 25,000–35,000.</w:t>
      </w:r>
    </w:p>
    <w:p>
      <w:pPr>
        <w:pStyle w:val="ListParagraph"/>
        <w:numPr>
          <w:ilvl w:val="0"/>
          <w:numId w:val="2"/>
        </w:numPr>
        <w:spacing w:after="80" w:line="280"/>
      </w:pPr>
      <w:r>
        <w:t xml:space="preserve">First six months of working capital: USD 150,000–200,000.</w:t>
      </w:r>
    </w:p>
    <w:p>
      <w:pPr>
        <w:pStyle w:val="ListParagraph"/>
        <w:numPr>
          <w:ilvl w:val="0"/>
          <w:numId w:val="2"/>
        </w:numPr>
        <w:spacing w:after="80" w:line="280"/>
      </w:pPr>
      <w:r>
        <w:t xml:space="preserve">Marketing &amp; brand identity (website, brochures, first fair): USD 30,000–45,000.</w:t>
      </w:r>
    </w:p>
    <w:p>
      <w:pPr>
        <w:pStyle w:val="ListParagraph"/>
        <w:numPr>
          <w:ilvl w:val="0"/>
          <w:numId w:val="2"/>
        </w:numPr>
        <w:spacing w:after="80" w:line="280"/>
      </w:pPr>
      <w:r>
        <w:t xml:space="preserve">Total estimated capital requirement: USD 220,000–280,000.</w:t>
      </w:r>
    </w:p>
    <w:p>
      <w:pPr>
        <w:spacing w:after="60"/>
      </w:pPr>
      <w:r>
        <w:t xml:space="preserve"/>
      </w:r>
    </w:p>
    <w:p>
      <w:pPr>
        <w:pStyle w:val="Heading1"/>
        <w:spacing w:after="200" w:before="360"/>
      </w:pPr>
      <w:r>
        <w:rPr>
          <w:b/>
          <w:bCs/>
          <w:color w:val="1F4E79"/>
          <w:sz w:val="36"/>
          <w:szCs w:val="36"/>
        </w:rPr>
        <w:t xml:space="preserve">8. Risks and Mitigation</w:t>
      </w:r>
    </w:p>
    <w:p>
      <w:pPr>
        <w:pStyle w:val="ListParagraph"/>
        <w:numPr>
          <w:ilvl w:val="0"/>
          <w:numId w:val="2"/>
        </w:numPr>
        <w:spacing w:after="80" w:line="280"/>
      </w:pPr>
      <w:r>
        <w:rPr>
          <w:b/>
          <w:bCs/>
        </w:rPr>
        <w:t xml:space="preserve">Regulatory risk: </w:t>
      </w:r>
      <w:r>
        <w:t xml:space="preserve">HKC or EU SRR may introduce additional standards. Mitigation: active membership in classification societies and industry associations; monthly regulatory bulletin.</w:t>
      </w:r>
    </w:p>
    <w:p>
      <w:pPr>
        <w:pStyle w:val="ListParagraph"/>
        <w:numPr>
          <w:ilvl w:val="0"/>
          <w:numId w:val="2"/>
        </w:numPr>
        <w:spacing w:after="80" w:line="280"/>
      </w:pPr>
      <w:r>
        <w:rPr>
          <w:b/>
          <w:bCs/>
        </w:rPr>
        <w:t xml:space="preserve">Cyclical risk: </w:t>
      </w:r>
      <w:r>
        <w:t xml:space="preserve">LDT price volatility affects recycling volumes. Mitigation: diversification of revenue through training and yard retainers.</w:t>
      </w:r>
    </w:p>
    <w:p>
      <w:pPr>
        <w:pStyle w:val="ListParagraph"/>
        <w:numPr>
          <w:ilvl w:val="0"/>
          <w:numId w:val="2"/>
        </w:numPr>
        <w:spacing w:after="80" w:line="280"/>
      </w:pPr>
      <w:r>
        <w:rPr>
          <w:b/>
          <w:bCs/>
        </w:rPr>
        <w:t xml:space="preserve">Lease renewal risk (2026): </w:t>
      </w:r>
      <w:r>
        <w:t xml:space="preserve">Renewal cycles for some yards may create uncertainty. Mitigation: framework protocols with multiple yards.</w:t>
      </w:r>
    </w:p>
    <w:p>
      <w:pPr>
        <w:pStyle w:val="ListParagraph"/>
        <w:numPr>
          <w:ilvl w:val="0"/>
          <w:numId w:val="2"/>
        </w:numPr>
        <w:spacing w:after="80" w:line="280"/>
      </w:pPr>
      <w:r>
        <w:rPr>
          <w:b/>
          <w:bCs/>
        </w:rPr>
        <w:t xml:space="preserve">Reputational risk: </w:t>
      </w:r>
      <w:r>
        <w:t xml:space="preserve">Aliağa is monitored by observers such as the NGO Shipbreaking Platform. Mitigation: policy of engaging only on HKC/EU SRR-compliant projects; transparent reporting.</w:t>
      </w:r>
    </w:p>
    <w:p>
      <w:pPr>
        <w:pStyle w:val="ListParagraph"/>
        <w:numPr>
          <w:ilvl w:val="0"/>
          <w:numId w:val="2"/>
        </w:numPr>
        <w:spacing w:after="80" w:line="280"/>
      </w:pPr>
      <w:r>
        <w:rPr>
          <w:b/>
          <w:bCs/>
        </w:rPr>
        <w:t xml:space="preserve">Key person risk: </w:t>
      </w:r>
      <w:r>
        <w:t xml:space="preserve">Departure of a few specialists has high impact. Mitigation: knowledge management system, dual ownership structure, equity option programme.</w:t>
      </w:r>
    </w:p>
    <w:p>
      <w:pPr>
        <w:pStyle w:val="ListParagraph"/>
        <w:numPr>
          <w:ilvl w:val="0"/>
          <w:numId w:val="2"/>
        </w:numPr>
        <w:spacing w:after="80" w:line="280"/>
      </w:pPr>
      <w:r>
        <w:rPr>
          <w:b/>
          <w:bCs/>
        </w:rPr>
        <w:t xml:space="preserve">FX risk: </w:t>
      </w:r>
      <w:r>
        <w:t xml:space="preserve">Revenue is largely USD/EUR while a meaningful share of expenses is TRY. Mitigation: currency-matched cost planning, partial use of forward contracts.</w:t>
      </w:r>
    </w:p>
    <w:p>
      <w:pPr>
        <w:spacing w:after="60"/>
      </w:pPr>
      <w:r>
        <w:t xml:space="preserve"/>
      </w:r>
    </w:p>
    <w:p>
      <w:pPr>
        <w:pStyle w:val="Heading1"/>
        <w:spacing w:after="200" w:before="360"/>
      </w:pPr>
      <w:r>
        <w:rPr>
          <w:b/>
          <w:bCs/>
          <w:color w:val="1F4E79"/>
          <w:sz w:val="36"/>
          <w:szCs w:val="36"/>
        </w:rPr>
        <w:t xml:space="preserve">9. Roadmap (0–36 Months)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center"/>
            </w:pPr>
            <w:r>
              <w:rPr>
                <w:b/>
                <w:bCs/>
                <w:color w:val="FFFFFF"/>
                <w:sz w:val="22"/>
                <w:szCs w:val="22"/>
              </w:rPr>
              <w:t xml:space="preserve">Period</w:t>
            </w:r>
          </w:p>
        </w:tc>
        <w:tc>
          <w:tcPr>
            <w:tcW w:type="dxa" w:w="7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pPr>
              <w:jc w:val="left"/>
            </w:pPr>
            <w:r>
              <w:rPr>
                <w:b/>
                <w:bCs/>
                <w:color w:val="FFFFFF"/>
                <w:sz w:val="22"/>
                <w:szCs w:val="22"/>
              </w:rPr>
              <w:t xml:space="preserve">Milestones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sz w:val="22"/>
                <w:szCs w:val="22"/>
              </w:rPr>
              <w:t xml:space="preserve">Month 0–3</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Company incorporation, brand identity, website, MoUs with first two classification societies, LinkedIn activation.</w:t>
            </w:r>
          </w:p>
        </w:tc>
      </w:tr>
      <w:tr>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sz w:val="22"/>
                <w:szCs w:val="22"/>
              </w:rPr>
              <w:t xml:space="preserve">Month 3–6</w:t>
            </w:r>
          </w:p>
        </w:tc>
        <w:tc>
          <w:tcPr>
            <w:tcW w:type="dxa" w:w="7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First two client projects (recycling advisory + IHM), first training session, first industry fair attendance.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sz w:val="22"/>
                <w:szCs w:val="22"/>
              </w:rPr>
              <w:t xml:space="preserve">Month 6–12</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Publication of the Turkey Ship Recycling Report, Istanbul representative office, ISO 9001/14001 certification.</w:t>
            </w:r>
          </w:p>
        </w:tc>
      </w:tr>
      <w:tr>
        <w:tc>
          <w:tcPr>
            <w:tcW w:type="dxa" w:w="18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center"/>
            </w:pPr>
            <w:r>
              <w:rPr>
                <w:b/>
                <w:bCs/>
                <w:sz w:val="22"/>
                <w:szCs w:val="22"/>
              </w:rPr>
              <w:t xml:space="preserve">Month 12–24</w:t>
            </w:r>
          </w:p>
        </w:tc>
        <w:tc>
          <w:tcPr>
            <w:tcW w:type="dxa" w:w="7200"/>
            <w:tcBorders>
              <w:top w:val="single" w:color="BFBFBF" w:sz="4"/>
              <w:left w:val="single" w:color="BFBFBF" w:sz="4"/>
              <w:bottom w:val="single" w:color="BFBFBF" w:sz="4"/>
              <w:right w:val="single" w:color="BFBFBF" w:sz="4"/>
            </w:tcBorders>
            <w:shd w:fill="D9E2F3" w:color="auto" w:val="clear"/>
            <w:tcMar>
              <w:top w:type="dxa" w:w="100"/>
              <w:left w:type="dxa" w:w="140"/>
              <w:bottom w:type="dxa" w:w="100"/>
              <w:right w:type="dxa" w:w="140"/>
            </w:tcMar>
          </w:tcPr>
          <w:p>
            <w:pPr>
              <w:jc w:val="left"/>
            </w:pPr>
            <w:r>
              <w:rPr>
                <w:sz w:val="22"/>
                <w:szCs w:val="22"/>
              </w:rPr>
              <w:t xml:space="preserve">Framework agreement with a cash buyer, yard process transformation projects, addition of 2 senior consultants.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sz w:val="22"/>
                <w:szCs w:val="22"/>
              </w:rPr>
              <w:t xml:space="preserve">Month 24–36</w:t>
            </w:r>
          </w:p>
        </w:tc>
        <w:tc>
          <w:tcPr>
            <w:tcW w:type="dxa" w:w="7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2"/>
                <w:szCs w:val="22"/>
              </w:rPr>
              <w:t xml:space="preserve">Piraeus/Athens representative office, ISO 45001 certification, annual independent yard index publication.</w:t>
            </w:r>
          </w:p>
        </w:tc>
      </w:tr>
    </w:tbl>
    <w:p>
      <w:pPr>
        <w:spacing w:after="60"/>
      </w:pPr>
      <w:r>
        <w:t xml:space="preserve"/>
      </w:r>
    </w:p>
    <w:p>
      <w:pPr>
        <w:pStyle w:val="Heading1"/>
        <w:spacing w:after="200" w:before="360"/>
      </w:pPr>
      <w:r>
        <w:rPr>
          <w:b/>
          <w:bCs/>
          <w:color w:val="1F4E79"/>
          <w:sz w:val="36"/>
          <w:szCs w:val="36"/>
        </w:rPr>
        <w:t xml:space="preserve">10. Sources &amp; References</w:t>
      </w:r>
    </w:p>
    <w:p>
      <w:pPr>
        <w:spacing w:after="120" w:line="300"/>
        <w:jc w:val="both"/>
      </w:pPr>
      <w:r>
        <w:t xml:space="preserve">This document is based on data collected from publicly available sources and industry expert input, including:</w:t>
      </w:r>
    </w:p>
    <w:p>
      <w:pPr>
        <w:pStyle w:val="ListParagraph"/>
        <w:numPr>
          <w:ilvl w:val="0"/>
          <w:numId w:val="2"/>
        </w:numPr>
        <w:spacing w:after="80" w:line="280"/>
      </w:pPr>
      <w:r>
        <w:t xml:space="preserve">Deniz Haber – DTO Aliağa 2025 review and 2026 targets</w:t>
      </w:r>
    </w:p>
    <w:p>
      <w:pPr>
        <w:pStyle w:val="ListParagraph"/>
        <w:numPr>
          <w:ilvl w:val="0"/>
          <w:numId w:val="2"/>
        </w:numPr>
        <w:spacing w:after="80" w:line="280"/>
      </w:pPr>
      <w:r>
        <w:t xml:space="preserve">Vira Haber / Neta Haber – Aliağa Ports January–November 2025 statistics</w:t>
      </w:r>
    </w:p>
    <w:p>
      <w:pPr>
        <w:pStyle w:val="ListParagraph"/>
        <w:numPr>
          <w:ilvl w:val="0"/>
          <w:numId w:val="2"/>
        </w:numPr>
        <w:spacing w:after="80" w:line="280"/>
      </w:pPr>
      <w:r>
        <w:t xml:space="preserve">DenizHaber &amp; Yat Marina – Ship &amp; Yacht Sector 2025 Export Figures (USD 2.24 billion, +17.38%)</w:t>
      </w:r>
    </w:p>
    <w:p>
      <w:pPr>
        <w:pStyle w:val="ListParagraph"/>
        <w:numPr>
          <w:ilvl w:val="0"/>
          <w:numId w:val="2"/>
        </w:numPr>
        <w:spacing w:after="80" w:line="280"/>
      </w:pPr>
      <w:r>
        <w:t xml:space="preserve">MarineDeal News – Turkish shipbuilding and yacht industry capacities</w:t>
      </w:r>
    </w:p>
    <w:p>
      <w:pPr>
        <w:pStyle w:val="ListParagraph"/>
        <w:numPr>
          <w:ilvl w:val="0"/>
          <w:numId w:val="2"/>
        </w:numPr>
        <w:spacing w:after="80" w:line="280"/>
      </w:pPr>
      <w:r>
        <w:t xml:space="preserve">DNV – Hong Kong Convention and ICIHM certification roadmap</w:t>
      </w:r>
    </w:p>
    <w:p>
      <w:pPr>
        <w:pStyle w:val="ListParagraph"/>
        <w:numPr>
          <w:ilvl w:val="0"/>
          <w:numId w:val="2"/>
        </w:numPr>
        <w:spacing w:after="80" w:line="280"/>
      </w:pPr>
      <w:r>
        <w:t xml:space="preserve">Holland &amp; Knight – Impact of HKC three months in force (September 2025)</w:t>
      </w:r>
    </w:p>
    <w:p>
      <w:pPr>
        <w:pStyle w:val="ListParagraph"/>
        <w:numPr>
          <w:ilvl w:val="0"/>
          <w:numId w:val="2"/>
        </w:numPr>
        <w:spacing w:after="80" w:line="280"/>
      </w:pPr>
      <w:r>
        <w:t xml:space="preserve">Gleiss Lutz – HKC and international ship recycling regulation</w:t>
      </w:r>
    </w:p>
    <w:p>
      <w:pPr>
        <w:pStyle w:val="ListParagraph"/>
        <w:numPr>
          <w:ilvl w:val="0"/>
          <w:numId w:val="2"/>
        </w:numPr>
        <w:spacing w:after="80" w:line="280"/>
      </w:pPr>
      <w:r>
        <w:t xml:space="preserve">Britannia P&amp;I – Hong Kong Convention in force (July 2025)</w:t>
      </w:r>
    </w:p>
    <w:p>
      <w:pPr>
        <w:pStyle w:val="ListParagraph"/>
        <w:numPr>
          <w:ilvl w:val="0"/>
          <w:numId w:val="2"/>
        </w:numPr>
        <w:spacing w:after="80" w:line="280"/>
      </w:pPr>
      <w:r>
        <w:t xml:space="preserve">Shippinginbox / Best Oasis – 2026 LDT price report and comparative market analysis</w:t>
      </w:r>
    </w:p>
    <w:p>
      <w:pPr>
        <w:pStyle w:val="ListParagraph"/>
        <w:numPr>
          <w:ilvl w:val="0"/>
          <w:numId w:val="2"/>
        </w:numPr>
        <w:spacing w:after="80" w:line="280"/>
      </w:pPr>
      <w:r>
        <w:t xml:space="preserve">NGO Shipbreaking Platform – Turkey report</w:t>
      </w:r>
    </w:p>
    <w:p>
      <w:pPr>
        <w:pStyle w:val="ListParagraph"/>
        <w:numPr>
          <w:ilvl w:val="0"/>
          <w:numId w:val="2"/>
        </w:numPr>
        <w:spacing w:after="80" w:line="280"/>
      </w:pPr>
      <w:r>
        <w:t xml:space="preserve">Inkwood Research – Turkey Ship Recycling Market Size and Growth report</w:t>
      </w:r>
    </w:p>
    <w:p>
      <w:pPr>
        <w:spacing w:after="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Maritime Consulting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Maritime Consulting Firm - Business Plan</dc:title>
  <dc:creator>Arda Avcıoğlu</dc:creator>
  <dc:description>Business plan for a Turkey-based maritime consulting firm focused on ship recycling and shipyard processes</dc:description>
  <cp:lastModifiedBy>Un-named</cp:lastModifiedBy>
  <cp:revision>1</cp:revision>
  <dcterms:created xsi:type="dcterms:W3CDTF">2026-05-12T19:05:19.183Z</dcterms:created>
  <dcterms:modified xsi:type="dcterms:W3CDTF">2026-05-12T19:05:19.194Z</dcterms:modified>
</cp:coreProperties>
</file>

<file path=docProps/custom.xml><?xml version="1.0" encoding="utf-8"?>
<Properties xmlns="http://schemas.openxmlformats.org/officeDocument/2006/custom-properties" xmlns:vt="http://schemas.openxmlformats.org/officeDocument/2006/docPropsVTypes"/>
</file>