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28" w:rsidRPr="004801F1" w:rsidRDefault="00856F34" w:rsidP="003C46C9">
      <w:pPr>
        <w:spacing w:after="12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S</w:t>
      </w:r>
      <w:r w:rsidR="001A476A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ISTEMA</w:t>
      </w: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 APS-</w:t>
      </w:r>
      <w:r w:rsidR="006C0159" w:rsidRPr="004801F1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S</w:t>
      </w:r>
      <w:r w:rsidR="007A2642" w:rsidRPr="004801F1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RC</w:t>
      </w:r>
    </w:p>
    <w:p w:rsidR="007A2642" w:rsidRPr="004801F1" w:rsidRDefault="007A2642" w:rsidP="003C46C9">
      <w:pPr>
        <w:spacing w:after="12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4801F1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MANUAL DE OPERAÇÕES – </w:t>
      </w:r>
      <w:r w:rsidR="00B768A3" w:rsidRPr="004801F1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PERFIL “</w:t>
      </w:r>
      <w:r w:rsidR="001D5F91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GERENTE</w:t>
      </w:r>
      <w:r w:rsidR="00B768A3" w:rsidRPr="004801F1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”</w:t>
      </w:r>
    </w:p>
    <w:p w:rsidR="00174F46" w:rsidRPr="00E13C8E" w:rsidRDefault="00174F46" w:rsidP="00E13C8E">
      <w:pPr>
        <w:spacing w:line="240" w:lineRule="auto"/>
        <w:outlineLvl w:val="0"/>
        <w:rPr>
          <w:rFonts w:ascii="Times New Roman" w:eastAsia="Times New Roman" w:hAnsi="Times New Roman"/>
          <w:b/>
          <w:bCs/>
          <w:kern w:val="32"/>
          <w:sz w:val="24"/>
          <w:szCs w:val="32"/>
          <w:lang w:eastAsia="pt-BR"/>
        </w:rPr>
      </w:pPr>
      <w:bookmarkStart w:id="0" w:name="Sumário"/>
      <w:r w:rsidRPr="00E13C8E">
        <w:rPr>
          <w:rFonts w:ascii="Times New Roman" w:eastAsia="Times New Roman" w:hAnsi="Times New Roman"/>
          <w:b/>
          <w:bCs/>
          <w:kern w:val="32"/>
          <w:sz w:val="24"/>
          <w:szCs w:val="32"/>
          <w:lang w:eastAsia="pt-BR"/>
        </w:rPr>
        <w:t>Sumário</w:t>
      </w:r>
      <w:bookmarkStart w:id="1" w:name="_GoBack"/>
      <w:bookmarkEnd w:id="1"/>
    </w:p>
    <w:bookmarkEnd w:id="0"/>
    <w:p w:rsidR="00174F46" w:rsidRPr="00485217" w:rsidRDefault="00305E05" w:rsidP="00216773">
      <w:pPr>
        <w:spacing w:after="240" w:line="240" w:lineRule="auto"/>
        <w:rPr>
          <w:rStyle w:val="Hyperlink"/>
          <w:rFonts w:ascii="Times New Roman" w:hAnsi="Times New Roman"/>
          <w:b/>
          <w:sz w:val="24"/>
          <w:szCs w:val="24"/>
        </w:rPr>
      </w:pPr>
      <w:r>
        <w:rPr>
          <w:rStyle w:val="Hyperlink"/>
          <w:rFonts w:ascii="Times New Roman" w:hAnsi="Times New Roman"/>
          <w:b/>
          <w:sz w:val="24"/>
          <w:szCs w:val="24"/>
        </w:rPr>
        <w:fldChar w:fldCharType="begin"/>
      </w:r>
      <w:r>
        <w:rPr>
          <w:rStyle w:val="Hyperlink"/>
          <w:rFonts w:ascii="Times New Roman" w:hAnsi="Times New Roman"/>
          <w:b/>
          <w:sz w:val="24"/>
          <w:szCs w:val="24"/>
        </w:rPr>
        <w:instrText xml:space="preserve"> HYPERLINK  \l "Painel_Gerente" </w:instrText>
      </w:r>
      <w:r>
        <w:rPr>
          <w:rStyle w:val="Hyperlink"/>
          <w:rFonts w:ascii="Times New Roman" w:hAnsi="Times New Roman"/>
          <w:b/>
          <w:sz w:val="24"/>
          <w:szCs w:val="24"/>
        </w:rPr>
        <w:fldChar w:fldCharType="separate"/>
      </w:r>
      <w:r w:rsidR="001D5F91" w:rsidRPr="00305E05">
        <w:rPr>
          <w:rStyle w:val="Hyperlink"/>
          <w:rFonts w:ascii="Times New Roman" w:hAnsi="Times New Roman"/>
          <w:b/>
          <w:sz w:val="24"/>
          <w:szCs w:val="24"/>
        </w:rPr>
        <w:t>1 – Painel do Gerente</w:t>
      </w:r>
      <w:r>
        <w:rPr>
          <w:rStyle w:val="Hyperlink"/>
          <w:rFonts w:ascii="Times New Roman" w:hAnsi="Times New Roman"/>
          <w:b/>
          <w:sz w:val="24"/>
          <w:szCs w:val="24"/>
        </w:rPr>
        <w:fldChar w:fldCharType="end"/>
      </w:r>
    </w:p>
    <w:p w:rsidR="00174F46" w:rsidRPr="00485217" w:rsidRDefault="002E0AE7" w:rsidP="00216773">
      <w:pPr>
        <w:spacing w:after="240" w:line="240" w:lineRule="auto"/>
        <w:ind w:firstLine="708"/>
        <w:rPr>
          <w:rStyle w:val="Hyperlink"/>
          <w:rFonts w:ascii="Times New Roman" w:hAnsi="Times New Roman"/>
          <w:b/>
          <w:sz w:val="24"/>
          <w:szCs w:val="24"/>
        </w:rPr>
      </w:pPr>
      <w:hyperlink w:anchor="Detalhes_Painel_Inspetor" w:history="1">
        <w:r w:rsidR="00174F46" w:rsidRPr="00485217">
          <w:rPr>
            <w:rStyle w:val="Hyperlink"/>
            <w:rFonts w:ascii="Times New Roman" w:hAnsi="Times New Roman"/>
            <w:b/>
            <w:sz w:val="24"/>
            <w:szCs w:val="24"/>
          </w:rPr>
          <w:t>1.</w:t>
        </w:r>
        <w:r w:rsidR="001D5F91" w:rsidRPr="00485217">
          <w:rPr>
            <w:rStyle w:val="Hyperlink"/>
            <w:rFonts w:ascii="Times New Roman" w:hAnsi="Times New Roman"/>
            <w:b/>
            <w:sz w:val="24"/>
            <w:szCs w:val="24"/>
          </w:rPr>
          <w:t xml:space="preserve">1 </w:t>
        </w:r>
        <w:r w:rsidR="00174F46" w:rsidRPr="00485217">
          <w:rPr>
            <w:rStyle w:val="Hyperlink"/>
            <w:rFonts w:ascii="Times New Roman" w:hAnsi="Times New Roman"/>
            <w:b/>
            <w:sz w:val="24"/>
            <w:szCs w:val="24"/>
          </w:rPr>
          <w:t xml:space="preserve">– Detalhes do “Painel do </w:t>
        </w:r>
        <w:r w:rsidR="001D5F91" w:rsidRPr="00485217">
          <w:rPr>
            <w:rStyle w:val="Hyperlink"/>
            <w:rFonts w:ascii="Times New Roman" w:hAnsi="Times New Roman"/>
            <w:b/>
            <w:sz w:val="24"/>
            <w:szCs w:val="24"/>
          </w:rPr>
          <w:t>Gerente</w:t>
        </w:r>
        <w:r w:rsidR="00174F46" w:rsidRPr="00485217">
          <w:rPr>
            <w:rStyle w:val="Hyperlink"/>
            <w:rFonts w:ascii="Times New Roman" w:hAnsi="Times New Roman"/>
            <w:b/>
            <w:sz w:val="24"/>
            <w:szCs w:val="24"/>
          </w:rPr>
          <w:t>”</w:t>
        </w:r>
      </w:hyperlink>
    </w:p>
    <w:p w:rsidR="002E2F9F" w:rsidRPr="00485217" w:rsidRDefault="002E0AE7" w:rsidP="00216773">
      <w:pPr>
        <w:spacing w:after="240" w:line="240" w:lineRule="auto"/>
        <w:rPr>
          <w:rStyle w:val="Hyperlink"/>
          <w:rFonts w:ascii="Times New Roman" w:hAnsi="Times New Roman"/>
          <w:b/>
          <w:sz w:val="24"/>
          <w:szCs w:val="24"/>
        </w:rPr>
      </w:pPr>
      <w:hyperlink w:anchor="Homologar_informações_ES_pendentes" w:history="1">
        <w:r w:rsidR="00BC49CA" w:rsidRPr="00305E05">
          <w:rPr>
            <w:rStyle w:val="Hyperlink"/>
            <w:rFonts w:ascii="Times New Roman" w:hAnsi="Times New Roman"/>
            <w:b/>
            <w:sz w:val="24"/>
            <w:szCs w:val="24"/>
          </w:rPr>
          <w:t xml:space="preserve">2 – Homologar </w:t>
        </w:r>
        <w:r w:rsidR="00266639" w:rsidRPr="00305E05">
          <w:rPr>
            <w:rStyle w:val="Hyperlink"/>
            <w:rFonts w:ascii="Times New Roman" w:hAnsi="Times New Roman"/>
            <w:b/>
            <w:sz w:val="24"/>
            <w:szCs w:val="24"/>
          </w:rPr>
          <w:t>informações da ES</w:t>
        </w:r>
        <w:r w:rsidR="00BC49CA" w:rsidRPr="00305E05">
          <w:rPr>
            <w:rStyle w:val="Hyperlink"/>
            <w:rFonts w:ascii="Times New Roman" w:hAnsi="Times New Roman"/>
            <w:b/>
            <w:sz w:val="24"/>
            <w:szCs w:val="24"/>
          </w:rPr>
          <w:t xml:space="preserve"> pendentes</w:t>
        </w:r>
      </w:hyperlink>
    </w:p>
    <w:p w:rsidR="00ED0AF2" w:rsidRPr="00485217" w:rsidRDefault="002E0AE7" w:rsidP="00216773">
      <w:pPr>
        <w:spacing w:after="240" w:line="240" w:lineRule="auto"/>
        <w:rPr>
          <w:rStyle w:val="Hyperlink"/>
          <w:rFonts w:ascii="Times New Roman" w:hAnsi="Times New Roman"/>
          <w:b/>
          <w:sz w:val="24"/>
          <w:szCs w:val="24"/>
        </w:rPr>
      </w:pPr>
      <w:hyperlink w:anchor="Bloquear_Desbloquear_Consulta" w:history="1">
        <w:r w:rsidR="00ED0AF2" w:rsidRPr="00305E05">
          <w:rPr>
            <w:rStyle w:val="Hyperlink"/>
            <w:rFonts w:ascii="Times New Roman" w:hAnsi="Times New Roman"/>
            <w:b/>
            <w:sz w:val="24"/>
            <w:szCs w:val="24"/>
          </w:rPr>
          <w:t>3 – Bloquear/Desbloquear consulta ao Perfil de risco</w:t>
        </w:r>
      </w:hyperlink>
    </w:p>
    <w:p w:rsidR="00F2287A" w:rsidRPr="00485217" w:rsidRDefault="002E0AE7" w:rsidP="00216773">
      <w:pPr>
        <w:spacing w:after="240" w:line="240" w:lineRule="auto"/>
        <w:rPr>
          <w:rStyle w:val="Hyperlink"/>
          <w:rFonts w:ascii="Times New Roman" w:hAnsi="Times New Roman"/>
          <w:b/>
          <w:sz w:val="24"/>
          <w:szCs w:val="24"/>
        </w:rPr>
      </w:pPr>
      <w:hyperlink w:anchor="Assinar_Ata" w:history="1">
        <w:r w:rsidR="00F2287A" w:rsidRPr="00305E05">
          <w:rPr>
            <w:rStyle w:val="Hyperlink"/>
            <w:rFonts w:ascii="Times New Roman" w:hAnsi="Times New Roman"/>
            <w:b/>
            <w:sz w:val="24"/>
            <w:szCs w:val="24"/>
          </w:rPr>
          <w:t xml:space="preserve">4 – Assinar Ata do </w:t>
        </w:r>
        <w:proofErr w:type="spellStart"/>
        <w:r w:rsidR="00F2287A" w:rsidRPr="00305E05">
          <w:rPr>
            <w:rStyle w:val="Hyperlink"/>
            <w:rFonts w:ascii="Times New Roman" w:hAnsi="Times New Roman"/>
            <w:b/>
            <w:sz w:val="24"/>
            <w:szCs w:val="24"/>
          </w:rPr>
          <w:t>Corec</w:t>
        </w:r>
        <w:proofErr w:type="spellEnd"/>
      </w:hyperlink>
    </w:p>
    <w:p w:rsidR="00C82117" w:rsidRPr="00305E05" w:rsidRDefault="00305E05" w:rsidP="00216773">
      <w:pPr>
        <w:spacing w:after="240" w:line="240" w:lineRule="auto"/>
        <w:rPr>
          <w:rStyle w:val="Hyperlink"/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fldChar w:fldCharType="begin"/>
      </w:r>
      <w:r>
        <w:rPr>
          <w:rFonts w:ascii="Times New Roman" w:hAnsi="Times New Roman"/>
          <w:b/>
          <w:sz w:val="24"/>
          <w:szCs w:val="24"/>
        </w:rPr>
        <w:instrText xml:space="preserve"> HYPERLINK  \l "Consulta_Perfil" </w:instrText>
      </w:r>
      <w:r>
        <w:rPr>
          <w:rFonts w:ascii="Times New Roman" w:hAnsi="Times New Roman"/>
          <w:b/>
          <w:sz w:val="24"/>
          <w:szCs w:val="24"/>
        </w:rPr>
        <w:fldChar w:fldCharType="separate"/>
      </w:r>
      <w:r w:rsidR="00485217" w:rsidRPr="00305E05">
        <w:rPr>
          <w:rStyle w:val="Hyperlink"/>
          <w:rFonts w:ascii="Times New Roman" w:hAnsi="Times New Roman"/>
          <w:b/>
          <w:sz w:val="24"/>
          <w:szCs w:val="24"/>
        </w:rPr>
        <w:t>5</w:t>
      </w:r>
      <w:r w:rsidR="00C82117" w:rsidRPr="00305E05">
        <w:rPr>
          <w:rStyle w:val="Hyperlink"/>
          <w:rFonts w:ascii="Times New Roman" w:hAnsi="Times New Roman"/>
          <w:b/>
          <w:sz w:val="24"/>
          <w:szCs w:val="24"/>
        </w:rPr>
        <w:t xml:space="preserve"> – Consultar Perfil de Risco</w:t>
      </w:r>
      <w:r w:rsidR="00216773" w:rsidRPr="00305E05">
        <w:rPr>
          <w:rStyle w:val="Hyperlink"/>
          <w:rFonts w:ascii="Times New Roman" w:hAnsi="Times New Roman"/>
          <w:b/>
          <w:sz w:val="24"/>
          <w:szCs w:val="24"/>
        </w:rPr>
        <w:t xml:space="preserve"> da ES</w:t>
      </w:r>
    </w:p>
    <w:p w:rsidR="00C82117" w:rsidRPr="00485217" w:rsidRDefault="00305E05" w:rsidP="00216773">
      <w:pPr>
        <w:spacing w:after="240" w:line="240" w:lineRule="auto"/>
        <w:rPr>
          <w:rStyle w:val="Hyperlink"/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fldChar w:fldCharType="end"/>
      </w:r>
      <w:hyperlink w:anchor="Consulta_Agenda" w:history="1">
        <w:r w:rsidR="009111EE" w:rsidRPr="00305E05">
          <w:rPr>
            <w:rStyle w:val="Hyperlink"/>
            <w:rFonts w:ascii="Times New Roman" w:hAnsi="Times New Roman"/>
            <w:b/>
            <w:sz w:val="24"/>
            <w:szCs w:val="24"/>
          </w:rPr>
          <w:t>6</w:t>
        </w:r>
        <w:r w:rsidR="00C82117" w:rsidRPr="00305E05">
          <w:rPr>
            <w:rStyle w:val="Hyperlink"/>
            <w:rFonts w:ascii="Times New Roman" w:hAnsi="Times New Roman"/>
            <w:b/>
            <w:sz w:val="24"/>
            <w:szCs w:val="24"/>
          </w:rPr>
          <w:t xml:space="preserve"> – Consultar Agenda de </w:t>
        </w:r>
        <w:proofErr w:type="spellStart"/>
        <w:r w:rsidR="00C82117" w:rsidRPr="00305E05">
          <w:rPr>
            <w:rStyle w:val="Hyperlink"/>
            <w:rFonts w:ascii="Times New Roman" w:hAnsi="Times New Roman"/>
            <w:b/>
            <w:sz w:val="24"/>
            <w:szCs w:val="24"/>
          </w:rPr>
          <w:t>Corecs</w:t>
        </w:r>
        <w:proofErr w:type="spellEnd"/>
      </w:hyperlink>
    </w:p>
    <w:p w:rsidR="00C82117" w:rsidRPr="00485217" w:rsidRDefault="002E0AE7" w:rsidP="00216773">
      <w:pPr>
        <w:spacing w:after="240" w:line="240" w:lineRule="auto"/>
        <w:rPr>
          <w:rStyle w:val="Hyperlink"/>
          <w:rFonts w:ascii="Times New Roman" w:hAnsi="Times New Roman"/>
          <w:b/>
          <w:sz w:val="24"/>
          <w:szCs w:val="24"/>
        </w:rPr>
      </w:pPr>
      <w:hyperlink w:anchor="Consulta_Ata_Ofício" w:history="1">
        <w:r w:rsidR="009111EE" w:rsidRPr="00305E05">
          <w:rPr>
            <w:rStyle w:val="Hyperlink"/>
            <w:rFonts w:ascii="Times New Roman" w:hAnsi="Times New Roman"/>
            <w:b/>
            <w:sz w:val="24"/>
            <w:szCs w:val="24"/>
          </w:rPr>
          <w:t>7</w:t>
        </w:r>
        <w:r w:rsidR="00C82117" w:rsidRPr="00305E05">
          <w:rPr>
            <w:rStyle w:val="Hyperlink"/>
            <w:rFonts w:ascii="Times New Roman" w:hAnsi="Times New Roman"/>
            <w:b/>
            <w:sz w:val="24"/>
            <w:szCs w:val="24"/>
          </w:rPr>
          <w:t xml:space="preserve"> – Consultar Ata do </w:t>
        </w:r>
        <w:proofErr w:type="spellStart"/>
        <w:r w:rsidR="00C82117" w:rsidRPr="00305E05">
          <w:rPr>
            <w:rStyle w:val="Hyperlink"/>
            <w:rFonts w:ascii="Times New Roman" w:hAnsi="Times New Roman"/>
            <w:b/>
            <w:sz w:val="24"/>
            <w:szCs w:val="24"/>
          </w:rPr>
          <w:t>Corec</w:t>
        </w:r>
        <w:proofErr w:type="spellEnd"/>
        <w:r w:rsidR="00C82117" w:rsidRPr="00305E05">
          <w:rPr>
            <w:rStyle w:val="Hyperlink"/>
            <w:rFonts w:ascii="Times New Roman" w:hAnsi="Times New Roman"/>
            <w:b/>
            <w:sz w:val="24"/>
            <w:szCs w:val="24"/>
          </w:rPr>
          <w:t xml:space="preserve"> e Ofício</w:t>
        </w:r>
      </w:hyperlink>
    </w:p>
    <w:p w:rsidR="00C82117" w:rsidRPr="00485217" w:rsidRDefault="00C82117" w:rsidP="00485217">
      <w:pPr>
        <w:spacing w:after="120" w:line="240" w:lineRule="auto"/>
        <w:rPr>
          <w:rStyle w:val="Hyperlink"/>
          <w:b/>
        </w:rPr>
      </w:pPr>
      <w:r w:rsidRPr="00485217">
        <w:rPr>
          <w:rStyle w:val="Hyperlink"/>
          <w:b/>
        </w:rPr>
        <w:br w:type="page"/>
      </w:r>
    </w:p>
    <w:bookmarkStart w:id="2" w:name="Painel_Gerente"/>
    <w:p w:rsidR="004E4335" w:rsidRPr="004801F1" w:rsidRDefault="004C759E" w:rsidP="003C46C9">
      <w:pPr>
        <w:spacing w:before="240" w:after="60" w:line="240" w:lineRule="auto"/>
        <w:outlineLvl w:val="0"/>
        <w:rPr>
          <w:rFonts w:ascii="Times New Roman" w:eastAsia="Times New Roman" w:hAnsi="Times New Roman"/>
          <w:b/>
          <w:bCs/>
          <w:kern w:val="32"/>
          <w:sz w:val="24"/>
          <w:szCs w:val="32"/>
          <w:lang w:eastAsia="pt-BR"/>
        </w:rPr>
      </w:pPr>
      <w:r>
        <w:lastRenderedPageBreak/>
        <w:fldChar w:fldCharType="begin"/>
      </w:r>
      <w:r>
        <w:instrText xml:space="preserve"> HYPERLINK \l "Sumário" </w:instrText>
      </w:r>
      <w:r>
        <w:fldChar w:fldCharType="separate"/>
      </w:r>
      <w:r w:rsidR="001D5F91" w:rsidRPr="006B45AF">
        <w:rPr>
          <w:rStyle w:val="Hyperlink"/>
          <w:rFonts w:ascii="Times New Roman" w:eastAsia="Times New Roman" w:hAnsi="Times New Roman"/>
          <w:b/>
          <w:bCs/>
          <w:kern w:val="32"/>
          <w:sz w:val="24"/>
          <w:szCs w:val="32"/>
          <w:lang w:eastAsia="pt-BR"/>
        </w:rPr>
        <w:t xml:space="preserve">1 – Painel do </w:t>
      </w:r>
      <w:r w:rsidR="001D5F91">
        <w:rPr>
          <w:rStyle w:val="Hyperlink"/>
          <w:rFonts w:ascii="Times New Roman" w:eastAsia="Times New Roman" w:hAnsi="Times New Roman"/>
          <w:b/>
          <w:bCs/>
          <w:kern w:val="32"/>
          <w:sz w:val="24"/>
          <w:szCs w:val="32"/>
          <w:lang w:eastAsia="pt-BR"/>
        </w:rPr>
        <w:t>Gerente</w:t>
      </w:r>
      <w:r>
        <w:rPr>
          <w:rStyle w:val="Hyperlink"/>
          <w:rFonts w:ascii="Times New Roman" w:eastAsia="Times New Roman" w:hAnsi="Times New Roman"/>
          <w:b/>
          <w:bCs/>
          <w:kern w:val="32"/>
          <w:sz w:val="24"/>
          <w:szCs w:val="32"/>
          <w:lang w:eastAsia="pt-BR"/>
        </w:rPr>
        <w:fldChar w:fldCharType="end"/>
      </w:r>
      <w:bookmarkEnd w:id="2"/>
    </w:p>
    <w:p w:rsidR="0021152D" w:rsidRPr="004801F1" w:rsidRDefault="0021152D" w:rsidP="003C46C9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bookmarkStart w:id="3" w:name="Detalhes_Painel_Inspetor"/>
    <w:p w:rsidR="00DC3EBE" w:rsidRDefault="006B45AF" w:rsidP="003C46C9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fldChar w:fldCharType="begin"/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instrText xml:space="preserve"> HYPERLINK  \l "Sumário" </w:instrTex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fldChar w:fldCharType="separate"/>
      </w:r>
      <w:r w:rsidR="008536C5" w:rsidRPr="006B45AF"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t>1.</w:t>
      </w:r>
      <w:r w:rsidR="001D5F91"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t>1</w:t>
      </w:r>
      <w:r w:rsidR="001D5F91" w:rsidRPr="006B45AF"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r w:rsidR="008536C5" w:rsidRPr="006B45AF"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t xml:space="preserve">– </w:t>
      </w:r>
      <w:r w:rsidR="00AC3446" w:rsidRPr="006B45AF"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t>Detalhes</w:t>
      </w:r>
      <w:r w:rsidR="008536C5" w:rsidRPr="006B45AF"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t xml:space="preserve"> do </w:t>
      </w:r>
      <w:r w:rsidR="00F63173" w:rsidRPr="006B45AF"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t xml:space="preserve">“Painel do </w:t>
      </w:r>
      <w:r w:rsidR="001D5F91"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t>gerente</w:t>
      </w:r>
      <w:r w:rsidR="00F63173" w:rsidRPr="006B45AF"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t>”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fldChar w:fldCharType="end"/>
      </w:r>
    </w:p>
    <w:p w:rsidR="001D5F91" w:rsidRDefault="001D5F91" w:rsidP="003C46C9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1D5F91" w:rsidRDefault="004B67D1" w:rsidP="003C46C9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A01F4E3" wp14:editId="481C80BB">
            <wp:extent cx="5612130" cy="33782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91" w:rsidRDefault="001D5F91" w:rsidP="003C46C9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bookmarkEnd w:id="3"/>
    <w:p w:rsidR="004B67D1" w:rsidRPr="004B67D1" w:rsidRDefault="008536C5" w:rsidP="004B67D1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801F1">
        <w:rPr>
          <w:rFonts w:ascii="Times New Roman" w:eastAsia="Times New Roman" w:hAnsi="Times New Roman"/>
          <w:b/>
          <w:sz w:val="24"/>
          <w:szCs w:val="24"/>
          <w:lang w:eastAsia="pt-BR"/>
        </w:rPr>
        <w:t>1.</w:t>
      </w:r>
      <w:r w:rsidR="00BC49CA">
        <w:rPr>
          <w:rFonts w:ascii="Times New Roman" w:eastAsia="Times New Roman" w:hAnsi="Times New Roman"/>
          <w:b/>
          <w:sz w:val="24"/>
          <w:szCs w:val="24"/>
          <w:lang w:eastAsia="pt-BR"/>
        </w:rPr>
        <w:t>1</w:t>
      </w:r>
      <w:r w:rsidR="00AC3446" w:rsidRPr="004801F1">
        <w:rPr>
          <w:rFonts w:ascii="Times New Roman" w:eastAsia="Times New Roman" w:hAnsi="Times New Roman"/>
          <w:b/>
          <w:sz w:val="24"/>
          <w:szCs w:val="24"/>
          <w:lang w:eastAsia="pt-BR"/>
        </w:rPr>
        <w:t>.1 – Seção “</w:t>
      </w:r>
      <w:r w:rsidR="004B67D1">
        <w:rPr>
          <w:rFonts w:ascii="Times New Roman" w:eastAsia="Times New Roman" w:hAnsi="Times New Roman"/>
          <w:b/>
          <w:sz w:val="24"/>
          <w:szCs w:val="24"/>
          <w:lang w:eastAsia="pt-BR"/>
        </w:rPr>
        <w:t>Pendências do gerente</w:t>
      </w:r>
      <w:r w:rsidR="004B67D1" w:rsidRPr="004801F1">
        <w:rPr>
          <w:rFonts w:ascii="Times New Roman" w:eastAsia="Times New Roman" w:hAnsi="Times New Roman"/>
          <w:b/>
          <w:sz w:val="24"/>
          <w:szCs w:val="24"/>
          <w:lang w:eastAsia="pt-BR"/>
        </w:rPr>
        <w:t>”</w:t>
      </w:r>
    </w:p>
    <w:p w:rsidR="004B67D1" w:rsidRPr="004B67D1" w:rsidRDefault="004B67D1" w:rsidP="004B67D1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4B67D1">
        <w:rPr>
          <w:rFonts w:ascii="Times New Roman" w:eastAsia="Times New Roman" w:hAnsi="Times New Roman"/>
          <w:sz w:val="24"/>
          <w:szCs w:val="24"/>
          <w:lang w:eastAsia="pt-BR"/>
        </w:rPr>
        <w:t xml:space="preserve">Apresenta a relação de </w:t>
      </w:r>
      <w:proofErr w:type="spellStart"/>
      <w:r w:rsidRPr="004B67D1">
        <w:rPr>
          <w:rFonts w:ascii="Times New Roman" w:eastAsia="Times New Roman" w:hAnsi="Times New Roman"/>
          <w:sz w:val="24"/>
          <w:szCs w:val="24"/>
          <w:lang w:eastAsia="pt-BR"/>
        </w:rPr>
        <w:t>ESs</w:t>
      </w:r>
      <w:proofErr w:type="spellEnd"/>
      <w:r w:rsidRPr="004B67D1">
        <w:rPr>
          <w:rFonts w:ascii="Times New Roman" w:eastAsia="Times New Roman" w:hAnsi="Times New Roman"/>
          <w:sz w:val="24"/>
          <w:szCs w:val="24"/>
          <w:lang w:eastAsia="pt-BR"/>
        </w:rPr>
        <w:t xml:space="preserve"> sob a responsabilidade da Gerência, para as quais há informações pendentes de homologação pelo Gerente.</w:t>
      </w:r>
    </w:p>
    <w:p w:rsidR="004B67D1" w:rsidRPr="004B67D1" w:rsidRDefault="004B67D1" w:rsidP="004B67D1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5836D4" w:rsidRPr="004801F1" w:rsidRDefault="008536C5" w:rsidP="003C46C9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801F1">
        <w:rPr>
          <w:rFonts w:ascii="Times New Roman" w:eastAsia="Times New Roman" w:hAnsi="Times New Roman"/>
          <w:b/>
          <w:sz w:val="24"/>
          <w:szCs w:val="24"/>
          <w:lang w:eastAsia="pt-BR"/>
        </w:rPr>
        <w:t>1.</w:t>
      </w:r>
      <w:r w:rsidR="00BC49CA">
        <w:rPr>
          <w:rFonts w:ascii="Times New Roman" w:eastAsia="Times New Roman" w:hAnsi="Times New Roman"/>
          <w:b/>
          <w:sz w:val="24"/>
          <w:szCs w:val="24"/>
          <w:lang w:eastAsia="pt-BR"/>
        </w:rPr>
        <w:t>1</w:t>
      </w:r>
      <w:r w:rsidR="00092B15" w:rsidRPr="004801F1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.2 – </w:t>
      </w:r>
      <w:r w:rsidR="005836D4" w:rsidRPr="004801F1">
        <w:rPr>
          <w:rFonts w:ascii="Times New Roman" w:eastAsia="Times New Roman" w:hAnsi="Times New Roman"/>
          <w:b/>
          <w:sz w:val="24"/>
          <w:szCs w:val="24"/>
          <w:lang w:eastAsia="pt-BR"/>
        </w:rPr>
        <w:t>Seção “</w:t>
      </w:r>
      <w:r w:rsidR="004B67D1">
        <w:rPr>
          <w:rFonts w:ascii="Times New Roman" w:eastAsia="Times New Roman" w:hAnsi="Times New Roman"/>
          <w:b/>
          <w:sz w:val="24"/>
          <w:szCs w:val="24"/>
          <w:lang w:eastAsia="pt-BR"/>
        </w:rPr>
        <w:t>Ciclos das Equipes</w:t>
      </w:r>
      <w:r w:rsidR="005836D4" w:rsidRPr="004801F1">
        <w:rPr>
          <w:rFonts w:ascii="Times New Roman" w:eastAsia="Times New Roman" w:hAnsi="Times New Roman"/>
          <w:b/>
          <w:sz w:val="24"/>
          <w:szCs w:val="24"/>
          <w:lang w:eastAsia="pt-BR"/>
        </w:rPr>
        <w:t>”</w:t>
      </w:r>
    </w:p>
    <w:p w:rsidR="00BC49CA" w:rsidRPr="00BC49CA" w:rsidRDefault="00BC49CA" w:rsidP="00F1291C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C49CA">
        <w:rPr>
          <w:rFonts w:ascii="Times New Roman" w:eastAsia="Times New Roman" w:hAnsi="Times New Roman"/>
          <w:sz w:val="24"/>
          <w:szCs w:val="24"/>
          <w:lang w:eastAsia="pt-BR"/>
        </w:rPr>
        <w:t xml:space="preserve">Apresenta a relação das </w:t>
      </w:r>
      <w:proofErr w:type="spellStart"/>
      <w:r w:rsidRPr="00BC49CA">
        <w:rPr>
          <w:rFonts w:ascii="Times New Roman" w:eastAsia="Times New Roman" w:hAnsi="Times New Roman"/>
          <w:sz w:val="24"/>
          <w:szCs w:val="24"/>
          <w:lang w:eastAsia="pt-BR"/>
        </w:rPr>
        <w:t>ESs</w:t>
      </w:r>
      <w:proofErr w:type="spellEnd"/>
      <w:r w:rsidRPr="00BC49CA">
        <w:rPr>
          <w:rFonts w:ascii="Times New Roman" w:eastAsia="Times New Roman" w:hAnsi="Times New Roman"/>
          <w:sz w:val="24"/>
          <w:szCs w:val="24"/>
          <w:lang w:eastAsia="pt-BR"/>
        </w:rPr>
        <w:t xml:space="preserve"> da Gerência, com acesso especial aos respectivos Perfis de Risco.</w:t>
      </w:r>
    </w:p>
    <w:p w:rsidR="003C46C9" w:rsidRDefault="003C46C9" w:rsidP="003C46C9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bookmarkStart w:id="4" w:name="Homologar_informações_ES_pendentes"/>
    <w:p w:rsidR="008536C5" w:rsidRPr="00BC49CA" w:rsidRDefault="004C759E" w:rsidP="003C46C9">
      <w:pPr>
        <w:spacing w:after="120" w:line="240" w:lineRule="auto"/>
        <w:jc w:val="both"/>
        <w:rPr>
          <w:rStyle w:val="Hyperlink"/>
        </w:rPr>
      </w:pPr>
      <w:r>
        <w:fldChar w:fldCharType="begin"/>
      </w:r>
      <w:r>
        <w:instrText xml:space="preserve"> HYPERLINK \l "Sumário" </w:instrText>
      </w:r>
      <w:r>
        <w:fldChar w:fldCharType="separate"/>
      </w:r>
      <w:r w:rsidR="008536C5" w:rsidRPr="006B45AF"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t xml:space="preserve">2 – </w:t>
      </w:r>
      <w:r w:rsidR="00BC49CA" w:rsidRPr="00BC49CA"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t xml:space="preserve">Homologar </w:t>
      </w:r>
      <w:r w:rsidR="00266639"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t>informações da ES</w:t>
      </w:r>
      <w:r w:rsidR="00BC49CA" w:rsidRPr="00BC49CA"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t xml:space="preserve"> pendentes</w:t>
      </w:r>
      <w:r w:rsidR="00BC49CA"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r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fldChar w:fldCharType="end"/>
      </w:r>
    </w:p>
    <w:bookmarkEnd w:id="4"/>
    <w:p w:rsidR="00BC49CA" w:rsidRDefault="00BC49CA" w:rsidP="00F1291C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C49CA">
        <w:rPr>
          <w:rFonts w:ascii="Times New Roman" w:eastAsia="Times New Roman" w:hAnsi="Times New Roman"/>
          <w:sz w:val="24"/>
          <w:szCs w:val="24"/>
          <w:lang w:eastAsia="pt-BR"/>
        </w:rPr>
        <w:t xml:space="preserve">Caso haja alguma ES na seção “Pendências do Gerente”, o Gerente deve clicar no nome da ES para acessar a área de homologação de informações. </w:t>
      </w:r>
    </w:p>
    <w:p w:rsidR="0008499D" w:rsidRPr="00BC49CA" w:rsidRDefault="0008499D" w:rsidP="00F1291C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4B67D1">
        <w:rPr>
          <w:rFonts w:ascii="Times New Roman" w:eastAsia="Times New Roman" w:hAnsi="Times New Roman"/>
          <w:sz w:val="24"/>
          <w:szCs w:val="24"/>
          <w:lang w:eastAsia="pt-BR"/>
        </w:rPr>
        <w:t>Devem ser confirmadas pelo Gerente aquelas informações que faziam parte do “Comentário Tipo 1” e que agora integram a seção “Detalhes da ES”, no Perfil de Risco: Perfil de Atuação; Conclusão; Perspectiva; Situação, além d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a Nota Final</w:t>
      </w:r>
      <w:r w:rsidRPr="004B67D1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e seus anexos</w:t>
      </w:r>
      <w:r w:rsidRPr="004B67D1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266639">
        <w:rPr>
          <w:rFonts w:ascii="Times New Roman" w:eastAsia="Times New Roman" w:hAnsi="Times New Roman"/>
          <w:sz w:val="24"/>
          <w:szCs w:val="24"/>
          <w:lang w:eastAsia="pt-BR"/>
        </w:rPr>
        <w:t xml:space="preserve"> São informações encaminhadas pelo Supervisor da ES ao Gerente para homologação.</w:t>
      </w:r>
    </w:p>
    <w:p w:rsidR="00BC49CA" w:rsidRPr="00BC49CA" w:rsidRDefault="00BC49CA" w:rsidP="00F1291C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C49CA">
        <w:rPr>
          <w:rFonts w:ascii="Times New Roman" w:eastAsia="Times New Roman" w:hAnsi="Times New Roman"/>
          <w:sz w:val="24"/>
          <w:szCs w:val="24"/>
          <w:lang w:eastAsia="pt-BR"/>
        </w:rPr>
        <w:t xml:space="preserve">Na tela de homologação, o Gerente deve: </w:t>
      </w:r>
    </w:p>
    <w:p w:rsidR="00BC49CA" w:rsidRPr="00BC49CA" w:rsidRDefault="00BC49CA" w:rsidP="00BC49CA">
      <w:pPr>
        <w:pStyle w:val="Default"/>
        <w:ind w:firstLine="708"/>
        <w:rPr>
          <w:rFonts w:ascii="Times New Roman" w:eastAsia="Times New Roman" w:hAnsi="Times New Roman" w:cs="Times New Roman"/>
          <w:color w:val="auto"/>
        </w:rPr>
      </w:pPr>
      <w:r w:rsidRPr="00BC49CA">
        <w:rPr>
          <w:rFonts w:ascii="Times New Roman" w:eastAsia="Times New Roman" w:hAnsi="Times New Roman" w:cs="Times New Roman"/>
          <w:color w:val="auto"/>
        </w:rPr>
        <w:lastRenderedPageBreak/>
        <w:t>a) Localizar as informações que estiverem com o respectivo botão “[Confirmar nova informação e atualizar Perfil de Risco]” habilitado</w:t>
      </w:r>
      <w:r w:rsidR="0008499D">
        <w:rPr>
          <w:rFonts w:ascii="Times New Roman" w:eastAsia="Times New Roman" w:hAnsi="Times New Roman" w:cs="Times New Roman"/>
          <w:color w:val="auto"/>
        </w:rPr>
        <w:t>; e</w:t>
      </w:r>
    </w:p>
    <w:p w:rsidR="0008499D" w:rsidRDefault="00995048" w:rsidP="00995048">
      <w:pPr>
        <w:pStyle w:val="Default"/>
        <w:ind w:firstLine="708"/>
        <w:rPr>
          <w:rFonts w:ascii="Times New Roman" w:eastAsia="Times New Roman" w:hAnsi="Times New Roman" w:cs="Times New Roman"/>
          <w:color w:val="auto"/>
        </w:rPr>
      </w:pPr>
      <w:r>
        <w:rPr>
          <w:noProof/>
        </w:rPr>
        <w:drawing>
          <wp:inline distT="0" distB="0" distL="0" distR="0" wp14:anchorId="08835EBA" wp14:editId="32D5C26A">
            <wp:extent cx="5612130" cy="2118995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48" w:rsidRDefault="00995048" w:rsidP="00995048">
      <w:pPr>
        <w:pStyle w:val="Default"/>
        <w:ind w:firstLine="708"/>
        <w:rPr>
          <w:rFonts w:ascii="Times New Roman" w:eastAsia="Times New Roman" w:hAnsi="Times New Roman" w:cs="Times New Roman"/>
          <w:color w:val="auto"/>
        </w:rPr>
      </w:pPr>
    </w:p>
    <w:p w:rsidR="00BC49CA" w:rsidRPr="00BC49CA" w:rsidRDefault="00BC49CA" w:rsidP="00BC49CA">
      <w:pPr>
        <w:pStyle w:val="Default"/>
        <w:ind w:firstLine="708"/>
        <w:rPr>
          <w:rFonts w:ascii="Times New Roman" w:eastAsia="Times New Roman" w:hAnsi="Times New Roman" w:cs="Times New Roman"/>
          <w:color w:val="auto"/>
        </w:rPr>
      </w:pPr>
      <w:r w:rsidRPr="00BC49CA">
        <w:rPr>
          <w:rFonts w:ascii="Times New Roman" w:eastAsia="Times New Roman" w:hAnsi="Times New Roman" w:cs="Times New Roman"/>
          <w:color w:val="auto"/>
        </w:rPr>
        <w:t xml:space="preserve">b) Clicar nesse botão para confirmar a nova informação e atualizar o Perfil de Risco da ES. </w:t>
      </w:r>
    </w:p>
    <w:p w:rsidR="00BC49CA" w:rsidRDefault="00BC49CA" w:rsidP="00BC49CA">
      <w:pPr>
        <w:pStyle w:val="Default"/>
        <w:ind w:firstLine="708"/>
        <w:rPr>
          <w:rFonts w:ascii="Times New Roman" w:eastAsia="Times New Roman" w:hAnsi="Times New Roman" w:cs="Times New Roman"/>
          <w:color w:val="auto"/>
        </w:rPr>
      </w:pPr>
    </w:p>
    <w:p w:rsidR="00BC49CA" w:rsidRPr="0008499D" w:rsidRDefault="00BC49CA" w:rsidP="00F1291C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08499D">
        <w:rPr>
          <w:rFonts w:ascii="Times New Roman" w:eastAsia="Times New Roman" w:hAnsi="Times New Roman"/>
          <w:sz w:val="24"/>
          <w:szCs w:val="24"/>
          <w:lang w:eastAsia="pt-BR"/>
        </w:rPr>
        <w:t xml:space="preserve">Os botões de confirmação são individuais para cada uma das informações pendentes de homologação. Ou seja, o Gerente deve realizar a mesma operação – clicar no respectivo botão de atualização – para cada uma das informações que estiverem pendentes. O botão só atualizará a informação a que estiver vinculado. </w:t>
      </w:r>
    </w:p>
    <w:p w:rsidR="00BC49CA" w:rsidRPr="0008499D" w:rsidRDefault="00BC49CA" w:rsidP="00F1291C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08499D">
        <w:rPr>
          <w:rFonts w:ascii="Times New Roman" w:eastAsia="Times New Roman" w:hAnsi="Times New Roman"/>
          <w:sz w:val="24"/>
          <w:szCs w:val="24"/>
          <w:lang w:eastAsia="pt-BR"/>
        </w:rPr>
        <w:t xml:space="preserve">Não há campo de edição de texto para o Gerente. Se houver necessidade de alteração da informação, o Gerente deve combinar com o Supervisor, para que esse último altere o texto e o submeta novamente à confirmação do Gerente, assim como acontecia com o Comentário Tipo 1. </w:t>
      </w:r>
    </w:p>
    <w:p w:rsidR="007144FB" w:rsidRDefault="00BC49CA" w:rsidP="0008499D">
      <w:pPr>
        <w:spacing w:after="12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pt-BR"/>
        </w:rPr>
      </w:pPr>
      <w:r w:rsidRPr="0008499D">
        <w:rPr>
          <w:rFonts w:ascii="Times New Roman" w:eastAsia="Times New Roman" w:hAnsi="Times New Roman"/>
          <w:i/>
          <w:sz w:val="24"/>
          <w:szCs w:val="24"/>
          <w:lang w:eastAsia="pt-BR"/>
        </w:rPr>
        <w:t>Obs</w:t>
      </w:r>
      <w:r w:rsidR="0008499D">
        <w:rPr>
          <w:rFonts w:ascii="Times New Roman" w:eastAsia="Times New Roman" w:hAnsi="Times New Roman"/>
          <w:i/>
          <w:sz w:val="24"/>
          <w:szCs w:val="24"/>
          <w:lang w:eastAsia="pt-BR"/>
        </w:rPr>
        <w:t>ervação</w:t>
      </w:r>
      <w:r w:rsidRPr="0008499D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: </w:t>
      </w:r>
      <w:r w:rsidR="0008499D">
        <w:rPr>
          <w:rFonts w:ascii="Times New Roman" w:eastAsia="Times New Roman" w:hAnsi="Times New Roman"/>
          <w:i/>
          <w:sz w:val="24"/>
          <w:szCs w:val="24"/>
          <w:lang w:eastAsia="pt-BR"/>
        </w:rPr>
        <w:t>i) a</w:t>
      </w:r>
      <w:r w:rsidRPr="0008499D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atualização de </w:t>
      </w:r>
      <w:proofErr w:type="spellStart"/>
      <w:r w:rsidRPr="0008499D">
        <w:rPr>
          <w:rFonts w:ascii="Times New Roman" w:eastAsia="Times New Roman" w:hAnsi="Times New Roman"/>
          <w:i/>
          <w:sz w:val="24"/>
          <w:szCs w:val="24"/>
          <w:lang w:eastAsia="pt-BR"/>
        </w:rPr>
        <w:t>ARCs</w:t>
      </w:r>
      <w:proofErr w:type="spellEnd"/>
      <w:r w:rsidRPr="0008499D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, </w:t>
      </w:r>
      <w:proofErr w:type="spellStart"/>
      <w:r w:rsidRPr="0008499D">
        <w:rPr>
          <w:rFonts w:ascii="Times New Roman" w:eastAsia="Times New Roman" w:hAnsi="Times New Roman"/>
          <w:i/>
          <w:sz w:val="24"/>
          <w:szCs w:val="24"/>
          <w:lang w:eastAsia="pt-BR"/>
        </w:rPr>
        <w:t>ANEFs</w:t>
      </w:r>
      <w:proofErr w:type="spellEnd"/>
      <w:r w:rsidRPr="0008499D">
        <w:rPr>
          <w:rFonts w:ascii="Times New Roman" w:eastAsia="Times New Roman" w:hAnsi="Times New Roman"/>
          <w:i/>
          <w:sz w:val="24"/>
          <w:szCs w:val="24"/>
          <w:lang w:eastAsia="pt-BR"/>
        </w:rPr>
        <w:t>, e respectivas sínteses, não necessita de homologação pelos Gerentes, mas estes poderão, em qualquer tempo, consultar tais informações e sugerir alterações aos Supervisores e Inspetores</w:t>
      </w:r>
      <w:r w:rsidR="0008499D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; e </w:t>
      </w:r>
      <w:proofErr w:type="spellStart"/>
      <w:r w:rsidR="0008499D">
        <w:rPr>
          <w:rFonts w:ascii="Times New Roman" w:eastAsia="Times New Roman" w:hAnsi="Times New Roman"/>
          <w:i/>
          <w:sz w:val="24"/>
          <w:szCs w:val="24"/>
          <w:lang w:eastAsia="pt-BR"/>
        </w:rPr>
        <w:t>ii</w:t>
      </w:r>
      <w:proofErr w:type="spellEnd"/>
      <w:r w:rsidR="0008499D">
        <w:rPr>
          <w:rFonts w:ascii="Times New Roman" w:eastAsia="Times New Roman" w:hAnsi="Times New Roman"/>
          <w:i/>
          <w:sz w:val="24"/>
          <w:szCs w:val="24"/>
          <w:lang w:eastAsia="pt-BR"/>
        </w:rPr>
        <w:t>) n</w:t>
      </w:r>
      <w:r w:rsidRPr="0008499D">
        <w:rPr>
          <w:rFonts w:ascii="Times New Roman" w:eastAsia="Times New Roman" w:hAnsi="Times New Roman"/>
          <w:i/>
          <w:sz w:val="24"/>
          <w:szCs w:val="24"/>
          <w:lang w:eastAsia="pt-BR"/>
        </w:rPr>
        <w:t>ão há mensageria informando ao Gerente que há informações para homologação. O Gerente deve acessar o sistema rotineiramente para verificar suas pendências, ou após a comunicação do Supervisor.</w:t>
      </w:r>
    </w:p>
    <w:p w:rsidR="0008499D" w:rsidRDefault="0008499D" w:rsidP="0008499D">
      <w:pPr>
        <w:spacing w:after="12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pt-BR"/>
        </w:rPr>
      </w:pPr>
    </w:p>
    <w:bookmarkStart w:id="5" w:name="Bloquear_Desbloquear_Consulta"/>
    <w:p w:rsidR="00266639" w:rsidRPr="00266639" w:rsidRDefault="00C04A1B" w:rsidP="00266639">
      <w:pPr>
        <w:spacing w:after="120" w:line="240" w:lineRule="auto"/>
        <w:jc w:val="both"/>
        <w:rPr>
          <w:rStyle w:val="Hyperlink"/>
          <w:rFonts w:ascii="Times New Roman" w:eastAsia="Times New Roman" w:hAnsi="Times New Roman"/>
          <w:color w:val="auto"/>
          <w:sz w:val="24"/>
          <w:szCs w:val="24"/>
          <w:u w:val="none"/>
          <w:lang w:eastAsia="pt-BR"/>
        </w:rPr>
      </w:pPr>
      <w:r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fldChar w:fldCharType="begin"/>
      </w:r>
      <w:r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instrText xml:space="preserve"> HYPERLINK  \l "Sumário" </w:instrText>
      </w:r>
      <w:r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fldChar w:fldCharType="separate"/>
      </w:r>
      <w:r w:rsidR="00ED0AF2" w:rsidRPr="00C04A1B"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t>3 – Bloquear/Desbloquear consulta ao Perfil de risco</w:t>
      </w:r>
      <w:r>
        <w:rPr>
          <w:rStyle w:val="Hyperlink"/>
          <w:rFonts w:ascii="Times New Roman" w:eastAsia="Times New Roman" w:hAnsi="Times New Roman"/>
          <w:b/>
          <w:sz w:val="24"/>
          <w:szCs w:val="24"/>
          <w:lang w:eastAsia="pt-BR"/>
        </w:rPr>
        <w:fldChar w:fldCharType="end"/>
      </w:r>
    </w:p>
    <w:bookmarkEnd w:id="5"/>
    <w:p w:rsidR="00ED0AF2" w:rsidRPr="00ED0AF2" w:rsidRDefault="00ED0AF2" w:rsidP="00F1291C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ED0AF2">
        <w:rPr>
          <w:rFonts w:ascii="Times New Roman" w:eastAsia="Times New Roman" w:hAnsi="Times New Roman"/>
          <w:sz w:val="24"/>
          <w:szCs w:val="24"/>
          <w:lang w:eastAsia="pt-BR"/>
        </w:rPr>
        <w:t>O Gerente poderá bloquear a consulta ao Perfil de Risco da ES. Para isso, deverá:</w:t>
      </w:r>
    </w:p>
    <w:p w:rsidR="00ED0AF2" w:rsidRDefault="00ED0AF2" w:rsidP="00ED0AF2">
      <w:pPr>
        <w:numPr>
          <w:ilvl w:val="1"/>
          <w:numId w:val="10"/>
        </w:num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ED0AF2">
        <w:rPr>
          <w:rFonts w:ascii="Times New Roman" w:eastAsia="Times New Roman" w:hAnsi="Times New Roman"/>
          <w:sz w:val="24"/>
          <w:szCs w:val="24"/>
          <w:lang w:eastAsia="pt-BR"/>
        </w:rPr>
        <w:t>Acessar o Perfil de Risco pelo Painel do Gerente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(seção “Ciclos das equipes”)</w:t>
      </w:r>
      <w:r w:rsidRPr="00ED0AF2"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:rsidR="00ED0AF2" w:rsidRDefault="00ED0AF2" w:rsidP="00ED0AF2">
      <w:pPr>
        <w:numPr>
          <w:ilvl w:val="1"/>
          <w:numId w:val="10"/>
        </w:num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ED0AF2">
        <w:rPr>
          <w:rFonts w:ascii="Times New Roman" w:eastAsia="Times New Roman" w:hAnsi="Times New Roman"/>
          <w:sz w:val="24"/>
          <w:szCs w:val="24"/>
          <w:lang w:eastAsia="pt-BR"/>
        </w:rPr>
        <w:t xml:space="preserve">Clicar no botão “[Bloquear consulta </w:t>
      </w:r>
      <w:r w:rsidR="00F2305D">
        <w:rPr>
          <w:rFonts w:ascii="Times New Roman" w:eastAsia="Times New Roman" w:hAnsi="Times New Roman"/>
          <w:sz w:val="24"/>
          <w:szCs w:val="24"/>
          <w:lang w:eastAsia="pt-BR"/>
        </w:rPr>
        <w:t>da ES</w:t>
      </w:r>
      <w:r w:rsidRPr="00ED0AF2">
        <w:rPr>
          <w:rFonts w:ascii="Times New Roman" w:eastAsia="Times New Roman" w:hAnsi="Times New Roman"/>
          <w:sz w:val="24"/>
          <w:szCs w:val="24"/>
          <w:lang w:eastAsia="pt-BR"/>
        </w:rPr>
        <w:t>]”, localizado abaixo da seção “Detalhes da ES”;</w:t>
      </w:r>
    </w:p>
    <w:p w:rsidR="00DC239B" w:rsidRDefault="00DC239B" w:rsidP="00DC239B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D794ED4" wp14:editId="31D218F9">
            <wp:extent cx="5612130" cy="1205865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2D" w:rsidRDefault="00D62B6F" w:rsidP="00F1291C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D62B6F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Uma vez bloqueado, o Perfil de risco da ES somente poderá ser visualizado pelos membros da equipe por perfil específico: “Perfil Inspetor”, “Perfil Supervisor” ou “Perfil Gerente”.</w:t>
      </w:r>
    </w:p>
    <w:p w:rsidR="00D62B6F" w:rsidRDefault="00D62B6F" w:rsidP="00F1291C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</w:t>
      </w:r>
      <w:r w:rsidRPr="00D62B6F">
        <w:rPr>
          <w:rFonts w:ascii="Times New Roman" w:eastAsia="Times New Roman" w:hAnsi="Times New Roman"/>
          <w:sz w:val="24"/>
          <w:szCs w:val="24"/>
          <w:lang w:eastAsia="pt-BR"/>
        </w:rPr>
        <w:t xml:space="preserve">o perfil Consulta (comum aos usuários), </w:t>
      </w:r>
      <w:r w:rsidR="004F092D">
        <w:rPr>
          <w:rFonts w:ascii="Times New Roman" w:eastAsia="Times New Roman" w:hAnsi="Times New Roman"/>
          <w:sz w:val="24"/>
          <w:szCs w:val="24"/>
          <w:lang w:eastAsia="pt-BR"/>
        </w:rPr>
        <w:t xml:space="preserve">salvo exceções informadas nas observações a seguir, será exibida aos demais usuários a seguinte </w:t>
      </w:r>
      <w:r w:rsidRPr="00D62B6F">
        <w:rPr>
          <w:rFonts w:ascii="Times New Roman" w:eastAsia="Times New Roman" w:hAnsi="Times New Roman"/>
          <w:sz w:val="24"/>
          <w:szCs w:val="24"/>
          <w:lang w:eastAsia="pt-BR"/>
        </w:rPr>
        <w:t>mensagem:</w:t>
      </w:r>
    </w:p>
    <w:p w:rsidR="004F092D" w:rsidRPr="00D62B6F" w:rsidRDefault="004F092D" w:rsidP="004F092D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414C8F8" wp14:editId="0C6EBAFF">
            <wp:extent cx="5612130" cy="977265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F2" w:rsidRDefault="00ED0AF2" w:rsidP="00ED0AF2">
      <w:pPr>
        <w:numPr>
          <w:ilvl w:val="0"/>
          <w:numId w:val="10"/>
        </w:num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ED0AF2">
        <w:rPr>
          <w:rFonts w:ascii="Times New Roman" w:eastAsia="Times New Roman" w:hAnsi="Times New Roman"/>
          <w:sz w:val="24"/>
          <w:szCs w:val="24"/>
          <w:lang w:eastAsia="pt-BR"/>
        </w:rPr>
        <w:t xml:space="preserve"> Para desbloquear a consulta ao Perfil de Risco, clicar no botão “[Desbloquear consulta </w:t>
      </w:r>
      <w:r w:rsidR="00F2305D">
        <w:rPr>
          <w:rFonts w:ascii="Times New Roman" w:eastAsia="Times New Roman" w:hAnsi="Times New Roman"/>
          <w:sz w:val="24"/>
          <w:szCs w:val="24"/>
          <w:lang w:eastAsia="pt-BR"/>
        </w:rPr>
        <w:t>da ES</w:t>
      </w:r>
      <w:r w:rsidRPr="00ED0AF2">
        <w:rPr>
          <w:rFonts w:ascii="Times New Roman" w:eastAsia="Times New Roman" w:hAnsi="Times New Roman"/>
          <w:sz w:val="24"/>
          <w:szCs w:val="24"/>
          <w:lang w:eastAsia="pt-BR"/>
        </w:rPr>
        <w:t>]”.</w:t>
      </w:r>
    </w:p>
    <w:p w:rsidR="00DC239B" w:rsidRPr="00ED0AF2" w:rsidRDefault="00DC239B" w:rsidP="00DC239B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F088781" wp14:editId="5543228C">
            <wp:extent cx="5612130" cy="1221740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F2" w:rsidRPr="00ED0AF2" w:rsidRDefault="00ED0AF2" w:rsidP="00ED0AF2">
      <w:pPr>
        <w:spacing w:after="12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pt-BR"/>
        </w:rPr>
      </w:pPr>
      <w:r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Observações: </w:t>
      </w:r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Acesso aos perfis bloqueados</w:t>
      </w:r>
      <w:r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– i) a</w:t>
      </w:r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consulta aos Perfis de Risco bloqueados atende às mesmas regras de acesso contempladas no MSU 4.30.30.20.01.01 - Regras de inclusão e acesso aos Comentários, pois o Perfil de Risco substitui o Comentário Tipo 1 nos casos das entidades supervisionadas pelo </w:t>
      </w:r>
      <w:proofErr w:type="spellStart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Desup</w:t>
      </w:r>
      <w:proofErr w:type="spellEnd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.</w:t>
      </w:r>
    </w:p>
    <w:p w:rsidR="00ED0AF2" w:rsidRPr="00ED0AF2" w:rsidRDefault="00ED0AF2" w:rsidP="00ED0AF2">
      <w:pPr>
        <w:spacing w:after="12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pt-BR"/>
        </w:rPr>
      </w:pPr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Portanto, analistas, coordenadores e chefes de subunidade de equipes de supervisão do </w:t>
      </w:r>
      <w:proofErr w:type="spellStart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Desup</w:t>
      </w:r>
      <w:proofErr w:type="spellEnd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</w:t>
      </w:r>
      <w:r w:rsidR="00F1291C">
        <w:rPr>
          <w:rFonts w:ascii="Times New Roman" w:eastAsia="Times New Roman" w:hAnsi="Times New Roman"/>
          <w:i/>
          <w:sz w:val="24"/>
          <w:szCs w:val="24"/>
          <w:lang w:eastAsia="pt-BR"/>
        </w:rPr>
        <w:t>pode</w:t>
      </w:r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rão consulta</w:t>
      </w:r>
      <w:r w:rsidR="00F1291C">
        <w:rPr>
          <w:rFonts w:ascii="Times New Roman" w:eastAsia="Times New Roman" w:hAnsi="Times New Roman"/>
          <w:i/>
          <w:sz w:val="24"/>
          <w:szCs w:val="24"/>
          <w:lang w:eastAsia="pt-BR"/>
        </w:rPr>
        <w:t>r</w:t>
      </w:r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os </w:t>
      </w:r>
      <w:r w:rsidR="00F1291C">
        <w:rPr>
          <w:rFonts w:ascii="Times New Roman" w:eastAsia="Times New Roman" w:hAnsi="Times New Roman"/>
          <w:i/>
          <w:sz w:val="24"/>
          <w:szCs w:val="24"/>
          <w:lang w:eastAsia="pt-BR"/>
        </w:rPr>
        <w:t>perfis</w:t>
      </w:r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bloqueados das </w:t>
      </w:r>
      <w:proofErr w:type="spellStart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ESs</w:t>
      </w:r>
      <w:proofErr w:type="spellEnd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sob a respectiva responsabilidade.</w:t>
      </w:r>
    </w:p>
    <w:p w:rsidR="00ED0AF2" w:rsidRPr="00ED0AF2" w:rsidRDefault="00ED0AF2" w:rsidP="00ED0AF2">
      <w:pPr>
        <w:spacing w:after="12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pt-BR"/>
        </w:rPr>
      </w:pPr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Além disso, terão acesso aos perfis bloqueados: Diretor e Chefe de Gabinete da </w:t>
      </w:r>
      <w:proofErr w:type="spellStart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Difis</w:t>
      </w:r>
      <w:proofErr w:type="spellEnd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; Diretor e Chefe de Gabinete da </w:t>
      </w:r>
      <w:proofErr w:type="spellStart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Diorf</w:t>
      </w:r>
      <w:proofErr w:type="spellEnd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; Gabinete do </w:t>
      </w:r>
      <w:proofErr w:type="spellStart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Decon</w:t>
      </w:r>
      <w:proofErr w:type="spellEnd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; Gabinete do </w:t>
      </w:r>
      <w:proofErr w:type="spellStart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Degef</w:t>
      </w:r>
      <w:proofErr w:type="spellEnd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; Gabinete do </w:t>
      </w:r>
      <w:proofErr w:type="spellStart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Desig</w:t>
      </w:r>
      <w:proofErr w:type="spellEnd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; Gabinete do </w:t>
      </w:r>
      <w:proofErr w:type="spellStart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Desup</w:t>
      </w:r>
      <w:proofErr w:type="spellEnd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; Gabinete do </w:t>
      </w:r>
      <w:proofErr w:type="spellStart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Desuc</w:t>
      </w:r>
      <w:proofErr w:type="spellEnd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; Chefe de Unidade do </w:t>
      </w:r>
      <w:proofErr w:type="spellStart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Deorf</w:t>
      </w:r>
      <w:proofErr w:type="spellEnd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; Chefe de Unidade do </w:t>
      </w:r>
      <w:proofErr w:type="spellStart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Derop</w:t>
      </w:r>
      <w:proofErr w:type="spellEnd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.</w:t>
      </w:r>
    </w:p>
    <w:p w:rsidR="0008499D" w:rsidRPr="00ED0AF2" w:rsidRDefault="00ED0AF2" w:rsidP="00ED0AF2">
      <w:pPr>
        <w:spacing w:after="12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pt-BR"/>
        </w:rPr>
      </w:pPr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Outros servidores de outros departamentos relacionados à área de fiscalização terão acesso somente aos Perfis de Risco desbloqueados, em sua versão “resumida”, a qual não inclui a matriz de riscos, o acesso aos detalhes das avaliações dos </w:t>
      </w:r>
      <w:proofErr w:type="spellStart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ARCs</w:t>
      </w:r>
      <w:proofErr w:type="spellEnd"/>
      <w:r w:rsidR="00F56783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e </w:t>
      </w:r>
      <w:proofErr w:type="spellStart"/>
      <w:r w:rsidR="00F56783">
        <w:rPr>
          <w:rFonts w:ascii="Times New Roman" w:eastAsia="Times New Roman" w:hAnsi="Times New Roman"/>
          <w:i/>
          <w:sz w:val="24"/>
          <w:szCs w:val="24"/>
          <w:lang w:eastAsia="pt-BR"/>
        </w:rPr>
        <w:t>ANEFs</w:t>
      </w:r>
      <w:proofErr w:type="spellEnd"/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, </w:t>
      </w:r>
      <w:r w:rsidR="00F56783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a nota final, as ações no ciclo </w:t>
      </w:r>
      <w:r w:rsidRPr="00ED0AF2">
        <w:rPr>
          <w:rFonts w:ascii="Times New Roman" w:eastAsia="Times New Roman" w:hAnsi="Times New Roman"/>
          <w:i/>
          <w:sz w:val="24"/>
          <w:szCs w:val="24"/>
          <w:lang w:eastAsia="pt-BR"/>
        </w:rPr>
        <w:t>e a classificação de prioridade da ES.</w:t>
      </w:r>
    </w:p>
    <w:p w:rsidR="00ED0AF2" w:rsidRDefault="00ED0AF2" w:rsidP="0008499D">
      <w:pPr>
        <w:spacing w:after="12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pt-BR"/>
        </w:rPr>
      </w:pPr>
    </w:p>
    <w:bookmarkStart w:id="6" w:name="Assinar_Ata"/>
    <w:bookmarkStart w:id="7" w:name="Consultar_ciclos_versões_Perfil"/>
    <w:p w:rsidR="00216773" w:rsidRPr="00F70A13" w:rsidRDefault="00C04A1B" w:rsidP="00216773">
      <w:pPr>
        <w:spacing w:line="240" w:lineRule="auto"/>
        <w:rPr>
          <w:rStyle w:val="Hyperlink"/>
          <w:rFonts w:ascii="Times New Roman" w:hAnsi="Times New Roman"/>
          <w:b/>
          <w:sz w:val="24"/>
          <w:szCs w:val="24"/>
        </w:rPr>
      </w:pPr>
      <w:r>
        <w:rPr>
          <w:rStyle w:val="Hyperlink"/>
          <w:rFonts w:ascii="Times New Roman" w:hAnsi="Times New Roman"/>
          <w:b/>
          <w:sz w:val="24"/>
          <w:szCs w:val="24"/>
        </w:rPr>
        <w:fldChar w:fldCharType="begin"/>
      </w:r>
      <w:r>
        <w:rPr>
          <w:rStyle w:val="Hyperlink"/>
          <w:rFonts w:ascii="Times New Roman" w:hAnsi="Times New Roman"/>
          <w:b/>
          <w:sz w:val="24"/>
          <w:szCs w:val="24"/>
        </w:rPr>
        <w:instrText xml:space="preserve"> HYPERLINK  \l "Sumário" </w:instrText>
      </w:r>
      <w:r>
        <w:rPr>
          <w:rStyle w:val="Hyperlink"/>
          <w:rFonts w:ascii="Times New Roman" w:hAnsi="Times New Roman"/>
          <w:b/>
          <w:sz w:val="24"/>
          <w:szCs w:val="24"/>
        </w:rPr>
        <w:fldChar w:fldCharType="separate"/>
      </w:r>
      <w:r w:rsidR="00216773" w:rsidRPr="00C04A1B">
        <w:rPr>
          <w:rStyle w:val="Hyperlink"/>
          <w:rFonts w:ascii="Times New Roman" w:hAnsi="Times New Roman"/>
          <w:b/>
          <w:sz w:val="24"/>
          <w:szCs w:val="24"/>
        </w:rPr>
        <w:t xml:space="preserve">4 – Assinar Ata do </w:t>
      </w:r>
      <w:proofErr w:type="spellStart"/>
      <w:r w:rsidR="00216773" w:rsidRPr="00C04A1B">
        <w:rPr>
          <w:rStyle w:val="Hyperlink"/>
          <w:rFonts w:ascii="Times New Roman" w:hAnsi="Times New Roman"/>
          <w:b/>
          <w:sz w:val="24"/>
          <w:szCs w:val="24"/>
        </w:rPr>
        <w:t>Corec</w:t>
      </w:r>
      <w:proofErr w:type="spellEnd"/>
      <w:r>
        <w:rPr>
          <w:rStyle w:val="Hyperlink"/>
          <w:rFonts w:ascii="Times New Roman" w:hAnsi="Times New Roman"/>
          <w:b/>
          <w:sz w:val="24"/>
          <w:szCs w:val="24"/>
        </w:rPr>
        <w:fldChar w:fldCharType="end"/>
      </w:r>
    </w:p>
    <w:bookmarkEnd w:id="6"/>
    <w:p w:rsidR="00216773" w:rsidRDefault="00216773" w:rsidP="00BD2EAD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6639">
        <w:rPr>
          <w:rFonts w:ascii="Times New Roman" w:eastAsia="Times New Roman" w:hAnsi="Times New Roman"/>
          <w:sz w:val="24"/>
          <w:szCs w:val="24"/>
          <w:lang w:eastAsia="pt-BR"/>
        </w:rPr>
        <w:t xml:space="preserve">No final da tela do Perfil Agenda, na seção </w:t>
      </w:r>
      <w:r w:rsidR="006A5382">
        <w:rPr>
          <w:rFonts w:ascii="Times New Roman" w:eastAsia="Times New Roman" w:hAnsi="Times New Roman"/>
          <w:sz w:val="24"/>
          <w:szCs w:val="24"/>
          <w:lang w:eastAsia="pt-BR"/>
        </w:rPr>
        <w:t>“</w:t>
      </w:r>
      <w:r w:rsidRPr="00266639">
        <w:rPr>
          <w:rFonts w:ascii="Times New Roman" w:eastAsia="Times New Roman" w:hAnsi="Times New Roman"/>
          <w:sz w:val="24"/>
          <w:szCs w:val="24"/>
          <w:lang w:eastAsia="pt-BR"/>
        </w:rPr>
        <w:t>Meus comitês</w:t>
      </w:r>
      <w:r w:rsidR="006A5382">
        <w:rPr>
          <w:rFonts w:ascii="Times New Roman" w:eastAsia="Times New Roman" w:hAnsi="Times New Roman"/>
          <w:sz w:val="24"/>
          <w:szCs w:val="24"/>
          <w:lang w:eastAsia="pt-BR"/>
        </w:rPr>
        <w:t>”</w:t>
      </w:r>
      <w:r w:rsidRPr="00266639">
        <w:rPr>
          <w:rFonts w:ascii="Times New Roman" w:eastAsia="Times New Roman" w:hAnsi="Times New Roman"/>
          <w:sz w:val="24"/>
          <w:szCs w:val="24"/>
          <w:lang w:eastAsia="pt-BR"/>
        </w:rPr>
        <w:t>, são apresentadas as listas de comitês para os quais o participante tem ata com assinatura pendente ou ata assinada eletronicamente, conforme a aba selecionada.</w:t>
      </w:r>
    </w:p>
    <w:p w:rsidR="00BD2EAD" w:rsidRPr="00266639" w:rsidRDefault="00BD2EAD" w:rsidP="00BD2EAD">
      <w:pPr>
        <w:spacing w:after="120" w:line="240" w:lineRule="auto"/>
        <w:ind w:left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988A6E1" wp14:editId="3A76E4BF">
            <wp:extent cx="5612130" cy="339915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73" w:rsidRPr="00266639" w:rsidRDefault="00216773" w:rsidP="00BD2EAD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6639">
        <w:rPr>
          <w:rFonts w:ascii="Times New Roman" w:eastAsia="Times New Roman" w:hAnsi="Times New Roman"/>
          <w:sz w:val="24"/>
          <w:szCs w:val="24"/>
          <w:lang w:eastAsia="pt-BR"/>
        </w:rPr>
        <w:t xml:space="preserve">Após o registro do resultado do </w:t>
      </w:r>
      <w:proofErr w:type="spellStart"/>
      <w:r w:rsidRPr="00266639">
        <w:rPr>
          <w:rFonts w:ascii="Times New Roman" w:eastAsia="Times New Roman" w:hAnsi="Times New Roman"/>
          <w:sz w:val="24"/>
          <w:szCs w:val="24"/>
          <w:lang w:eastAsia="pt-BR"/>
        </w:rPr>
        <w:t>Corec</w:t>
      </w:r>
      <w:proofErr w:type="spellEnd"/>
      <w:r w:rsidRPr="00266639">
        <w:rPr>
          <w:rFonts w:ascii="Times New Roman" w:eastAsia="Times New Roman" w:hAnsi="Times New Roman"/>
          <w:sz w:val="24"/>
          <w:szCs w:val="24"/>
          <w:lang w:eastAsia="pt-BR"/>
        </w:rPr>
        <w:t xml:space="preserve"> pela </w:t>
      </w:r>
      <w:proofErr w:type="spellStart"/>
      <w:r w:rsidRPr="00266639">
        <w:rPr>
          <w:rFonts w:ascii="Times New Roman" w:eastAsia="Times New Roman" w:hAnsi="Times New Roman"/>
          <w:sz w:val="24"/>
          <w:szCs w:val="24"/>
          <w:lang w:eastAsia="pt-BR"/>
        </w:rPr>
        <w:t>Disup</w:t>
      </w:r>
      <w:proofErr w:type="spellEnd"/>
      <w:r w:rsidRPr="00266639">
        <w:rPr>
          <w:rFonts w:ascii="Times New Roman" w:eastAsia="Times New Roman" w:hAnsi="Times New Roman"/>
          <w:sz w:val="24"/>
          <w:szCs w:val="24"/>
          <w:lang w:eastAsia="pt-BR"/>
        </w:rPr>
        <w:t>/Cosup-02, os membros cadastrados como votantes receberão e-mail automático do sistema com orientações sobre como assinar eletronicamente a ata.</w:t>
      </w:r>
    </w:p>
    <w:p w:rsidR="00216773" w:rsidRPr="00266639" w:rsidRDefault="00216773" w:rsidP="00BD2EAD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6639">
        <w:rPr>
          <w:rFonts w:ascii="Times New Roman" w:eastAsia="Times New Roman" w:hAnsi="Times New Roman"/>
          <w:sz w:val="24"/>
          <w:szCs w:val="24"/>
          <w:lang w:eastAsia="pt-BR"/>
        </w:rPr>
        <w:t xml:space="preserve">Para assinatura da ata, o participante do respectivo comitê deve clicar no botão da coluna Ação. Ao abrir a ‘caixa’ com as informações da ES, clicar no link Ata COREC para conferir as informações da reunião. Se de acordo, marcar a ‘caixinha’ [Eu li e concordo com os termos da ata.] e depois clicar no botão [Salvar]. Com isso, a ata deve passar para a aba “Comitês com ata assinada”. Ficarão registrados na ata o </w:t>
      </w:r>
      <w:proofErr w:type="spellStart"/>
      <w:r w:rsidRPr="00266639">
        <w:rPr>
          <w:rFonts w:ascii="Times New Roman" w:eastAsia="Times New Roman" w:hAnsi="Times New Roman"/>
          <w:sz w:val="24"/>
          <w:szCs w:val="24"/>
          <w:lang w:eastAsia="pt-BR"/>
        </w:rPr>
        <w:t>login</w:t>
      </w:r>
      <w:proofErr w:type="spellEnd"/>
      <w:r w:rsidRPr="00266639">
        <w:rPr>
          <w:rFonts w:ascii="Times New Roman" w:eastAsia="Times New Roman" w:hAnsi="Times New Roman"/>
          <w:sz w:val="24"/>
          <w:szCs w:val="24"/>
          <w:lang w:eastAsia="pt-BR"/>
        </w:rPr>
        <w:t>, a data e a hora em que o usuário confirmou o seu ‘de acordo’ com os termos registrados.</w:t>
      </w:r>
    </w:p>
    <w:p w:rsidR="00216773" w:rsidRDefault="00216773" w:rsidP="00382E1A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bookmarkStart w:id="8" w:name="Consulta_Perfil"/>
    <w:p w:rsidR="00382E1A" w:rsidRPr="00C04A1B" w:rsidRDefault="00C04A1B" w:rsidP="00382E1A">
      <w:pPr>
        <w:spacing w:line="240" w:lineRule="auto"/>
        <w:rPr>
          <w:rStyle w:val="Hyperlink"/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fldChar w:fldCharType="begin"/>
      </w:r>
      <w:r>
        <w:rPr>
          <w:rFonts w:ascii="Times New Roman" w:hAnsi="Times New Roman"/>
          <w:b/>
          <w:sz w:val="24"/>
          <w:szCs w:val="24"/>
        </w:rPr>
        <w:instrText xml:space="preserve"> HYPERLINK  \l "Sumário" </w:instrText>
      </w:r>
      <w:r>
        <w:rPr>
          <w:rFonts w:ascii="Times New Roman" w:hAnsi="Times New Roman"/>
          <w:b/>
          <w:sz w:val="24"/>
          <w:szCs w:val="24"/>
        </w:rPr>
        <w:fldChar w:fldCharType="separate"/>
      </w:r>
      <w:r w:rsidR="00216773" w:rsidRPr="00C04A1B">
        <w:rPr>
          <w:rStyle w:val="Hyperlink"/>
          <w:rFonts w:ascii="Times New Roman" w:hAnsi="Times New Roman"/>
          <w:b/>
          <w:sz w:val="24"/>
          <w:szCs w:val="24"/>
        </w:rPr>
        <w:t>5</w:t>
      </w:r>
      <w:r w:rsidR="00382E1A" w:rsidRPr="00C04A1B">
        <w:rPr>
          <w:rStyle w:val="Hyperlink"/>
          <w:rFonts w:ascii="Times New Roman" w:hAnsi="Times New Roman"/>
          <w:b/>
          <w:sz w:val="24"/>
          <w:szCs w:val="24"/>
        </w:rPr>
        <w:t xml:space="preserve"> – Consultar Perfil de Risco</w:t>
      </w:r>
    </w:p>
    <w:bookmarkEnd w:id="7"/>
    <w:bookmarkEnd w:id="8"/>
    <w:p w:rsidR="009111EE" w:rsidRPr="00B57287" w:rsidRDefault="00C04A1B" w:rsidP="00B57287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fldChar w:fldCharType="end"/>
      </w:r>
      <w:r w:rsidR="009111EE" w:rsidRPr="00B57287">
        <w:rPr>
          <w:rFonts w:ascii="Times New Roman" w:hAnsi="Times New Roman"/>
          <w:sz w:val="24"/>
          <w:szCs w:val="24"/>
        </w:rPr>
        <w:t>Acessando o Perfil de Risco pelo Painel do Gerente, o Gerente visualizará a mesma versão do Perfil de Risco que o Supervisor, porém apenas para consulta, sem os botões de ação. Dessa forma o Gerente poderá consultar informações que ainda estão em edição, como:</w:t>
      </w:r>
    </w:p>
    <w:p w:rsidR="009111EE" w:rsidRPr="00BC49CA" w:rsidRDefault="009111EE" w:rsidP="009111EE">
      <w:pPr>
        <w:numPr>
          <w:ilvl w:val="1"/>
          <w:numId w:val="10"/>
        </w:num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r w:rsidRPr="00BC49CA">
        <w:rPr>
          <w:rFonts w:ascii="Times New Roman" w:eastAsia="Times New Roman" w:hAnsi="Times New Roman"/>
          <w:sz w:val="24"/>
          <w:szCs w:val="24"/>
          <w:lang w:eastAsia="pt-BR"/>
        </w:rPr>
        <w:t>ARCs</w:t>
      </w:r>
      <w:proofErr w:type="spellEnd"/>
      <w:r w:rsidRPr="00BC49CA">
        <w:rPr>
          <w:rFonts w:ascii="Times New Roman" w:eastAsia="Times New Roman" w:hAnsi="Times New Roman"/>
          <w:sz w:val="24"/>
          <w:szCs w:val="24"/>
          <w:lang w:eastAsia="pt-BR"/>
        </w:rPr>
        <w:t xml:space="preserve"> e </w:t>
      </w:r>
      <w:proofErr w:type="spellStart"/>
      <w:r w:rsidRPr="00BC49CA">
        <w:rPr>
          <w:rFonts w:ascii="Times New Roman" w:eastAsia="Times New Roman" w:hAnsi="Times New Roman"/>
          <w:sz w:val="24"/>
          <w:szCs w:val="24"/>
          <w:lang w:eastAsia="pt-BR"/>
        </w:rPr>
        <w:t>ANEFs</w:t>
      </w:r>
      <w:proofErr w:type="spellEnd"/>
      <w:r w:rsidRPr="00BC49CA">
        <w:rPr>
          <w:rFonts w:ascii="Times New Roman" w:eastAsia="Times New Roman" w:hAnsi="Times New Roman"/>
          <w:sz w:val="24"/>
          <w:szCs w:val="24"/>
          <w:lang w:eastAsia="pt-BR"/>
        </w:rPr>
        <w:t xml:space="preserve"> que estão sendo preenchidos pelos inspetores, antes mesmo da sua conclusão;</w:t>
      </w:r>
    </w:p>
    <w:p w:rsidR="009111EE" w:rsidRPr="00BC49CA" w:rsidRDefault="009111EE" w:rsidP="009111EE">
      <w:pPr>
        <w:numPr>
          <w:ilvl w:val="1"/>
          <w:numId w:val="10"/>
        </w:num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C49CA">
        <w:rPr>
          <w:rFonts w:ascii="Times New Roman" w:eastAsia="Times New Roman" w:hAnsi="Times New Roman"/>
          <w:sz w:val="24"/>
          <w:szCs w:val="24"/>
          <w:lang w:eastAsia="pt-BR"/>
        </w:rPr>
        <w:t>Informações de “Detalhes da ES” e conclusões que estão sendo elaboradas/atualizadas pelo Supervisor, antes da sua publicação no Perfil de Risco.</w:t>
      </w:r>
    </w:p>
    <w:p w:rsidR="009111EE" w:rsidRPr="00BC49CA" w:rsidRDefault="009111EE" w:rsidP="009111EE">
      <w:pPr>
        <w:spacing w:after="12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pt-BR"/>
        </w:rPr>
      </w:pPr>
      <w:r w:rsidRPr="00BC49CA">
        <w:rPr>
          <w:rFonts w:ascii="Times New Roman" w:eastAsia="Times New Roman" w:hAnsi="Times New Roman"/>
          <w:i/>
          <w:sz w:val="24"/>
          <w:szCs w:val="24"/>
          <w:lang w:eastAsia="pt-BR"/>
        </w:rPr>
        <w:t>Obs</w:t>
      </w:r>
      <w:r>
        <w:rPr>
          <w:rFonts w:ascii="Times New Roman" w:eastAsia="Times New Roman" w:hAnsi="Times New Roman"/>
          <w:i/>
          <w:sz w:val="24"/>
          <w:szCs w:val="24"/>
          <w:lang w:eastAsia="pt-BR"/>
        </w:rPr>
        <w:t>ervação</w:t>
      </w:r>
      <w:r w:rsidRPr="00BC49CA">
        <w:rPr>
          <w:rFonts w:ascii="Times New Roman" w:eastAsia="Times New Roman" w:hAnsi="Times New Roman"/>
          <w:i/>
          <w:sz w:val="24"/>
          <w:szCs w:val="24"/>
          <w:lang w:eastAsia="pt-BR"/>
        </w:rPr>
        <w:t>: Se a consulta ao Perfil de Risco for feita pelo “Painel de Consulta”, o perfil visualizado será aquele com as informações já publicadas, enquanto que consultando pelo “Painel do Gerente” serão visualizadas inclusive as informações em edição.</w:t>
      </w:r>
    </w:p>
    <w:p w:rsidR="009111EE" w:rsidRDefault="006A5382" w:rsidP="009111E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011ABFC" wp14:editId="70FFE12C">
            <wp:extent cx="5612130" cy="398145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1A" w:rsidRDefault="00382E1A" w:rsidP="00382E1A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 w:rsidRPr="00444FD2">
        <w:rPr>
          <w:rFonts w:ascii="Times New Roman" w:hAnsi="Times New Roman"/>
          <w:sz w:val="24"/>
          <w:szCs w:val="24"/>
        </w:rPr>
        <w:t xml:space="preserve">No início da tela </w:t>
      </w:r>
      <w:r>
        <w:rPr>
          <w:rFonts w:ascii="Times New Roman" w:hAnsi="Times New Roman"/>
          <w:sz w:val="24"/>
          <w:szCs w:val="24"/>
        </w:rPr>
        <w:t>“Perfil de r</w:t>
      </w:r>
      <w:r w:rsidRPr="00444FD2">
        <w:rPr>
          <w:rFonts w:ascii="Times New Roman" w:hAnsi="Times New Roman"/>
          <w:sz w:val="24"/>
          <w:szCs w:val="24"/>
        </w:rPr>
        <w:t>isco</w:t>
      </w:r>
      <w:r>
        <w:rPr>
          <w:rFonts w:ascii="Times New Roman" w:hAnsi="Times New Roman"/>
          <w:sz w:val="24"/>
          <w:szCs w:val="24"/>
        </w:rPr>
        <w:t>” há dois filtros</w:t>
      </w:r>
      <w:r w:rsidRPr="00444FD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um para o ciclo (atual ou anteriores) e outro para as versões do “Perfil de risco” do ciclo que está sendo consultado. </w:t>
      </w:r>
    </w:p>
    <w:p w:rsidR="00382E1A" w:rsidRDefault="00382E1A" w:rsidP="00382E1A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Ao acessar o “Perfil de risco”, a tela inicial apresenta o ciclo atual e a versão vigente do “Perfil de risco”.  </w:t>
      </w:r>
    </w:p>
    <w:p w:rsidR="00382E1A" w:rsidRPr="00444FD2" w:rsidRDefault="00382E1A" w:rsidP="00382E1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532CA6" wp14:editId="0EE49122">
            <wp:extent cx="6480175" cy="1833880"/>
            <wp:effectExtent l="0" t="0" r="0" b="0"/>
            <wp:docPr id="1032" name="Imagem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1A" w:rsidRDefault="00382E1A" w:rsidP="00382E1A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alterar o ciclo que deseja consultar, selecioná-lo na </w:t>
      </w:r>
      <w:proofErr w:type="spellStart"/>
      <w:r w:rsidRPr="002C7A14">
        <w:rPr>
          <w:rFonts w:ascii="Times New Roman" w:hAnsi="Times New Roman"/>
          <w:sz w:val="24"/>
          <w:szCs w:val="24"/>
        </w:rPr>
        <w:t>combobox</w:t>
      </w:r>
      <w:proofErr w:type="spellEnd"/>
      <w:r>
        <w:rPr>
          <w:rFonts w:ascii="Times New Roman" w:hAnsi="Times New Roman"/>
          <w:sz w:val="24"/>
          <w:szCs w:val="24"/>
        </w:rPr>
        <w:t xml:space="preserve"> “ciclo”. Os ciclos já encerrados são identificados pela data do seu encerramento (data da realização do </w:t>
      </w:r>
      <w:proofErr w:type="spellStart"/>
      <w:r>
        <w:rPr>
          <w:rFonts w:ascii="Times New Roman" w:hAnsi="Times New Roman"/>
          <w:sz w:val="24"/>
          <w:szCs w:val="24"/>
        </w:rPr>
        <w:t>Corec</w:t>
      </w:r>
      <w:proofErr w:type="spellEnd"/>
      <w:r>
        <w:rPr>
          <w:rFonts w:ascii="Times New Roman" w:hAnsi="Times New Roman"/>
          <w:sz w:val="24"/>
          <w:szCs w:val="24"/>
        </w:rPr>
        <w:t xml:space="preserve"> correspondente). </w:t>
      </w:r>
    </w:p>
    <w:p w:rsidR="00382E1A" w:rsidRPr="00444FD2" w:rsidRDefault="00382E1A" w:rsidP="00382E1A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visualizar versões anteriores do “Perfil de risco”, </w:t>
      </w:r>
      <w:r w:rsidRPr="00444FD2">
        <w:rPr>
          <w:rFonts w:ascii="Times New Roman" w:hAnsi="Times New Roman"/>
          <w:sz w:val="24"/>
          <w:szCs w:val="24"/>
        </w:rPr>
        <w:t xml:space="preserve">selecionar </w:t>
      </w:r>
      <w:r>
        <w:rPr>
          <w:rFonts w:ascii="Times New Roman" w:hAnsi="Times New Roman"/>
          <w:sz w:val="24"/>
          <w:szCs w:val="24"/>
        </w:rPr>
        <w:t>a data da versão desejada</w:t>
      </w:r>
      <w:r w:rsidRPr="00444FD2">
        <w:rPr>
          <w:rFonts w:ascii="Times New Roman" w:hAnsi="Times New Roman"/>
          <w:sz w:val="24"/>
          <w:szCs w:val="24"/>
        </w:rPr>
        <w:t xml:space="preserve"> na </w:t>
      </w:r>
      <w:proofErr w:type="spellStart"/>
      <w:r w:rsidRPr="002250F1">
        <w:rPr>
          <w:rFonts w:ascii="Times New Roman" w:hAnsi="Times New Roman"/>
          <w:i/>
          <w:sz w:val="24"/>
          <w:szCs w:val="24"/>
        </w:rPr>
        <w:t>combobox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“versão”</w:t>
      </w:r>
      <w:r w:rsidRPr="00444FD2">
        <w:rPr>
          <w:rFonts w:ascii="Times New Roman" w:hAnsi="Times New Roman"/>
          <w:sz w:val="24"/>
          <w:szCs w:val="24"/>
        </w:rPr>
        <w:t xml:space="preserve">. </w:t>
      </w:r>
    </w:p>
    <w:p w:rsidR="00382E1A" w:rsidRPr="000D28D5" w:rsidRDefault="00382E1A" w:rsidP="00382E1A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0D28D5">
        <w:rPr>
          <w:rFonts w:ascii="Times New Roman" w:hAnsi="Times New Roman"/>
          <w:i/>
          <w:sz w:val="24"/>
          <w:szCs w:val="24"/>
        </w:rPr>
        <w:t>Observações:</w:t>
      </w:r>
    </w:p>
    <w:p w:rsidR="00382E1A" w:rsidRPr="000D28D5" w:rsidRDefault="00382E1A" w:rsidP="00382E1A">
      <w:pPr>
        <w:spacing w:after="120" w:line="240" w:lineRule="auto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0D28D5">
        <w:rPr>
          <w:rFonts w:ascii="Times New Roman" w:hAnsi="Times New Roman"/>
          <w:i/>
          <w:sz w:val="24"/>
          <w:szCs w:val="24"/>
        </w:rPr>
        <w:lastRenderedPageBreak/>
        <w:t>i</w:t>
      </w:r>
      <w:proofErr w:type="gramEnd"/>
      <w:r w:rsidRPr="000D28D5">
        <w:rPr>
          <w:rFonts w:ascii="Times New Roman" w:hAnsi="Times New Roman"/>
          <w:i/>
          <w:sz w:val="24"/>
          <w:szCs w:val="24"/>
        </w:rPr>
        <w:t xml:space="preserve"> – As versões anteriores do “Perfil de risco” correspondem às datas em que as informações que o compõem sofreram algum tipo de atualização, dentro do respectivo ciclo (Detalhes da ES, </w:t>
      </w:r>
      <w:proofErr w:type="spellStart"/>
      <w:r w:rsidRPr="000D28D5">
        <w:rPr>
          <w:rFonts w:ascii="Times New Roman" w:hAnsi="Times New Roman"/>
          <w:i/>
          <w:sz w:val="24"/>
          <w:szCs w:val="24"/>
        </w:rPr>
        <w:t>ARCs</w:t>
      </w:r>
      <w:proofErr w:type="spellEnd"/>
      <w:r w:rsidRPr="000D28D5">
        <w:rPr>
          <w:rFonts w:ascii="Times New Roman" w:hAnsi="Times New Roman"/>
          <w:i/>
          <w:sz w:val="24"/>
          <w:szCs w:val="24"/>
        </w:rPr>
        <w:t>, Sínteses de Riscos, Quadro da Posição Financeira, etc..).</w:t>
      </w:r>
    </w:p>
    <w:p w:rsidR="00382E1A" w:rsidRPr="00444FD2" w:rsidRDefault="00382E1A" w:rsidP="00382E1A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ii</w:t>
      </w:r>
      <w:proofErr w:type="spellEnd"/>
      <w:proofErr w:type="gramEnd"/>
      <w:r w:rsidRPr="000D28D5">
        <w:rPr>
          <w:rFonts w:ascii="Times New Roman" w:hAnsi="Times New Roman"/>
          <w:i/>
          <w:sz w:val="24"/>
          <w:szCs w:val="24"/>
        </w:rPr>
        <w:t xml:space="preserve"> – Para ciclos anteriores a 2015 cujos documentos estão registrados no sistema “Rating” (de 2010 a 2014), é apresentada uma versão histórica que contém os seguintes documentos: Dossiê, Matriz, </w:t>
      </w:r>
      <w:proofErr w:type="spellStart"/>
      <w:r w:rsidRPr="000D28D5">
        <w:rPr>
          <w:rFonts w:ascii="Times New Roman" w:hAnsi="Times New Roman"/>
          <w:i/>
          <w:sz w:val="24"/>
          <w:szCs w:val="24"/>
        </w:rPr>
        <w:t>Conclu</w:t>
      </w:r>
      <w:proofErr w:type="spellEnd"/>
      <w:r w:rsidRPr="000D28D5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0D28D5">
        <w:rPr>
          <w:rFonts w:ascii="Times New Roman" w:hAnsi="Times New Roman"/>
          <w:i/>
          <w:sz w:val="24"/>
          <w:szCs w:val="24"/>
        </w:rPr>
        <w:t>ARCs</w:t>
      </w:r>
      <w:proofErr w:type="spellEnd"/>
      <w:r w:rsidRPr="000D28D5">
        <w:rPr>
          <w:rFonts w:ascii="Times New Roman" w:hAnsi="Times New Roman"/>
          <w:i/>
          <w:sz w:val="24"/>
          <w:szCs w:val="24"/>
        </w:rPr>
        <w:t>, Apresentação, Ata e Ofício.</w:t>
      </w:r>
    </w:p>
    <w:p w:rsidR="00382E1A" w:rsidRPr="00444FD2" w:rsidRDefault="00382E1A" w:rsidP="00382E1A">
      <w:pPr>
        <w:spacing w:line="240" w:lineRule="auto"/>
        <w:rPr>
          <w:rFonts w:ascii="Times New Roman" w:hAnsi="Times New Roman"/>
          <w:sz w:val="24"/>
          <w:szCs w:val="24"/>
        </w:rPr>
      </w:pPr>
    </w:p>
    <w:bookmarkStart w:id="9" w:name="Consulta_Agenda"/>
    <w:p w:rsidR="00382E1A" w:rsidRPr="00B57287" w:rsidRDefault="00C04A1B" w:rsidP="00382E1A">
      <w:pPr>
        <w:spacing w:line="240" w:lineRule="auto"/>
        <w:rPr>
          <w:rStyle w:val="Hyperlink"/>
          <w:rFonts w:ascii="Times New Roman" w:hAnsi="Times New Roman"/>
          <w:b/>
          <w:sz w:val="24"/>
          <w:szCs w:val="24"/>
        </w:rPr>
      </w:pPr>
      <w:r>
        <w:rPr>
          <w:rStyle w:val="Hyperlink"/>
          <w:rFonts w:ascii="Times New Roman" w:hAnsi="Times New Roman"/>
          <w:b/>
          <w:sz w:val="24"/>
          <w:szCs w:val="24"/>
        </w:rPr>
        <w:fldChar w:fldCharType="begin"/>
      </w:r>
      <w:r>
        <w:rPr>
          <w:rStyle w:val="Hyperlink"/>
          <w:rFonts w:ascii="Times New Roman" w:hAnsi="Times New Roman"/>
          <w:b/>
          <w:sz w:val="24"/>
          <w:szCs w:val="24"/>
        </w:rPr>
        <w:instrText xml:space="preserve"> HYPERLINK  \l "Sumário" </w:instrText>
      </w:r>
      <w:r>
        <w:rPr>
          <w:rStyle w:val="Hyperlink"/>
          <w:rFonts w:ascii="Times New Roman" w:hAnsi="Times New Roman"/>
          <w:b/>
          <w:sz w:val="24"/>
          <w:szCs w:val="24"/>
        </w:rPr>
        <w:fldChar w:fldCharType="separate"/>
      </w:r>
      <w:r w:rsidR="00216773" w:rsidRPr="00C04A1B">
        <w:rPr>
          <w:rStyle w:val="Hyperlink"/>
          <w:rFonts w:ascii="Times New Roman" w:hAnsi="Times New Roman"/>
          <w:b/>
          <w:sz w:val="24"/>
          <w:szCs w:val="24"/>
        </w:rPr>
        <w:t>6</w:t>
      </w:r>
      <w:r w:rsidR="00382E1A" w:rsidRPr="00C04A1B">
        <w:rPr>
          <w:rStyle w:val="Hyperlink"/>
          <w:rFonts w:ascii="Times New Roman" w:hAnsi="Times New Roman"/>
          <w:b/>
          <w:sz w:val="24"/>
          <w:szCs w:val="24"/>
        </w:rPr>
        <w:t xml:space="preserve"> – Consultar Agenda de </w:t>
      </w:r>
      <w:proofErr w:type="spellStart"/>
      <w:r w:rsidR="00382E1A" w:rsidRPr="00C04A1B">
        <w:rPr>
          <w:rStyle w:val="Hyperlink"/>
          <w:rFonts w:ascii="Times New Roman" w:hAnsi="Times New Roman"/>
          <w:b/>
          <w:sz w:val="24"/>
          <w:szCs w:val="24"/>
        </w:rPr>
        <w:t>Corecs</w:t>
      </w:r>
      <w:proofErr w:type="spellEnd"/>
      <w:r>
        <w:rPr>
          <w:rStyle w:val="Hyperlink"/>
          <w:rFonts w:ascii="Times New Roman" w:hAnsi="Times New Roman"/>
          <w:b/>
          <w:sz w:val="24"/>
          <w:szCs w:val="24"/>
        </w:rPr>
        <w:fldChar w:fldCharType="end"/>
      </w:r>
    </w:p>
    <w:bookmarkEnd w:id="9"/>
    <w:p w:rsidR="00382E1A" w:rsidRDefault="00382E1A" w:rsidP="00B57287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Painel Agenda são apresentadas as listas de comitês a realizar ou comitês realizados, conforme a aba selecionada.</w:t>
      </w:r>
    </w:p>
    <w:p w:rsidR="00382E1A" w:rsidRDefault="00382E1A" w:rsidP="00382E1A">
      <w:pPr>
        <w:pStyle w:val="PargrafodaLista"/>
        <w:rPr>
          <w:rFonts w:ascii="Times New Roman" w:hAnsi="Times New Roman"/>
          <w:sz w:val="24"/>
          <w:szCs w:val="24"/>
        </w:rPr>
      </w:pPr>
    </w:p>
    <w:p w:rsidR="00382E1A" w:rsidRDefault="00382E1A" w:rsidP="00382E1A">
      <w:pPr>
        <w:pStyle w:val="PargrafodaLista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AF07207" wp14:editId="35533A34">
            <wp:extent cx="5612130" cy="3422650"/>
            <wp:effectExtent l="0" t="0" r="762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1A" w:rsidRDefault="00382E1A" w:rsidP="00382E1A">
      <w:pPr>
        <w:pStyle w:val="PargrafodaLista"/>
        <w:rPr>
          <w:rFonts w:ascii="Times New Roman" w:hAnsi="Times New Roman"/>
          <w:sz w:val="24"/>
          <w:szCs w:val="24"/>
        </w:rPr>
      </w:pPr>
    </w:p>
    <w:p w:rsidR="00382E1A" w:rsidRDefault="00382E1A" w:rsidP="00B57287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Clicando-se no botão da coluna Ação da respectiva ES, são apresentados os detalhes da reunião do </w:t>
      </w:r>
      <w:proofErr w:type="spellStart"/>
      <w:r>
        <w:rPr>
          <w:rFonts w:ascii="Times New Roman" w:hAnsi="Times New Roman"/>
          <w:sz w:val="24"/>
          <w:szCs w:val="24"/>
        </w:rPr>
        <w:t>Corec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82E1A" w:rsidRDefault="00382E1A" w:rsidP="00382E1A">
      <w:pPr>
        <w:pStyle w:val="PargrafodaLista"/>
        <w:rPr>
          <w:rFonts w:ascii="Times New Roman" w:hAnsi="Times New Roman"/>
          <w:sz w:val="24"/>
          <w:szCs w:val="24"/>
        </w:rPr>
      </w:pPr>
    </w:p>
    <w:p w:rsidR="00382E1A" w:rsidRDefault="00382E1A" w:rsidP="00382E1A">
      <w:pPr>
        <w:pStyle w:val="PargrafodaLista"/>
        <w:rPr>
          <w:rFonts w:ascii="Times New Roman" w:hAnsi="Times New Roman"/>
          <w:sz w:val="24"/>
          <w:szCs w:val="24"/>
        </w:rPr>
      </w:pPr>
    </w:p>
    <w:p w:rsidR="00382E1A" w:rsidRDefault="00382E1A" w:rsidP="00382E1A">
      <w:pPr>
        <w:pStyle w:val="PargrafodaLista"/>
        <w:rPr>
          <w:rFonts w:ascii="Times New Roman" w:hAnsi="Times New Roman"/>
          <w:sz w:val="24"/>
          <w:szCs w:val="24"/>
        </w:rPr>
      </w:pPr>
    </w:p>
    <w:p w:rsidR="00382E1A" w:rsidRDefault="00382E1A" w:rsidP="00382E1A">
      <w:pPr>
        <w:pStyle w:val="PargrafodaLista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2547EBD" wp14:editId="3E8EE610">
            <wp:extent cx="5612130" cy="4430395"/>
            <wp:effectExtent l="0" t="0" r="7620" b="8255"/>
            <wp:docPr id="1030" name="Imagem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1A" w:rsidRDefault="00382E1A" w:rsidP="00382E1A">
      <w:pPr>
        <w:pStyle w:val="PargrafodaLista"/>
        <w:rPr>
          <w:rFonts w:ascii="Times New Roman" w:hAnsi="Times New Roman"/>
          <w:sz w:val="24"/>
          <w:szCs w:val="24"/>
        </w:rPr>
      </w:pPr>
    </w:p>
    <w:bookmarkStart w:id="10" w:name="Consulta_Ata_Ofício"/>
    <w:p w:rsidR="00382E1A" w:rsidRPr="00B57287" w:rsidRDefault="00C04A1B" w:rsidP="00382E1A">
      <w:pPr>
        <w:spacing w:line="240" w:lineRule="auto"/>
        <w:rPr>
          <w:rStyle w:val="Hyperlink"/>
          <w:rFonts w:ascii="Times New Roman" w:hAnsi="Times New Roman"/>
          <w:b/>
          <w:sz w:val="24"/>
          <w:szCs w:val="24"/>
        </w:rPr>
      </w:pPr>
      <w:r>
        <w:rPr>
          <w:rStyle w:val="Hyperlink"/>
          <w:rFonts w:ascii="Times New Roman" w:hAnsi="Times New Roman"/>
          <w:b/>
          <w:sz w:val="24"/>
          <w:szCs w:val="24"/>
        </w:rPr>
        <w:fldChar w:fldCharType="begin"/>
      </w:r>
      <w:r>
        <w:rPr>
          <w:rStyle w:val="Hyperlink"/>
          <w:rFonts w:ascii="Times New Roman" w:hAnsi="Times New Roman"/>
          <w:b/>
          <w:sz w:val="24"/>
          <w:szCs w:val="24"/>
        </w:rPr>
        <w:instrText xml:space="preserve"> HYPERLINK  \l "Sumário" </w:instrText>
      </w:r>
      <w:r>
        <w:rPr>
          <w:rStyle w:val="Hyperlink"/>
          <w:rFonts w:ascii="Times New Roman" w:hAnsi="Times New Roman"/>
          <w:b/>
          <w:sz w:val="24"/>
          <w:szCs w:val="24"/>
        </w:rPr>
        <w:fldChar w:fldCharType="separate"/>
      </w:r>
      <w:r w:rsidR="00216773" w:rsidRPr="00C04A1B">
        <w:rPr>
          <w:rStyle w:val="Hyperlink"/>
          <w:rFonts w:ascii="Times New Roman" w:hAnsi="Times New Roman"/>
          <w:b/>
          <w:sz w:val="24"/>
          <w:szCs w:val="24"/>
        </w:rPr>
        <w:t>7</w:t>
      </w:r>
      <w:r w:rsidR="00382E1A" w:rsidRPr="00C04A1B">
        <w:rPr>
          <w:rStyle w:val="Hyperlink"/>
          <w:rFonts w:ascii="Times New Roman" w:hAnsi="Times New Roman"/>
          <w:b/>
          <w:sz w:val="24"/>
          <w:szCs w:val="24"/>
        </w:rPr>
        <w:t xml:space="preserve"> – Consultar Ata do </w:t>
      </w:r>
      <w:proofErr w:type="spellStart"/>
      <w:r w:rsidR="00382E1A" w:rsidRPr="00C04A1B">
        <w:rPr>
          <w:rStyle w:val="Hyperlink"/>
          <w:rFonts w:ascii="Times New Roman" w:hAnsi="Times New Roman"/>
          <w:b/>
          <w:sz w:val="24"/>
          <w:szCs w:val="24"/>
        </w:rPr>
        <w:t>Corec</w:t>
      </w:r>
      <w:proofErr w:type="spellEnd"/>
      <w:r w:rsidR="00382E1A" w:rsidRPr="00C04A1B">
        <w:rPr>
          <w:rStyle w:val="Hyperlink"/>
          <w:rFonts w:ascii="Times New Roman" w:hAnsi="Times New Roman"/>
          <w:b/>
          <w:sz w:val="24"/>
          <w:szCs w:val="24"/>
        </w:rPr>
        <w:t xml:space="preserve"> e Ofício</w:t>
      </w:r>
      <w:r>
        <w:rPr>
          <w:rStyle w:val="Hyperlink"/>
          <w:rFonts w:ascii="Times New Roman" w:hAnsi="Times New Roman"/>
          <w:b/>
          <w:sz w:val="24"/>
          <w:szCs w:val="24"/>
        </w:rPr>
        <w:fldChar w:fldCharType="end"/>
      </w:r>
    </w:p>
    <w:bookmarkEnd w:id="10"/>
    <w:p w:rsidR="00382E1A" w:rsidRDefault="00382E1A" w:rsidP="00B57287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consultar a Ata do </w:t>
      </w:r>
      <w:proofErr w:type="spellStart"/>
      <w:r>
        <w:rPr>
          <w:rFonts w:ascii="Times New Roman" w:hAnsi="Times New Roman"/>
          <w:sz w:val="24"/>
          <w:szCs w:val="24"/>
        </w:rPr>
        <w:t>Corec</w:t>
      </w:r>
      <w:proofErr w:type="spellEnd"/>
      <w:r>
        <w:rPr>
          <w:rFonts w:ascii="Times New Roman" w:hAnsi="Times New Roman"/>
          <w:sz w:val="24"/>
          <w:szCs w:val="24"/>
        </w:rPr>
        <w:t xml:space="preserve"> e o Ofício, o usuário deve acessar o Perfil de risco da ES por meio do </w:t>
      </w:r>
      <w:r w:rsidRPr="006A5382">
        <w:rPr>
          <w:rFonts w:ascii="Times New Roman" w:hAnsi="Times New Roman"/>
          <w:b/>
          <w:sz w:val="24"/>
          <w:szCs w:val="24"/>
        </w:rPr>
        <w:t>Painel de Consulta</w:t>
      </w:r>
      <w:r>
        <w:rPr>
          <w:rFonts w:ascii="Times New Roman" w:hAnsi="Times New Roman"/>
          <w:sz w:val="24"/>
          <w:szCs w:val="24"/>
        </w:rPr>
        <w:t xml:space="preserve">. Selecionar no combo ‘ciclo’ a data do </w:t>
      </w:r>
      <w:proofErr w:type="spellStart"/>
      <w:r>
        <w:rPr>
          <w:rFonts w:ascii="Times New Roman" w:hAnsi="Times New Roman"/>
          <w:sz w:val="24"/>
          <w:szCs w:val="24"/>
        </w:rPr>
        <w:t>Corec</w:t>
      </w:r>
      <w:proofErr w:type="spellEnd"/>
      <w:r>
        <w:rPr>
          <w:rFonts w:ascii="Times New Roman" w:hAnsi="Times New Roman"/>
          <w:sz w:val="24"/>
          <w:szCs w:val="24"/>
        </w:rPr>
        <w:t>, aguardar que as informações sejam atualizadas na tela e, na seção Outras informações, clicar no referido link e depois no botão [Abrir] ou [Salvar].</w:t>
      </w:r>
    </w:p>
    <w:p w:rsidR="00382E1A" w:rsidRDefault="00382E1A" w:rsidP="00382E1A">
      <w:pPr>
        <w:pStyle w:val="PargrafodaLista"/>
        <w:rPr>
          <w:rFonts w:ascii="Times New Roman" w:hAnsi="Times New Roman"/>
          <w:sz w:val="24"/>
          <w:szCs w:val="24"/>
        </w:rPr>
      </w:pPr>
    </w:p>
    <w:p w:rsidR="00382E1A" w:rsidRDefault="00382E1A" w:rsidP="00382E1A">
      <w:pPr>
        <w:pStyle w:val="PargrafodaLista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76C83C" wp14:editId="0CEC8D5A">
            <wp:extent cx="5612130" cy="659765"/>
            <wp:effectExtent l="0" t="0" r="7620" b="6985"/>
            <wp:docPr id="1086" name="Imagem 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35" w:rsidRPr="004801F1" w:rsidRDefault="004E4335" w:rsidP="003C46C9">
      <w:pPr>
        <w:tabs>
          <w:tab w:val="num" w:pos="1068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</w:p>
    <w:sectPr w:rsidR="004E4335" w:rsidRPr="004801F1" w:rsidSect="00146013">
      <w:headerReference w:type="default" r:id="rId19"/>
      <w:footerReference w:type="default" r:id="rId20"/>
      <w:pgSz w:w="11906" w:h="16838"/>
      <w:pgMar w:top="2092" w:right="567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688" w:rsidRDefault="002D0688" w:rsidP="00146013">
      <w:pPr>
        <w:spacing w:after="0" w:line="240" w:lineRule="auto"/>
      </w:pPr>
      <w:r>
        <w:separator/>
      </w:r>
    </w:p>
  </w:endnote>
  <w:endnote w:type="continuationSeparator" w:id="0">
    <w:p w:rsidR="002D0688" w:rsidRDefault="002D0688" w:rsidP="0014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68F" w:rsidRDefault="006D668F" w:rsidP="001C063A">
    <w:pPr>
      <w:pBdr>
        <w:bottom w:val="single" w:sz="12" w:space="1" w:color="auto"/>
      </w:pBdr>
      <w:spacing w:after="0" w:line="240" w:lineRule="auto"/>
    </w:pPr>
  </w:p>
  <w:p w:rsidR="006D668F" w:rsidRPr="003B4631" w:rsidRDefault="006D668F" w:rsidP="008D50A0">
    <w:pPr>
      <w:spacing w:before="120" w:after="0" w:line="240" w:lineRule="auto"/>
      <w:rPr>
        <w:rFonts w:ascii="Arial" w:hAnsi="Arial" w:cs="Arial"/>
        <w:sz w:val="16"/>
        <w:szCs w:val="16"/>
      </w:rPr>
    </w:pPr>
    <w:r w:rsidRPr="003B4631">
      <w:rPr>
        <w:rFonts w:ascii="Arial" w:hAnsi="Arial" w:cs="Arial"/>
        <w:sz w:val="16"/>
        <w:szCs w:val="16"/>
      </w:rPr>
      <w:t>Elaborado p</w:t>
    </w:r>
    <w:r>
      <w:rPr>
        <w:rFonts w:ascii="Arial" w:hAnsi="Arial" w:cs="Arial"/>
        <w:sz w:val="16"/>
        <w:szCs w:val="16"/>
      </w:rPr>
      <w:t>ela equipe Desup/Disup/Cosup-02</w:t>
    </w:r>
    <w:r w:rsidRPr="003B4631">
      <w:rPr>
        <w:rFonts w:ascii="Arial" w:hAnsi="Arial" w:cs="Arial"/>
        <w:sz w:val="16"/>
        <w:szCs w:val="16"/>
      </w:rPr>
      <w:t xml:space="preserve"> em</w:t>
    </w:r>
    <w:r>
      <w:rPr>
        <w:rFonts w:ascii="Arial" w:hAnsi="Arial" w:cs="Arial"/>
        <w:sz w:val="16"/>
        <w:szCs w:val="16"/>
      </w:rPr>
      <w:t xml:space="preserve"> </w:t>
    </w:r>
    <w:r w:rsidR="00705DA2">
      <w:rPr>
        <w:rFonts w:ascii="Arial" w:hAnsi="Arial" w:cs="Arial"/>
        <w:sz w:val="16"/>
        <w:szCs w:val="16"/>
      </w:rPr>
      <w:t>18</w:t>
    </w:r>
    <w:r>
      <w:rPr>
        <w:rFonts w:ascii="Arial" w:hAnsi="Arial" w:cs="Arial"/>
        <w:sz w:val="16"/>
        <w:szCs w:val="16"/>
      </w:rPr>
      <w:t xml:space="preserve">/08/2016 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B4631">
      <w:rPr>
        <w:rFonts w:ascii="Arial" w:hAnsi="Arial" w:cs="Arial"/>
        <w:sz w:val="16"/>
        <w:szCs w:val="16"/>
      </w:rPr>
      <w:t xml:space="preserve">Página </w:t>
    </w:r>
    <w:r w:rsidRPr="003B4631">
      <w:rPr>
        <w:rFonts w:ascii="Arial" w:hAnsi="Arial" w:cs="Arial"/>
        <w:sz w:val="16"/>
        <w:szCs w:val="16"/>
      </w:rPr>
      <w:fldChar w:fldCharType="begin"/>
    </w:r>
    <w:r w:rsidRPr="003B4631">
      <w:rPr>
        <w:rFonts w:ascii="Arial" w:hAnsi="Arial" w:cs="Arial"/>
        <w:sz w:val="16"/>
        <w:szCs w:val="16"/>
      </w:rPr>
      <w:instrText xml:space="preserve"> PAGE </w:instrText>
    </w:r>
    <w:r w:rsidRPr="003B4631">
      <w:rPr>
        <w:rFonts w:ascii="Arial" w:hAnsi="Arial" w:cs="Arial"/>
        <w:sz w:val="16"/>
        <w:szCs w:val="16"/>
      </w:rPr>
      <w:fldChar w:fldCharType="separate"/>
    </w:r>
    <w:r w:rsidR="002E0AE7">
      <w:rPr>
        <w:rFonts w:ascii="Arial" w:hAnsi="Arial" w:cs="Arial"/>
        <w:noProof/>
        <w:sz w:val="16"/>
        <w:szCs w:val="16"/>
      </w:rPr>
      <w:t>1</w:t>
    </w:r>
    <w:r w:rsidRPr="003B4631">
      <w:rPr>
        <w:rFonts w:ascii="Arial" w:hAnsi="Arial" w:cs="Arial"/>
        <w:sz w:val="16"/>
        <w:szCs w:val="16"/>
      </w:rPr>
      <w:fldChar w:fldCharType="end"/>
    </w:r>
    <w:r w:rsidRPr="003B4631">
      <w:rPr>
        <w:rFonts w:ascii="Arial" w:hAnsi="Arial" w:cs="Arial"/>
        <w:sz w:val="16"/>
        <w:szCs w:val="16"/>
      </w:rPr>
      <w:t xml:space="preserve"> de </w:t>
    </w:r>
    <w:r w:rsidRPr="003B4631">
      <w:rPr>
        <w:rFonts w:ascii="Arial" w:hAnsi="Arial" w:cs="Arial"/>
        <w:sz w:val="16"/>
        <w:szCs w:val="16"/>
      </w:rPr>
      <w:fldChar w:fldCharType="begin"/>
    </w:r>
    <w:r w:rsidRPr="003B4631">
      <w:rPr>
        <w:rFonts w:ascii="Arial" w:hAnsi="Arial" w:cs="Arial"/>
        <w:sz w:val="16"/>
        <w:szCs w:val="16"/>
      </w:rPr>
      <w:instrText xml:space="preserve"> NUMPAGES  </w:instrText>
    </w:r>
    <w:r w:rsidRPr="003B4631">
      <w:rPr>
        <w:rFonts w:ascii="Arial" w:hAnsi="Arial" w:cs="Arial"/>
        <w:sz w:val="16"/>
        <w:szCs w:val="16"/>
      </w:rPr>
      <w:fldChar w:fldCharType="separate"/>
    </w:r>
    <w:r w:rsidR="002E0AE7">
      <w:rPr>
        <w:rFonts w:ascii="Arial" w:hAnsi="Arial" w:cs="Arial"/>
        <w:noProof/>
        <w:sz w:val="16"/>
        <w:szCs w:val="16"/>
      </w:rPr>
      <w:t>8</w:t>
    </w:r>
    <w:r w:rsidRPr="003B4631">
      <w:rPr>
        <w:rFonts w:ascii="Arial" w:hAnsi="Arial" w:cs="Arial"/>
        <w:sz w:val="16"/>
        <w:szCs w:val="16"/>
      </w:rPr>
      <w:fldChar w:fldCharType="end"/>
    </w:r>
  </w:p>
  <w:p w:rsidR="006D668F" w:rsidRPr="003B4631" w:rsidRDefault="006D668F" w:rsidP="008D50A0">
    <w:pPr>
      <w:pStyle w:val="Rodap"/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Revisado por Adriano Gave</w:t>
    </w:r>
  </w:p>
  <w:p w:rsidR="006D668F" w:rsidRPr="003B4631" w:rsidRDefault="006D668F" w:rsidP="008D50A0">
    <w:pPr>
      <w:spacing w:before="120" w:after="0" w:line="240" w:lineRule="auto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688" w:rsidRDefault="002D0688" w:rsidP="00146013">
      <w:pPr>
        <w:spacing w:after="0" w:line="240" w:lineRule="auto"/>
      </w:pPr>
      <w:r>
        <w:separator/>
      </w:r>
    </w:p>
  </w:footnote>
  <w:footnote w:type="continuationSeparator" w:id="0">
    <w:p w:rsidR="002D0688" w:rsidRDefault="002D0688" w:rsidP="00146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68F" w:rsidRDefault="006D668F" w:rsidP="00863033">
    <w:pPr>
      <w:spacing w:after="0" w:line="240" w:lineRule="auto"/>
      <w:rPr>
        <w:rFonts w:ascii="Arial" w:hAnsi="Arial" w:cs="Arial"/>
        <w:sz w:val="16"/>
        <w:szCs w:val="16"/>
      </w:rPr>
    </w:pPr>
    <w:r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7728" behindDoc="0" locked="0" layoutInCell="0" allowOverlap="1" wp14:anchorId="4E6DEB4B" wp14:editId="69E87E66">
          <wp:simplePos x="0" y="0"/>
          <wp:positionH relativeFrom="column">
            <wp:posOffset>1740535</wp:posOffset>
          </wp:positionH>
          <wp:positionV relativeFrom="paragraph">
            <wp:posOffset>-116840</wp:posOffset>
          </wp:positionV>
          <wp:extent cx="2771775" cy="716915"/>
          <wp:effectExtent l="19050" t="0" r="9525" b="0"/>
          <wp:wrapTopAndBottom/>
          <wp:docPr id="1" name="Imagem 1" descr="Figura1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igura1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7169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D668F" w:rsidRDefault="006D668F" w:rsidP="00336938">
    <w:pPr>
      <w:tabs>
        <w:tab w:val="left" w:pos="8275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Divisão de</w:t>
    </w:r>
    <w:r w:rsidRPr="000473D0">
      <w:t xml:space="preserve"> </w:t>
    </w:r>
    <w:r w:rsidRPr="000473D0">
      <w:rPr>
        <w:rFonts w:ascii="Arial" w:hAnsi="Arial" w:cs="Arial"/>
        <w:sz w:val="16"/>
        <w:szCs w:val="16"/>
      </w:rPr>
      <w:t>Supervisão Bancária</w:t>
    </w:r>
    <w:r>
      <w:rPr>
        <w:rFonts w:ascii="Arial" w:hAnsi="Arial" w:cs="Arial"/>
        <w:sz w:val="16"/>
        <w:szCs w:val="16"/>
      </w:rPr>
      <w:t xml:space="preserve"> - </w:t>
    </w:r>
    <w:proofErr w:type="spellStart"/>
    <w:r>
      <w:rPr>
        <w:rFonts w:ascii="Arial" w:hAnsi="Arial" w:cs="Arial"/>
        <w:sz w:val="16"/>
        <w:szCs w:val="16"/>
      </w:rPr>
      <w:t>Disup</w:t>
    </w:r>
    <w:proofErr w:type="spellEnd"/>
  </w:p>
  <w:p w:rsidR="006D668F" w:rsidRPr="003B4631" w:rsidRDefault="006D668F" w:rsidP="00407A75">
    <w:pPr>
      <w:autoSpaceDE w:val="0"/>
      <w:autoSpaceDN w:val="0"/>
      <w:adjustRightInd w:val="0"/>
      <w:spacing w:after="0" w:line="240" w:lineRule="auto"/>
      <w:rPr>
        <w:rFonts w:ascii="Arial" w:hAnsi="Arial" w:cs="Arial"/>
        <w:sz w:val="16"/>
        <w:szCs w:val="16"/>
      </w:rPr>
    </w:pPr>
    <w:r w:rsidRPr="003B4631">
      <w:rPr>
        <w:rFonts w:ascii="Arial" w:hAnsi="Arial" w:cs="Arial"/>
        <w:sz w:val="16"/>
        <w:szCs w:val="16"/>
      </w:rPr>
      <w:t xml:space="preserve">Departamento de Supervisão </w:t>
    </w:r>
    <w:r>
      <w:rPr>
        <w:rFonts w:ascii="Arial" w:hAnsi="Arial" w:cs="Arial"/>
        <w:sz w:val="16"/>
        <w:szCs w:val="16"/>
      </w:rPr>
      <w:t>Bancária</w:t>
    </w:r>
    <w:r w:rsidRPr="003B4631">
      <w:rPr>
        <w:rFonts w:ascii="Arial" w:hAnsi="Arial" w:cs="Arial"/>
        <w:sz w:val="16"/>
        <w:szCs w:val="16"/>
      </w:rPr>
      <w:t xml:space="preserve"> - </w:t>
    </w:r>
    <w:proofErr w:type="spellStart"/>
    <w:r w:rsidRPr="003B4631">
      <w:rPr>
        <w:rFonts w:ascii="Arial" w:hAnsi="Arial" w:cs="Arial"/>
        <w:sz w:val="16"/>
        <w:szCs w:val="16"/>
      </w:rPr>
      <w:t>Desup</w:t>
    </w:r>
    <w:proofErr w:type="spellEnd"/>
  </w:p>
  <w:p w:rsidR="006D668F" w:rsidRPr="00146013" w:rsidRDefault="006D668F" w:rsidP="00972239">
    <w:pPr>
      <w:spacing w:after="0" w:line="240" w:lineRule="auto"/>
      <w:rPr>
        <w:rFonts w:ascii="Times New Roman" w:hAnsi="Times New Roman"/>
        <w:sz w:val="20"/>
        <w:szCs w:val="20"/>
      </w:rPr>
    </w:pPr>
    <w:r w:rsidRPr="003B4631">
      <w:rPr>
        <w:rFonts w:ascii="Arial" w:hAnsi="Arial" w:cs="Arial"/>
        <w:sz w:val="16"/>
        <w:szCs w:val="16"/>
      </w:rPr>
      <w:t xml:space="preserve">Diretoria de Fiscalização – </w:t>
    </w:r>
    <w:proofErr w:type="spellStart"/>
    <w:r w:rsidRPr="003B4631">
      <w:rPr>
        <w:rFonts w:ascii="Arial" w:hAnsi="Arial" w:cs="Arial"/>
        <w:sz w:val="16"/>
        <w:szCs w:val="16"/>
      </w:rPr>
      <w:t>Difis</w:t>
    </w:r>
    <w:proofErr w:type="spellEnd"/>
  </w:p>
  <w:p w:rsidR="00000000" w:rsidRDefault="002E0A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147FA"/>
    <w:multiLevelType w:val="multilevel"/>
    <w:tmpl w:val="248C86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3E1818"/>
    <w:multiLevelType w:val="multilevel"/>
    <w:tmpl w:val="1722DF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81C12"/>
    <w:multiLevelType w:val="hybridMultilevel"/>
    <w:tmpl w:val="769477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0B92960"/>
    <w:multiLevelType w:val="hybridMultilevel"/>
    <w:tmpl w:val="CB480154"/>
    <w:lvl w:ilvl="0" w:tplc="0416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503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4" w15:restartNumberingAfterBreak="0">
    <w:nsid w:val="130A19C3"/>
    <w:multiLevelType w:val="multilevel"/>
    <w:tmpl w:val="1AA6D9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544DB3"/>
    <w:multiLevelType w:val="multilevel"/>
    <w:tmpl w:val="45F42CE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B00E25"/>
    <w:multiLevelType w:val="multilevel"/>
    <w:tmpl w:val="C6EE55E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6F2C21"/>
    <w:multiLevelType w:val="hybridMultilevel"/>
    <w:tmpl w:val="3DF2F20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A8748E4"/>
    <w:multiLevelType w:val="hybridMultilevel"/>
    <w:tmpl w:val="2A508F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94977"/>
    <w:multiLevelType w:val="multilevel"/>
    <w:tmpl w:val="5B2AE20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4CF1E65"/>
    <w:multiLevelType w:val="multilevel"/>
    <w:tmpl w:val="B23AEF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DA3B93"/>
    <w:multiLevelType w:val="hybridMultilevel"/>
    <w:tmpl w:val="476E9B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943A56"/>
    <w:multiLevelType w:val="multilevel"/>
    <w:tmpl w:val="5B44C13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F21E30"/>
    <w:multiLevelType w:val="multilevel"/>
    <w:tmpl w:val="9F6A1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50730070"/>
    <w:multiLevelType w:val="hybridMultilevel"/>
    <w:tmpl w:val="D1C02C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D749D8"/>
    <w:multiLevelType w:val="multilevel"/>
    <w:tmpl w:val="5EB01E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6" w15:restartNumberingAfterBreak="0">
    <w:nsid w:val="537D35E5"/>
    <w:multiLevelType w:val="multilevel"/>
    <w:tmpl w:val="C35C309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4" w:hanging="1800"/>
      </w:pPr>
      <w:rPr>
        <w:rFonts w:hint="default"/>
      </w:rPr>
    </w:lvl>
  </w:abstractNum>
  <w:abstractNum w:abstractNumId="17" w15:restartNumberingAfterBreak="0">
    <w:nsid w:val="5D3C177E"/>
    <w:multiLevelType w:val="hybridMultilevel"/>
    <w:tmpl w:val="09A2DE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2C32AA0"/>
    <w:multiLevelType w:val="multilevel"/>
    <w:tmpl w:val="E77C06E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9" w15:restartNumberingAfterBreak="0">
    <w:nsid w:val="66477F16"/>
    <w:multiLevelType w:val="multilevel"/>
    <w:tmpl w:val="9BA0ED7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0" w15:restartNumberingAfterBreak="0">
    <w:nsid w:val="69F82104"/>
    <w:multiLevelType w:val="multilevel"/>
    <w:tmpl w:val="7C5EA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E5C0D89"/>
    <w:multiLevelType w:val="hybridMultilevel"/>
    <w:tmpl w:val="E9BA42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E56D03"/>
    <w:multiLevelType w:val="hybridMultilevel"/>
    <w:tmpl w:val="906ADCA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E4150EF"/>
    <w:multiLevelType w:val="hybridMultilevel"/>
    <w:tmpl w:val="2E609F9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FAB2AB5"/>
    <w:multiLevelType w:val="hybridMultilevel"/>
    <w:tmpl w:val="138C298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2"/>
  </w:num>
  <w:num w:numId="7">
    <w:abstractNumId w:val="23"/>
  </w:num>
  <w:num w:numId="8">
    <w:abstractNumId w:val="17"/>
  </w:num>
  <w:num w:numId="9">
    <w:abstractNumId w:val="7"/>
  </w:num>
  <w:num w:numId="10">
    <w:abstractNumId w:val="2"/>
  </w:num>
  <w:num w:numId="11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9"/>
  </w:num>
  <w:num w:numId="15">
    <w:abstractNumId w:val="15"/>
  </w:num>
  <w:num w:numId="16">
    <w:abstractNumId w:val="12"/>
  </w:num>
  <w:num w:numId="17">
    <w:abstractNumId w:val="20"/>
  </w:num>
  <w:num w:numId="18">
    <w:abstractNumId w:val="5"/>
  </w:num>
  <w:num w:numId="19">
    <w:abstractNumId w:val="9"/>
  </w:num>
  <w:num w:numId="20">
    <w:abstractNumId w:val="6"/>
  </w:num>
  <w:num w:numId="21">
    <w:abstractNumId w:val="16"/>
  </w:num>
  <w:num w:numId="22">
    <w:abstractNumId w:val="1"/>
  </w:num>
  <w:num w:numId="23">
    <w:abstractNumId w:val="4"/>
  </w:num>
  <w:num w:numId="24">
    <w:abstractNumId w:val="13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B03"/>
    <w:rsid w:val="00005165"/>
    <w:rsid w:val="00005878"/>
    <w:rsid w:val="00005EF5"/>
    <w:rsid w:val="0001124B"/>
    <w:rsid w:val="00015368"/>
    <w:rsid w:val="00041452"/>
    <w:rsid w:val="000425A6"/>
    <w:rsid w:val="00043365"/>
    <w:rsid w:val="00043AFB"/>
    <w:rsid w:val="00047221"/>
    <w:rsid w:val="000504D3"/>
    <w:rsid w:val="0005300C"/>
    <w:rsid w:val="0005688E"/>
    <w:rsid w:val="0006611D"/>
    <w:rsid w:val="00067DEF"/>
    <w:rsid w:val="0007515A"/>
    <w:rsid w:val="00075FCC"/>
    <w:rsid w:val="00083E08"/>
    <w:rsid w:val="0008499D"/>
    <w:rsid w:val="000855B7"/>
    <w:rsid w:val="000918EF"/>
    <w:rsid w:val="00092B15"/>
    <w:rsid w:val="000A2DBE"/>
    <w:rsid w:val="000B3E40"/>
    <w:rsid w:val="000C1B78"/>
    <w:rsid w:val="000C3334"/>
    <w:rsid w:val="000C34E8"/>
    <w:rsid w:val="000C749D"/>
    <w:rsid w:val="000C7C88"/>
    <w:rsid w:val="000D0BEE"/>
    <w:rsid w:val="000D2023"/>
    <w:rsid w:val="000D3A22"/>
    <w:rsid w:val="000D6309"/>
    <w:rsid w:val="000E5AE6"/>
    <w:rsid w:val="000E77FD"/>
    <w:rsid w:val="000F0766"/>
    <w:rsid w:val="001024E4"/>
    <w:rsid w:val="001053C8"/>
    <w:rsid w:val="00121010"/>
    <w:rsid w:val="00123B88"/>
    <w:rsid w:val="00130CC9"/>
    <w:rsid w:val="00134DE7"/>
    <w:rsid w:val="00143F35"/>
    <w:rsid w:val="00146013"/>
    <w:rsid w:val="001665A4"/>
    <w:rsid w:val="00166EB6"/>
    <w:rsid w:val="00174DA5"/>
    <w:rsid w:val="00174F46"/>
    <w:rsid w:val="001753D0"/>
    <w:rsid w:val="001A476A"/>
    <w:rsid w:val="001A4A47"/>
    <w:rsid w:val="001B630A"/>
    <w:rsid w:val="001B7483"/>
    <w:rsid w:val="001C063A"/>
    <w:rsid w:val="001D06ED"/>
    <w:rsid w:val="001D0AFB"/>
    <w:rsid w:val="001D5F91"/>
    <w:rsid w:val="001E4B5A"/>
    <w:rsid w:val="001E4CD4"/>
    <w:rsid w:val="001E53CF"/>
    <w:rsid w:val="001F43D4"/>
    <w:rsid w:val="0020278E"/>
    <w:rsid w:val="00202DFE"/>
    <w:rsid w:val="0020630F"/>
    <w:rsid w:val="0021152D"/>
    <w:rsid w:val="00216773"/>
    <w:rsid w:val="002240B2"/>
    <w:rsid w:val="002248C6"/>
    <w:rsid w:val="0022508D"/>
    <w:rsid w:val="00236FDB"/>
    <w:rsid w:val="0024020D"/>
    <w:rsid w:val="00245DB9"/>
    <w:rsid w:val="00251B80"/>
    <w:rsid w:val="00260C7E"/>
    <w:rsid w:val="002618F9"/>
    <w:rsid w:val="00262148"/>
    <w:rsid w:val="00263974"/>
    <w:rsid w:val="002644D1"/>
    <w:rsid w:val="00264B18"/>
    <w:rsid w:val="00266639"/>
    <w:rsid w:val="002856CA"/>
    <w:rsid w:val="00287D07"/>
    <w:rsid w:val="00294E0B"/>
    <w:rsid w:val="002A7912"/>
    <w:rsid w:val="002B719E"/>
    <w:rsid w:val="002B7F37"/>
    <w:rsid w:val="002D0688"/>
    <w:rsid w:val="002E0AE7"/>
    <w:rsid w:val="002E2F9F"/>
    <w:rsid w:val="002E4CC4"/>
    <w:rsid w:val="002F0D6A"/>
    <w:rsid w:val="002F123F"/>
    <w:rsid w:val="002F14BC"/>
    <w:rsid w:val="002F7651"/>
    <w:rsid w:val="00305E05"/>
    <w:rsid w:val="00306317"/>
    <w:rsid w:val="00312E09"/>
    <w:rsid w:val="003157CC"/>
    <w:rsid w:val="00332891"/>
    <w:rsid w:val="003346FC"/>
    <w:rsid w:val="00336938"/>
    <w:rsid w:val="00345895"/>
    <w:rsid w:val="00366E49"/>
    <w:rsid w:val="003732CB"/>
    <w:rsid w:val="0037346D"/>
    <w:rsid w:val="0037355D"/>
    <w:rsid w:val="00373E53"/>
    <w:rsid w:val="00382E1A"/>
    <w:rsid w:val="00396FE7"/>
    <w:rsid w:val="00397CD5"/>
    <w:rsid w:val="003A1DB7"/>
    <w:rsid w:val="003A5F35"/>
    <w:rsid w:val="003B0207"/>
    <w:rsid w:val="003B5941"/>
    <w:rsid w:val="003C3BCF"/>
    <w:rsid w:val="003C46C9"/>
    <w:rsid w:val="003E106E"/>
    <w:rsid w:val="003E3519"/>
    <w:rsid w:val="003E7E12"/>
    <w:rsid w:val="003F628C"/>
    <w:rsid w:val="00407A75"/>
    <w:rsid w:val="00421F00"/>
    <w:rsid w:val="0042619B"/>
    <w:rsid w:val="00434C35"/>
    <w:rsid w:val="00435187"/>
    <w:rsid w:val="00435EE2"/>
    <w:rsid w:val="00441AB0"/>
    <w:rsid w:val="00442C1B"/>
    <w:rsid w:val="0045127B"/>
    <w:rsid w:val="004551B6"/>
    <w:rsid w:val="004800ED"/>
    <w:rsid w:val="004801F1"/>
    <w:rsid w:val="00481EC1"/>
    <w:rsid w:val="00485217"/>
    <w:rsid w:val="0048712D"/>
    <w:rsid w:val="00493441"/>
    <w:rsid w:val="004938D7"/>
    <w:rsid w:val="00494AD0"/>
    <w:rsid w:val="004950AA"/>
    <w:rsid w:val="004A4986"/>
    <w:rsid w:val="004B197E"/>
    <w:rsid w:val="004B67D1"/>
    <w:rsid w:val="004C2B5B"/>
    <w:rsid w:val="004C2D9C"/>
    <w:rsid w:val="004C759E"/>
    <w:rsid w:val="004D075F"/>
    <w:rsid w:val="004D1E22"/>
    <w:rsid w:val="004D4C97"/>
    <w:rsid w:val="004E1322"/>
    <w:rsid w:val="004E4335"/>
    <w:rsid w:val="004F092D"/>
    <w:rsid w:val="004F6BDA"/>
    <w:rsid w:val="005013A9"/>
    <w:rsid w:val="005135D5"/>
    <w:rsid w:val="0052179D"/>
    <w:rsid w:val="00523004"/>
    <w:rsid w:val="00524482"/>
    <w:rsid w:val="00534E73"/>
    <w:rsid w:val="005532C0"/>
    <w:rsid w:val="00555385"/>
    <w:rsid w:val="00556C24"/>
    <w:rsid w:val="0057100B"/>
    <w:rsid w:val="00575BA2"/>
    <w:rsid w:val="005836D4"/>
    <w:rsid w:val="005879BC"/>
    <w:rsid w:val="00593942"/>
    <w:rsid w:val="00597BCC"/>
    <w:rsid w:val="005A0946"/>
    <w:rsid w:val="005A5228"/>
    <w:rsid w:val="005A738F"/>
    <w:rsid w:val="005B5792"/>
    <w:rsid w:val="005B7CA6"/>
    <w:rsid w:val="005C2FD8"/>
    <w:rsid w:val="005E7828"/>
    <w:rsid w:val="005F777F"/>
    <w:rsid w:val="006079F1"/>
    <w:rsid w:val="00612E71"/>
    <w:rsid w:val="00617BD5"/>
    <w:rsid w:val="00635C4E"/>
    <w:rsid w:val="00645147"/>
    <w:rsid w:val="006471AA"/>
    <w:rsid w:val="00654D4C"/>
    <w:rsid w:val="0066015F"/>
    <w:rsid w:val="00663C42"/>
    <w:rsid w:val="00664630"/>
    <w:rsid w:val="00664CF7"/>
    <w:rsid w:val="006661FA"/>
    <w:rsid w:val="00667899"/>
    <w:rsid w:val="0068426A"/>
    <w:rsid w:val="00684444"/>
    <w:rsid w:val="00685AD9"/>
    <w:rsid w:val="006A066D"/>
    <w:rsid w:val="006A5382"/>
    <w:rsid w:val="006B1ABF"/>
    <w:rsid w:val="006B1B25"/>
    <w:rsid w:val="006B45AF"/>
    <w:rsid w:val="006B6811"/>
    <w:rsid w:val="006C0159"/>
    <w:rsid w:val="006C1D69"/>
    <w:rsid w:val="006C6998"/>
    <w:rsid w:val="006C709A"/>
    <w:rsid w:val="006D668F"/>
    <w:rsid w:val="006E2955"/>
    <w:rsid w:val="006E3172"/>
    <w:rsid w:val="006F128B"/>
    <w:rsid w:val="00704907"/>
    <w:rsid w:val="00705DA2"/>
    <w:rsid w:val="00710416"/>
    <w:rsid w:val="00712613"/>
    <w:rsid w:val="007144FB"/>
    <w:rsid w:val="00735503"/>
    <w:rsid w:val="00745848"/>
    <w:rsid w:val="007562EF"/>
    <w:rsid w:val="00761E2C"/>
    <w:rsid w:val="00783DC1"/>
    <w:rsid w:val="00785515"/>
    <w:rsid w:val="00786C6F"/>
    <w:rsid w:val="00786E35"/>
    <w:rsid w:val="00791808"/>
    <w:rsid w:val="007A06EA"/>
    <w:rsid w:val="007A2642"/>
    <w:rsid w:val="007A3B5F"/>
    <w:rsid w:val="007A7297"/>
    <w:rsid w:val="007B1189"/>
    <w:rsid w:val="007C1D50"/>
    <w:rsid w:val="007C45A5"/>
    <w:rsid w:val="007C6780"/>
    <w:rsid w:val="007C6828"/>
    <w:rsid w:val="007D2A7F"/>
    <w:rsid w:val="007D507B"/>
    <w:rsid w:val="007F2FAB"/>
    <w:rsid w:val="00801AEA"/>
    <w:rsid w:val="008037F3"/>
    <w:rsid w:val="00810726"/>
    <w:rsid w:val="0081082B"/>
    <w:rsid w:val="00812580"/>
    <w:rsid w:val="00832EBF"/>
    <w:rsid w:val="00844C5F"/>
    <w:rsid w:val="00852B97"/>
    <w:rsid w:val="008536C5"/>
    <w:rsid w:val="00856B4E"/>
    <w:rsid w:val="00856F34"/>
    <w:rsid w:val="0086071B"/>
    <w:rsid w:val="00861468"/>
    <w:rsid w:val="00863033"/>
    <w:rsid w:val="00863567"/>
    <w:rsid w:val="008724D1"/>
    <w:rsid w:val="008903F1"/>
    <w:rsid w:val="00891CD6"/>
    <w:rsid w:val="00891EE8"/>
    <w:rsid w:val="00893101"/>
    <w:rsid w:val="00893DA9"/>
    <w:rsid w:val="008978F0"/>
    <w:rsid w:val="008A5E33"/>
    <w:rsid w:val="008B404E"/>
    <w:rsid w:val="008C51FD"/>
    <w:rsid w:val="008D50A0"/>
    <w:rsid w:val="008D7496"/>
    <w:rsid w:val="008E03B9"/>
    <w:rsid w:val="008E6CD3"/>
    <w:rsid w:val="008F0FCF"/>
    <w:rsid w:val="009015C4"/>
    <w:rsid w:val="00907CDB"/>
    <w:rsid w:val="009111EE"/>
    <w:rsid w:val="00911CCF"/>
    <w:rsid w:val="00917417"/>
    <w:rsid w:val="00937B65"/>
    <w:rsid w:val="009404D6"/>
    <w:rsid w:val="0094201C"/>
    <w:rsid w:val="00942890"/>
    <w:rsid w:val="00946744"/>
    <w:rsid w:val="0095492F"/>
    <w:rsid w:val="00956D33"/>
    <w:rsid w:val="00960437"/>
    <w:rsid w:val="00960AEB"/>
    <w:rsid w:val="009633A5"/>
    <w:rsid w:val="00972239"/>
    <w:rsid w:val="00986FDE"/>
    <w:rsid w:val="00992EFD"/>
    <w:rsid w:val="00994CE5"/>
    <w:rsid w:val="00995048"/>
    <w:rsid w:val="00995C02"/>
    <w:rsid w:val="009A360C"/>
    <w:rsid w:val="009A7DBE"/>
    <w:rsid w:val="009B3A00"/>
    <w:rsid w:val="009B5EC4"/>
    <w:rsid w:val="009C5991"/>
    <w:rsid w:val="009D0778"/>
    <w:rsid w:val="009D6CD8"/>
    <w:rsid w:val="009E65C7"/>
    <w:rsid w:val="009E7030"/>
    <w:rsid w:val="009F0D4A"/>
    <w:rsid w:val="009F0E8B"/>
    <w:rsid w:val="00A10A6C"/>
    <w:rsid w:val="00A123B5"/>
    <w:rsid w:val="00A473EB"/>
    <w:rsid w:val="00A47498"/>
    <w:rsid w:val="00A55C40"/>
    <w:rsid w:val="00A57F55"/>
    <w:rsid w:val="00A60320"/>
    <w:rsid w:val="00A64614"/>
    <w:rsid w:val="00A656C7"/>
    <w:rsid w:val="00A66E57"/>
    <w:rsid w:val="00A75E6F"/>
    <w:rsid w:val="00A82879"/>
    <w:rsid w:val="00A91F85"/>
    <w:rsid w:val="00A9227D"/>
    <w:rsid w:val="00AA38C8"/>
    <w:rsid w:val="00AC3446"/>
    <w:rsid w:val="00AD21BC"/>
    <w:rsid w:val="00AF0112"/>
    <w:rsid w:val="00AF6EBD"/>
    <w:rsid w:val="00B00AB2"/>
    <w:rsid w:val="00B13CC3"/>
    <w:rsid w:val="00B208B9"/>
    <w:rsid w:val="00B252D9"/>
    <w:rsid w:val="00B34CF1"/>
    <w:rsid w:val="00B36EBE"/>
    <w:rsid w:val="00B43064"/>
    <w:rsid w:val="00B5057A"/>
    <w:rsid w:val="00B51CE4"/>
    <w:rsid w:val="00B52782"/>
    <w:rsid w:val="00B57287"/>
    <w:rsid w:val="00B63514"/>
    <w:rsid w:val="00B63AFD"/>
    <w:rsid w:val="00B74FA6"/>
    <w:rsid w:val="00B768A3"/>
    <w:rsid w:val="00B83619"/>
    <w:rsid w:val="00B86144"/>
    <w:rsid w:val="00B92703"/>
    <w:rsid w:val="00BA1F93"/>
    <w:rsid w:val="00BA3532"/>
    <w:rsid w:val="00BA4449"/>
    <w:rsid w:val="00BA7DEA"/>
    <w:rsid w:val="00BB6108"/>
    <w:rsid w:val="00BC1AE1"/>
    <w:rsid w:val="00BC49CA"/>
    <w:rsid w:val="00BD2EAD"/>
    <w:rsid w:val="00BD706B"/>
    <w:rsid w:val="00BE2463"/>
    <w:rsid w:val="00BF3695"/>
    <w:rsid w:val="00BF61D6"/>
    <w:rsid w:val="00BF6662"/>
    <w:rsid w:val="00C00BBD"/>
    <w:rsid w:val="00C04A1B"/>
    <w:rsid w:val="00C07398"/>
    <w:rsid w:val="00C07429"/>
    <w:rsid w:val="00C1212C"/>
    <w:rsid w:val="00C2506A"/>
    <w:rsid w:val="00C25893"/>
    <w:rsid w:val="00C30010"/>
    <w:rsid w:val="00C337E5"/>
    <w:rsid w:val="00C352C4"/>
    <w:rsid w:val="00C47BE0"/>
    <w:rsid w:val="00C50303"/>
    <w:rsid w:val="00C5340C"/>
    <w:rsid w:val="00C73506"/>
    <w:rsid w:val="00C740DA"/>
    <w:rsid w:val="00C747B6"/>
    <w:rsid w:val="00C82117"/>
    <w:rsid w:val="00C82C00"/>
    <w:rsid w:val="00C84B19"/>
    <w:rsid w:val="00C873B2"/>
    <w:rsid w:val="00C92291"/>
    <w:rsid w:val="00C928FE"/>
    <w:rsid w:val="00C94221"/>
    <w:rsid w:val="00C95BB9"/>
    <w:rsid w:val="00C97F42"/>
    <w:rsid w:val="00CB3D54"/>
    <w:rsid w:val="00CB5066"/>
    <w:rsid w:val="00CD0D8A"/>
    <w:rsid w:val="00CE537C"/>
    <w:rsid w:val="00CE53CA"/>
    <w:rsid w:val="00CE5610"/>
    <w:rsid w:val="00CF4642"/>
    <w:rsid w:val="00D0429B"/>
    <w:rsid w:val="00D27D26"/>
    <w:rsid w:val="00D32377"/>
    <w:rsid w:val="00D32452"/>
    <w:rsid w:val="00D348C7"/>
    <w:rsid w:val="00D35CA1"/>
    <w:rsid w:val="00D41D99"/>
    <w:rsid w:val="00D46026"/>
    <w:rsid w:val="00D46315"/>
    <w:rsid w:val="00D4758E"/>
    <w:rsid w:val="00D51B03"/>
    <w:rsid w:val="00D52293"/>
    <w:rsid w:val="00D622B9"/>
    <w:rsid w:val="00D62B6F"/>
    <w:rsid w:val="00D66C78"/>
    <w:rsid w:val="00D81C6A"/>
    <w:rsid w:val="00D84575"/>
    <w:rsid w:val="00D94461"/>
    <w:rsid w:val="00DA0747"/>
    <w:rsid w:val="00DB2762"/>
    <w:rsid w:val="00DB4579"/>
    <w:rsid w:val="00DC239B"/>
    <w:rsid w:val="00DC3EBE"/>
    <w:rsid w:val="00DC56F8"/>
    <w:rsid w:val="00DC5E5A"/>
    <w:rsid w:val="00DD2FBC"/>
    <w:rsid w:val="00DD4CB7"/>
    <w:rsid w:val="00DD5189"/>
    <w:rsid w:val="00DE7E6C"/>
    <w:rsid w:val="00DF59AE"/>
    <w:rsid w:val="00E020B5"/>
    <w:rsid w:val="00E064D4"/>
    <w:rsid w:val="00E13C8E"/>
    <w:rsid w:val="00E16290"/>
    <w:rsid w:val="00E17BEB"/>
    <w:rsid w:val="00E20A0F"/>
    <w:rsid w:val="00E2695B"/>
    <w:rsid w:val="00E459AB"/>
    <w:rsid w:val="00E47893"/>
    <w:rsid w:val="00E47E33"/>
    <w:rsid w:val="00E65055"/>
    <w:rsid w:val="00E800E6"/>
    <w:rsid w:val="00E802D7"/>
    <w:rsid w:val="00E867ED"/>
    <w:rsid w:val="00E906DD"/>
    <w:rsid w:val="00E94D4B"/>
    <w:rsid w:val="00E95355"/>
    <w:rsid w:val="00EA25FB"/>
    <w:rsid w:val="00EB6BA3"/>
    <w:rsid w:val="00EB7326"/>
    <w:rsid w:val="00EC1DBA"/>
    <w:rsid w:val="00ED0045"/>
    <w:rsid w:val="00ED0AF2"/>
    <w:rsid w:val="00ED0FDA"/>
    <w:rsid w:val="00ED1280"/>
    <w:rsid w:val="00ED3A59"/>
    <w:rsid w:val="00EE39D0"/>
    <w:rsid w:val="00EE4C56"/>
    <w:rsid w:val="00EE6387"/>
    <w:rsid w:val="00EE6B94"/>
    <w:rsid w:val="00EE7D0C"/>
    <w:rsid w:val="00EF0BC3"/>
    <w:rsid w:val="00F104E2"/>
    <w:rsid w:val="00F1209C"/>
    <w:rsid w:val="00F1291C"/>
    <w:rsid w:val="00F139BF"/>
    <w:rsid w:val="00F2287A"/>
    <w:rsid w:val="00F2305D"/>
    <w:rsid w:val="00F3148E"/>
    <w:rsid w:val="00F31C01"/>
    <w:rsid w:val="00F46615"/>
    <w:rsid w:val="00F52A7D"/>
    <w:rsid w:val="00F56783"/>
    <w:rsid w:val="00F56C10"/>
    <w:rsid w:val="00F60F09"/>
    <w:rsid w:val="00F61A4A"/>
    <w:rsid w:val="00F63173"/>
    <w:rsid w:val="00F66D24"/>
    <w:rsid w:val="00F72D75"/>
    <w:rsid w:val="00F81A17"/>
    <w:rsid w:val="00F836B0"/>
    <w:rsid w:val="00F84959"/>
    <w:rsid w:val="00F93F59"/>
    <w:rsid w:val="00FA21EF"/>
    <w:rsid w:val="00FA4115"/>
    <w:rsid w:val="00FB4F0A"/>
    <w:rsid w:val="00FB5BDC"/>
    <w:rsid w:val="00FC0E63"/>
    <w:rsid w:val="00FC6366"/>
    <w:rsid w:val="00FD097C"/>
    <w:rsid w:val="00FD58E4"/>
    <w:rsid w:val="00FD6F89"/>
    <w:rsid w:val="00FE07F3"/>
    <w:rsid w:val="00FE62F9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76E4D4F0-2408-4ADF-940C-FCCAF3FD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3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autoRedefine/>
    <w:qFormat/>
    <w:rsid w:val="008903F1"/>
    <w:pPr>
      <w:keepNext/>
      <w:widowControl w:val="0"/>
      <w:shd w:val="clear" w:color="auto" w:fill="E0E0E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Tahoma"/>
      <w:b/>
      <w:sz w:val="20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1460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46013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1460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46013"/>
    <w:rPr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AF011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782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C0159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E39D0"/>
    <w:rPr>
      <w:color w:val="800080" w:themeColor="followedHyperlink"/>
      <w:u w:val="single"/>
    </w:rPr>
  </w:style>
  <w:style w:type="paragraph" w:customStyle="1" w:styleId="Default">
    <w:name w:val="Default"/>
    <w:rsid w:val="004B67D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45BCC-D30B-44BB-9B09-E8ABB254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1301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do Brasil</Company>
  <LinksUpToDate>false</LinksUpToDate>
  <CharactersWithSpaces>8313</CharactersWithSpaces>
  <SharedDoc>false</SharedDoc>
  <HLinks>
    <vt:vector size="30" baseType="variant">
      <vt:variant>
        <vt:i4>7929915</vt:i4>
      </vt:variant>
      <vt:variant>
        <vt:i4>12</vt:i4>
      </vt:variant>
      <vt:variant>
        <vt:i4>0</vt:i4>
      </vt:variant>
      <vt:variant>
        <vt:i4>5</vt:i4>
      </vt:variant>
      <vt:variant>
        <vt:lpwstr>http://www.cvm.gov.br/</vt:lpwstr>
      </vt:variant>
      <vt:variant>
        <vt:lpwstr/>
      </vt:variant>
      <vt:variant>
        <vt:i4>40</vt:i4>
      </vt:variant>
      <vt:variant>
        <vt:i4>9</vt:i4>
      </vt:variant>
      <vt:variant>
        <vt:i4>0</vt:i4>
      </vt:variant>
      <vt:variant>
        <vt:i4>5</vt:i4>
      </vt:variant>
      <vt:variant>
        <vt:lpwstr>mailto:direc.decic@bcb.gov.br</vt:lpwstr>
      </vt:variant>
      <vt:variant>
        <vt:lpwstr/>
      </vt:variant>
      <vt:variant>
        <vt:i4>1114148</vt:i4>
      </vt:variant>
      <vt:variant>
        <vt:i4>6</vt:i4>
      </vt:variant>
      <vt:variant>
        <vt:i4>0</vt:i4>
      </vt:variant>
      <vt:variant>
        <vt:i4>5</vt:i4>
      </vt:variant>
      <vt:variant>
        <vt:lpwstr>mailto:diban.deban@bcb.gov.br</vt:lpwstr>
      </vt:variant>
      <vt:variant>
        <vt:lpwstr/>
      </vt:variant>
      <vt:variant>
        <vt:i4>1900582</vt:i4>
      </vt:variant>
      <vt:variant>
        <vt:i4>3</vt:i4>
      </vt:variant>
      <vt:variant>
        <vt:i4>0</vt:i4>
      </vt:variant>
      <vt:variant>
        <vt:i4>5</vt:i4>
      </vt:variant>
      <vt:variant>
        <vt:lpwstr>mailto:deban.gemon@bcb.gov.br</vt:lpwstr>
      </vt:variant>
      <vt:variant>
        <vt:lpwstr/>
      </vt:variant>
      <vt:variant>
        <vt:i4>524322</vt:i4>
      </vt:variant>
      <vt:variant>
        <vt:i4>0</vt:i4>
      </vt:variant>
      <vt:variant>
        <vt:i4>0</vt:i4>
      </vt:variant>
      <vt:variant>
        <vt:i4>5</vt:i4>
      </vt:variant>
      <vt:variant>
        <vt:lpwstr>mailto:dicon.desig@bcb.gov.br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Adriano Gave da Silva</cp:lastModifiedBy>
  <cp:revision>26</cp:revision>
  <cp:lastPrinted>2017-05-18T18:16:00Z</cp:lastPrinted>
  <dcterms:created xsi:type="dcterms:W3CDTF">2016-08-17T18:43:00Z</dcterms:created>
  <dcterms:modified xsi:type="dcterms:W3CDTF">2017-05-18T18:17:00Z</dcterms:modified>
</cp:coreProperties>
</file>