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19EE" w14:textId="77777777" w:rsidR="00264DA1" w:rsidRDefault="00000000">
      <w:pPr>
        <w:jc w:val="center"/>
      </w:pPr>
      <w:r>
        <w:rPr>
          <w:b/>
          <w:sz w:val="36"/>
        </w:rPr>
        <w:t>Supplementary Methods</w:t>
      </w:r>
    </w:p>
    <w:p w14:paraId="157EB82C" w14:textId="77777777" w:rsidR="00264DA1" w:rsidRDefault="00000000">
      <w:pPr>
        <w:pStyle w:val="1"/>
      </w:pPr>
      <w:r>
        <w:t>1. IHDI grading from predicted landmarks (vector formulation)</w:t>
      </w:r>
    </w:p>
    <w:p w14:paraId="396C3B5D" w14:textId="51A28C68" w:rsidR="00264DA1" w:rsidRDefault="00000000">
      <w:r>
        <w:t>Coordinate system. Pixel coordinates are used with origin at the top-left, x to the right, and y downward. For each image we denote:</w:t>
      </w:r>
    </w:p>
    <w:p w14:paraId="082E2E4A" w14:textId="77777777" w:rsidR="00264DA1" w:rsidRDefault="00000000">
      <w:pPr>
        <w:pStyle w:val="a0"/>
      </w:pPr>
      <w:r>
        <w:t>Right/Left inferior iliac points (</w:t>
      </w:r>
      <w:proofErr w:type="spellStart"/>
      <w:r>
        <w:t>Hilgenreiner</w:t>
      </w:r>
      <w:proofErr w:type="spellEnd"/>
      <w:r>
        <w:t xml:space="preserve"> anchors): </w:t>
      </w:r>
      <w:proofErr w:type="spellStart"/>
      <w:r>
        <w:t>p^RI</w:t>
      </w:r>
      <w:proofErr w:type="spellEnd"/>
      <w:r>
        <w:t xml:space="preserve">, </w:t>
      </w:r>
      <w:proofErr w:type="spellStart"/>
      <w:r>
        <w:t>p^LI</w:t>
      </w:r>
      <w:proofErr w:type="spellEnd"/>
    </w:p>
    <w:p w14:paraId="6EB275A4" w14:textId="77777777" w:rsidR="00264DA1" w:rsidRDefault="00000000">
      <w:pPr>
        <w:pStyle w:val="a0"/>
      </w:pPr>
      <w:r>
        <w:t>Right/Left lateral acetabular edges: p^RAc, p^LAc</w:t>
      </w:r>
    </w:p>
    <w:p w14:paraId="4F580D96" w14:textId="77777777" w:rsidR="00264DA1" w:rsidRDefault="00000000">
      <w:pPr>
        <w:pStyle w:val="a0"/>
      </w:pPr>
      <w:r>
        <w:t>Right/Left proximal femoral metaphyseal borders (lateral, medial): p^RF1, p^RF2, p^LF1, p^LF2</w:t>
      </w:r>
    </w:p>
    <w:p w14:paraId="000E1AD3" w14:textId="77777777" w:rsidR="00264DA1" w:rsidRDefault="00000000">
      <w:r>
        <w:t>The h-points are defined as the midpoints of the proximal metaphysis:</w:t>
      </w:r>
    </w:p>
    <w:p w14:paraId="3827B046" w14:textId="2BB34E56" w:rsidR="00264DA1" w:rsidRDefault="001231AC">
      <w:pPr>
        <w:pStyle w:val="a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p>
        </m:sSup>
        <m:r>
          <w:rPr>
            <w:rFonts w:ascii="Cambria Math" w:hAnsi="Cambria Math"/>
          </w:rPr>
          <m:t> = 0.5 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1 + 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65A239EE" w14:textId="589987A8" w:rsidR="00264DA1" w:rsidRDefault="001231AC">
      <w:pPr>
        <w:pStyle w:val="a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=0.5*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F1+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F2</m:t>
            </m:r>
          </m:e>
        </m:d>
      </m:oMath>
    </w:p>
    <w:p w14:paraId="1B955866" w14:textId="77777777" w:rsidR="00264DA1" w:rsidRDefault="00000000">
      <w:r>
        <w:t>Step 1 — Hilgenreiner line 𝓗. The line through p^RI and p^LI is represented as ax + by + c = 0, with:</w:t>
      </w:r>
    </w:p>
    <w:p w14:paraId="4B6CFAF9" w14:textId="77777777" w:rsidR="00264DA1" w:rsidRDefault="00000000">
      <w:pPr>
        <w:pStyle w:val="a0"/>
      </w:pPr>
      <w:r>
        <w:t>a = y_LI − y_RI</w:t>
      </w:r>
    </w:p>
    <w:p w14:paraId="2EE50BF5" w14:textId="77777777" w:rsidR="00264DA1" w:rsidRDefault="00000000">
      <w:pPr>
        <w:pStyle w:val="a0"/>
      </w:pPr>
      <w:r>
        <w:t>b = x_RI − x_LI</w:t>
      </w:r>
    </w:p>
    <w:p w14:paraId="24088641" w14:textId="77777777" w:rsidR="00264DA1" w:rsidRPr="00560533" w:rsidRDefault="00000000">
      <w:pPr>
        <w:pStyle w:val="a0"/>
        <w:rPr>
          <w:lang w:val="es-PE"/>
        </w:rPr>
      </w:pPr>
      <w:r w:rsidRPr="00560533">
        <w:rPr>
          <w:lang w:val="es-PE"/>
        </w:rPr>
        <w:t>c = y_RI * x_LI − x_RI * y_LI</w:t>
      </w:r>
    </w:p>
    <w:p w14:paraId="761333B1" w14:textId="77777777" w:rsidR="00264DA1" w:rsidRDefault="00000000">
      <w:r>
        <w:t xml:space="preserve">Let t = </w:t>
      </w:r>
      <w:proofErr w:type="spellStart"/>
      <w:r>
        <w:t>p^LI</w:t>
      </w:r>
      <w:proofErr w:type="spellEnd"/>
      <w:r>
        <w:t xml:space="preserve"> − p^RI and n = (a, b) be tangent and normal vectors. We normalize n to a unit vector n̂ and orient it cranially (toward decreasing y): if n̂·(0,−1) &lt; 0 then set n̂ ← −n̂.</w:t>
      </w:r>
    </w:p>
    <w:p w14:paraId="59B30376" w14:textId="77777777" w:rsidR="00264DA1" w:rsidRDefault="00000000">
      <w:r>
        <w:t>Step 2 — Perkins base points and lines. Orthogonally project each acetabular edge to 𝓗:</w:t>
      </w:r>
    </w:p>
    <w:p w14:paraId="4398B0F1" w14:textId="77777777" w:rsidR="00264DA1" w:rsidRDefault="00000000">
      <w:pPr>
        <w:pStyle w:val="a0"/>
      </w:pPr>
      <w:r>
        <w:t>foot(q) = q − ((q − p^RI)·n̂) n̂</w:t>
      </w:r>
    </w:p>
    <w:p w14:paraId="53C8D6AE" w14:textId="77777777" w:rsidR="00264DA1" w:rsidRDefault="00000000">
      <w:pPr>
        <w:pStyle w:val="a0"/>
      </w:pPr>
      <w:r>
        <w:t>p^RP = foot(p^RAc),   p^LP = foot(p^LAc)</w:t>
      </w:r>
    </w:p>
    <w:p w14:paraId="5AE0B5D7" w14:textId="77777777" w:rsidR="00264DA1" w:rsidRDefault="00000000">
      <w:pPr>
        <w:pStyle w:val="a0"/>
      </w:pPr>
      <w:r>
        <w:t>Perkins lines 𝓟^R, 𝓟^L are the lines through p^RP, p^LP with direction n̂ (i.e., perpendicular to 𝓗).</w:t>
      </w:r>
    </w:p>
    <w:p w14:paraId="79ACD0C5" w14:textId="77777777" w:rsidR="00264DA1" w:rsidRDefault="00000000">
      <w:r>
        <w:t>Step 3 — Signed positions. For each side S ∈ {R, L}:</w:t>
      </w:r>
    </w:p>
    <w:p w14:paraId="75D20355" w14:textId="77777777" w:rsidR="00264DA1" w:rsidRDefault="00000000">
      <w:pPr>
        <w:pStyle w:val="a0"/>
      </w:pPr>
      <w:r>
        <w:t>Relative to 𝓗 (superior vs inferior): s_H^S = (h^S − p^RI) · n̂</w:t>
      </w:r>
    </w:p>
    <w:p w14:paraId="14D6D821" w14:textId="77777777" w:rsidR="00264DA1" w:rsidRDefault="00000000">
      <w:pPr>
        <w:pStyle w:val="a0"/>
      </w:pPr>
      <w:r>
        <w:t>Let t̂ be the unit tangent of 𝓗 (t normalized). Relative to the ipsilateral Perkins line (medial vs lateral):</w:t>
      </w:r>
    </w:p>
    <w:p w14:paraId="112E3465" w14:textId="77777777" w:rsidR="00264DA1" w:rsidRDefault="00000000">
      <w:pPr>
        <w:pStyle w:val="a0"/>
      </w:pPr>
      <w:r>
        <w:t>Right hip: s_P^R = (h^R − p^RP) · t̂  (lateral if s_P^R &lt; −τ, medial if s_P^R &gt; τ)</w:t>
      </w:r>
    </w:p>
    <w:p w14:paraId="349CC854" w14:textId="77777777" w:rsidR="00264DA1" w:rsidRDefault="00000000">
      <w:pPr>
        <w:pStyle w:val="a0"/>
      </w:pPr>
      <w:r>
        <w:t>Left hip:  s_P^L = (h^L − p^LP) · t̂  (lateral if s_P^L &gt;  τ, medial if s_P^L &lt; −τ)</w:t>
      </w:r>
    </w:p>
    <w:p w14:paraId="7DBE1CD9" w14:textId="77777777" w:rsidR="00264DA1" w:rsidRDefault="00000000">
      <w:r>
        <w:t>τ is a small tolerance to avoid boundary instability (e.g., a few pixels).</w:t>
      </w:r>
    </w:p>
    <w:p w14:paraId="0165A4FA" w14:textId="77777777" w:rsidR="00264DA1" w:rsidRDefault="00000000">
      <w:r>
        <w:lastRenderedPageBreak/>
        <w:t>Step 4 — Diagonals (±45° from 𝓗). Let θ be the orientation of 𝓗. Define ipsilateral diagonals by θ − π/4 (right) and θ + π/4 (left). With unit direction d̂^S and cranially oriented normal n̂_D^S = rot(+90°) d̂^S, compute:</w:t>
      </w:r>
    </w:p>
    <w:p w14:paraId="3376ACEA" w14:textId="77777777" w:rsidR="00264DA1" w:rsidRDefault="00000000">
      <w:pPr>
        <w:pStyle w:val="a0"/>
      </w:pPr>
      <w:r>
        <w:t>s_D^R = (h^R − p^RP) · n̂_D^R</w:t>
      </w:r>
    </w:p>
    <w:p w14:paraId="6AD45949" w14:textId="77777777" w:rsidR="00264DA1" w:rsidRDefault="00000000">
      <w:pPr>
        <w:pStyle w:val="a0"/>
      </w:pPr>
      <w:r>
        <w:t>s_D^L = (h^L − p^LP) · n̂_D^L</w:t>
      </w:r>
    </w:p>
    <w:p w14:paraId="6F722769" w14:textId="77777777" w:rsidR="00264DA1" w:rsidRDefault="00000000">
      <w:r>
        <w:t>Step 5 — IHDI grade assignment. Using τ &gt; 0:</w:t>
      </w:r>
    </w:p>
    <w:p w14:paraId="095EE04F" w14:textId="77777777" w:rsidR="00264DA1" w:rsidRDefault="00000000">
      <w:pPr>
        <w:pStyle w:val="a0"/>
      </w:pPr>
      <w:r>
        <w:t>Grade 1 (inferomedial): s_H^S ≤ −τ AND medial side</w:t>
      </w:r>
    </w:p>
    <w:p w14:paraId="17CFDF3D" w14:textId="77777777" w:rsidR="00264DA1" w:rsidRDefault="00000000">
      <w:pPr>
        <w:pStyle w:val="a0"/>
      </w:pPr>
      <w:r>
        <w:t>Grade 2 (inferolateral): s_H^S ≤ −τ AND lateral side</w:t>
      </w:r>
    </w:p>
    <w:p w14:paraId="1CB3E4E7" w14:textId="77777777" w:rsidR="00264DA1" w:rsidRDefault="00000000">
      <w:pPr>
        <w:pStyle w:val="a0"/>
      </w:pPr>
      <w:r>
        <w:t>Grade 3 (superolateral, at/below diagonal): s_H^S ≥  τ AND lateral side AND s_D^S ≤ τ</w:t>
      </w:r>
    </w:p>
    <w:p w14:paraId="3C613F2B" w14:textId="77777777" w:rsidR="00264DA1" w:rsidRDefault="00000000">
      <w:pPr>
        <w:pStyle w:val="a0"/>
      </w:pPr>
      <w:r>
        <w:t>Grade 4 (superolateral, above diagonal): s_H^S ≥  τ AND lateral side AND s_D^S &gt;  τ</w:t>
      </w:r>
    </w:p>
    <w:p w14:paraId="79C138DF" w14:textId="77777777" w:rsidR="00264DA1" w:rsidRDefault="00000000">
      <w:r>
        <w:t>Tie/degeneracy handling. If ||t|| &lt; ε (degenerate 𝓗), foot(·) is non-finite, or |s_H^S| ≤ τ or |s_P^S| ≤ τ or |s_D^S| ≤ τ (on a boundary), automated grading is withheld and the case is routed to human review. Recommended ε ≈ 1e−6 and τ a few pixels.</w:t>
      </w:r>
    </w:p>
    <w:p w14:paraId="04AFC491" w14:textId="77777777" w:rsidR="00264DA1" w:rsidRDefault="00000000">
      <w:pPr>
        <w:pStyle w:val="1"/>
      </w:pPr>
      <w:r>
        <w:t>2. Agreement analysis for ordinal grades (quadratic-weighted κ)</w:t>
      </w:r>
    </w:p>
    <w:p w14:paraId="6614A466" w14:textId="77777777" w:rsidR="00264DA1" w:rsidRDefault="00000000">
      <w:r>
        <w:t>Statistic. Agreement between AI predictions and the consensus IHDI grade (primary analysis) was summarized by quadratic-weighted Cohen’s κ using agreement weights:</w:t>
      </w:r>
    </w:p>
    <w:p w14:paraId="40F3BFF6" w14:textId="77777777" w:rsidR="00264DA1" w:rsidRDefault="00000000">
      <w:pPr>
        <w:pStyle w:val="a0"/>
      </w:pPr>
      <w:r>
        <w:t>w_ij = 1 − ((i − j)^2) / ((k − 1)^2), with k = 4</w:t>
      </w:r>
    </w:p>
    <w:p w14:paraId="62181137" w14:textId="77777777" w:rsidR="00264DA1" w:rsidRDefault="00000000">
      <w:r>
        <w:t>Let C = (c_ij) be the confusion matrix with rows as the reference (consensus) and columns as AI predictions, n = Σ_ij c_ij, p_ij = c_ij / n, and p_i·, p_·j the corresponding marginals. Then:</w:t>
      </w:r>
    </w:p>
    <w:p w14:paraId="50594472" w14:textId="77777777" w:rsidR="00264DA1" w:rsidRPr="00560533" w:rsidRDefault="00000000">
      <w:pPr>
        <w:pStyle w:val="a0"/>
        <w:rPr>
          <w:lang w:val="es-PE"/>
        </w:rPr>
      </w:pPr>
      <w:r w:rsidRPr="00560533">
        <w:rPr>
          <w:lang w:val="es-PE"/>
        </w:rPr>
        <w:t xml:space="preserve">P_o = </w:t>
      </w:r>
      <w:r>
        <w:t>Σ</w:t>
      </w:r>
      <w:r w:rsidRPr="00560533">
        <w:rPr>
          <w:lang w:val="es-PE"/>
        </w:rPr>
        <w:t>_ij w_ij p_ij</w:t>
      </w:r>
    </w:p>
    <w:p w14:paraId="0BA39E9C" w14:textId="77777777" w:rsidR="00264DA1" w:rsidRDefault="00000000">
      <w:pPr>
        <w:pStyle w:val="a0"/>
      </w:pPr>
      <w:proofErr w:type="spellStart"/>
      <w:r>
        <w:t>P_e</w:t>
      </w:r>
      <w:proofErr w:type="spellEnd"/>
      <w:r>
        <w:t xml:space="preserve"> = </w:t>
      </w:r>
      <w:proofErr w:type="spellStart"/>
      <w:r>
        <w:t>Σ_ij</w:t>
      </w:r>
      <w:proofErr w:type="spellEnd"/>
      <w:r>
        <w:t xml:space="preserve"> </w:t>
      </w:r>
      <w:proofErr w:type="spellStart"/>
      <w:r>
        <w:t>w_ij</w:t>
      </w:r>
      <w:proofErr w:type="spellEnd"/>
      <w:r>
        <w:t xml:space="preserve"> </w:t>
      </w:r>
      <w:proofErr w:type="spellStart"/>
      <w:r>
        <w:t>p_i</w:t>
      </w:r>
      <w:proofErr w:type="spellEnd"/>
      <w:r>
        <w:t>· p_·j</w:t>
      </w:r>
    </w:p>
    <w:p w14:paraId="1F088E4E" w14:textId="77777777" w:rsidR="00264DA1" w:rsidRDefault="00000000">
      <w:pPr>
        <w:pStyle w:val="a0"/>
      </w:pPr>
      <w:r>
        <w:t>κ_w = (P_o − P_e) / (1 − P_e)</w:t>
      </w:r>
    </w:p>
    <w:p w14:paraId="264812B1" w14:textId="77777777" w:rsidR="00264DA1" w:rsidRDefault="00000000">
      <w:r>
        <w:t>Confidence intervals. We computed 95% confidence intervals by non-parametric bootstrap with 5,000 resamples at the hip level (sampling with replacement and recomputing κ_w in each replicate) and reported percentile intervals (2.5th–97.5th). Random seed was 42. As a sensitivity analysis, a patient-cluster bootstrap (resampling patients and retaining all hips per patient) may also be performed if required by reviewers.</w:t>
      </w:r>
    </w:p>
    <w:p w14:paraId="3601C74D" w14:textId="77777777" w:rsidR="00264DA1" w:rsidRDefault="00000000">
      <w:r>
        <w:t>Implementation and cross-check. The primary implementation followed the matrix formulation above; results were cross-checked with scikit-learn’s cohen_kappa_score(y_true, y_pred, labels=[1,2,3,4], weights='quadratic'), yielding identical values. (Python 3.10; NumPy / scikit-learn; exact versions recorded in the accompanying scripts.)</w:t>
      </w:r>
    </w:p>
    <w:p w14:paraId="7D4794E2" w14:textId="77777777" w:rsidR="00264DA1" w:rsidRDefault="00000000">
      <w:pPr>
        <w:pStyle w:val="1"/>
      </w:pPr>
      <w:r>
        <w:lastRenderedPageBreak/>
        <w:t>3. Operational quality control (QC) and fail-safe policy</w:t>
      </w:r>
    </w:p>
    <w:p w14:paraId="3E279FFB" w14:textId="77777777" w:rsidR="00264DA1" w:rsidRDefault="00000000">
      <w:r>
        <w:t>A study is automatically flagged when any predicted landmark has a confidence score &lt; 0.50 or when post-processing detects invalid geometry (e.g., coincident acetabular landmarks or non-finite angles). For flagged studies, model outputs (landmark overlays and auxiliary lines) are displayed to clinicians but automated angle/IHDI-based triage decisions are withheld; the case defaults to “review required” for human assessment. If only one hip passes QC, Rule 1 (both hips IHDI-1 → “no referral”) is not applied; the patient remains “review required”.</w:t>
      </w:r>
    </w:p>
    <w:p w14:paraId="11314005" w14:textId="77777777" w:rsidR="00264DA1" w:rsidRDefault="00000000">
      <w:pPr>
        <w:pStyle w:val="1"/>
      </w:pPr>
      <w:r>
        <w:t>4. Computational efficiency: timing protocol (brief)</w:t>
      </w:r>
    </w:p>
    <w:p w14:paraId="2971BF82" w14:textId="77777777" w:rsidR="00264DA1" w:rsidRDefault="00000000">
      <w:pPr>
        <w:pStyle w:val="a0"/>
      </w:pPr>
      <w:r>
        <w:t>All 150 test images processed sequentially (batch size = 1) with identical preprocessing and post-processing in GPU and CPU runs.</w:t>
      </w:r>
    </w:p>
    <w:p w14:paraId="0BCCA0D7" w14:textId="77777777" w:rsidR="00264DA1" w:rsidRDefault="00000000">
      <w:pPr>
        <w:pStyle w:val="a0"/>
      </w:pPr>
      <w:r>
        <w:t>Half-precision and graph compilation were disabled; identical model weights were used in both runs.</w:t>
      </w:r>
    </w:p>
    <w:p w14:paraId="44431DF0" w14:textId="77777777" w:rsidR="00264DA1" w:rsidRDefault="00000000">
      <w:pPr>
        <w:pStyle w:val="a0"/>
      </w:pPr>
      <w:r>
        <w:t>For CPU timing, PyTorch threads were limited to two.</w:t>
      </w:r>
    </w:p>
    <w:p w14:paraId="5DE0651D" w14:textId="77777777" w:rsidR="00264DA1" w:rsidRDefault="00000000">
      <w:pPr>
        <w:pStyle w:val="a0"/>
      </w:pPr>
      <w:r>
        <w:t>Per-image times were summarized as mean and distribution across the 150 images; environment and exact commands are provided with the scripts.</w:t>
      </w:r>
    </w:p>
    <w:p w14:paraId="0493FD14" w14:textId="77777777" w:rsidR="00264DA1" w:rsidRDefault="00000000">
      <w:pPr>
        <w:pStyle w:val="1"/>
      </w:pPr>
      <w:r>
        <w:t>5. Reproducibility and software</w:t>
      </w:r>
    </w:p>
    <w:p w14:paraId="3C609F30" w14:textId="77777777" w:rsidR="00264DA1" w:rsidRDefault="00000000">
      <w:pPr>
        <w:pStyle w:val="a0"/>
      </w:pPr>
      <w:r>
        <w:t>All scripts for preprocessing, inference (including IHDI grading), agreement analysis, and plotting are provided with the Supplementary materials.</w:t>
      </w:r>
    </w:p>
    <w:p w14:paraId="61C7D3BF" w14:textId="77777777" w:rsidR="00264DA1" w:rsidRDefault="00000000">
      <w:pPr>
        <w:pStyle w:val="a0"/>
      </w:pPr>
      <w:r>
        <w:t>Random seeds and configuration files are included to reproduce splits and statistics.</w:t>
      </w:r>
    </w:p>
    <w:p w14:paraId="4A132206" w14:textId="77777777" w:rsidR="00264DA1" w:rsidRDefault="00000000">
      <w:pPr>
        <w:pStyle w:val="a0"/>
      </w:pPr>
      <w:r>
        <w:t>Software environment: Python 3.10; NumPy, SciPy, scikit-learn, Matplotlib; exact versions recorded in the scripts.</w:t>
      </w:r>
    </w:p>
    <w:p w14:paraId="074D1AB5" w14:textId="77777777" w:rsidR="00752FCA" w:rsidRDefault="00752FCA" w:rsidP="00752FCA">
      <w:pPr>
        <w:pStyle w:val="a0"/>
        <w:numPr>
          <w:ilvl w:val="0"/>
          <w:numId w:val="0"/>
        </w:numPr>
        <w:ind w:left="360" w:hanging="360"/>
        <w:rPr>
          <w:lang w:eastAsia="ja-JP"/>
        </w:rPr>
      </w:pPr>
    </w:p>
    <w:p w14:paraId="6F24DF68" w14:textId="5870BED6" w:rsidR="00752FCA" w:rsidRDefault="00752FCA" w:rsidP="00752FCA">
      <w:pPr>
        <w:pStyle w:val="a0"/>
        <w:numPr>
          <w:ilvl w:val="0"/>
          <w:numId w:val="0"/>
        </w:numPr>
        <w:ind w:left="360" w:hanging="360"/>
        <w:rPr>
          <w:rFonts w:hint="eastAsia"/>
        </w:rPr>
      </w:pPr>
    </w:p>
    <w:sectPr w:rsidR="00752F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206529">
    <w:abstractNumId w:val="8"/>
  </w:num>
  <w:num w:numId="2" w16cid:durableId="269895512">
    <w:abstractNumId w:val="6"/>
  </w:num>
  <w:num w:numId="3" w16cid:durableId="1729920013">
    <w:abstractNumId w:val="5"/>
  </w:num>
  <w:num w:numId="4" w16cid:durableId="1901743021">
    <w:abstractNumId w:val="4"/>
  </w:num>
  <w:num w:numId="5" w16cid:durableId="273634271">
    <w:abstractNumId w:val="7"/>
  </w:num>
  <w:num w:numId="6" w16cid:durableId="1990670088">
    <w:abstractNumId w:val="3"/>
  </w:num>
  <w:num w:numId="7" w16cid:durableId="460656177">
    <w:abstractNumId w:val="2"/>
  </w:num>
  <w:num w:numId="8" w16cid:durableId="913323322">
    <w:abstractNumId w:val="1"/>
  </w:num>
  <w:num w:numId="9" w16cid:durableId="56094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1AC"/>
    <w:rsid w:val="0015074B"/>
    <w:rsid w:val="00264DA1"/>
    <w:rsid w:val="0029639D"/>
    <w:rsid w:val="00326F90"/>
    <w:rsid w:val="00560533"/>
    <w:rsid w:val="006B7CB7"/>
    <w:rsid w:val="00752FCA"/>
    <w:rsid w:val="009672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3D24E7"/>
  <w14:defaultImageDpi w14:val="300"/>
  <w15:docId w15:val="{AFC4A0CC-A9B8-44E5-A88F-007B7547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Placeholder Text"/>
    <w:basedOn w:val="a2"/>
    <w:uiPriority w:val="99"/>
    <w:semiHidden/>
    <w:rsid w:val="00752F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</Pages>
  <Words>789</Words>
  <Characters>4499</Characters>
  <Application>Microsoft Office Word</Application>
  <DocSecurity>0</DocSecurity>
  <Lines>37</Lines>
  <Paragraphs>10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真俊 大庭</cp:lastModifiedBy>
  <cp:revision>4</cp:revision>
  <dcterms:created xsi:type="dcterms:W3CDTF">2025-08-19T03:27:00Z</dcterms:created>
  <dcterms:modified xsi:type="dcterms:W3CDTF">2025-08-19T09:50:00Z</dcterms:modified>
  <cp:category/>
</cp:coreProperties>
</file>