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ageBreakBefore w:val="0"/>
      </w:pPr>
      <w:r>
        <w:t>ASSESS SHIFT Brand and Character Sheet</w:t>
      </w:r>
    </w:p>
    <w:p>
      <w:r>
        <w:t>Career coaching campaign and introduction video</w:t>
      </w:r>
    </w:p>
    <w:p>
      <w:r>
        <w:t>Use ASSESS SHIFT as the service brand, endorsed by ASSESS International. The campaign should help experienced professionals recognize their career question, understand the service and request a Chemistry Session before choosing a package.</w:t>
      </w:r>
    </w:p>
    <w:p>
      <w:pPr>
        <w:pStyle w:val="Heading2"/>
      </w:pPr>
      <w:r>
        <w:t>Brand foundation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8280"/>
      </w:tblGrid>
      <w:tr>
        <w:trPr>
          <w:cantSplit/>
          <w:cantSplit/>
          <w:tblHeader/>
        </w:trPr>
        <w:tc>
          <w:tcPr>
            <w:tcW w:type="dxa" w:w="1800"/>
            <w:vAlign w:val="center"/>
            <w:shd w:fill="3A0A10"/>
            <w:tcMar>
              <w:top w:w="90" w:type="dxa"/>
              <w:bottom w:w="90" w:type="dxa"/>
              <w:left w:w="90" w:type="dxa"/>
              <w:right w:w="90" w:type="dxa"/>
            </w:tcMar>
          </w:tcPr>
          <w:p>
            <w:pPr>
              <w:spacing w:after="60" w:line="259" w:lineRule="auto"/>
            </w:pPr>
            <w:r>
              <w:rPr>
                <w:b/>
                <w:color w:val="FFFFFF"/>
                <w:sz w:val="18"/>
              </w:rPr>
              <w:t>Element</w:t>
            </w:r>
          </w:p>
        </w:tc>
        <w:tc>
          <w:tcPr>
            <w:tcW w:type="dxa" w:w="8280"/>
            <w:vAlign w:val="center"/>
            <w:shd w:fill="3A0A10"/>
            <w:tcMar>
              <w:top w:w="90" w:type="dxa"/>
              <w:bottom w:w="90" w:type="dxa"/>
              <w:left w:w="90" w:type="dxa"/>
              <w:right w:w="90" w:type="dxa"/>
            </w:tcMar>
          </w:tcPr>
          <w:p>
            <w:pPr>
              <w:spacing w:after="60" w:line="259" w:lineRule="auto"/>
            </w:pPr>
            <w:r>
              <w:rPr>
                <w:b/>
                <w:color w:val="FFFFFF"/>
                <w:sz w:val="18"/>
              </w:rPr>
              <w:t>Campaign direction</w:t>
            </w:r>
          </w:p>
        </w:tc>
      </w:tr>
      <w:tr>
        <w:trPr>
          <w:cantSplit/>
          <w:cantSplit/>
        </w:trPr>
        <w:tc>
          <w:tcPr>
            <w:tcW w:type="dxa" w:w="1800"/>
            <w:vAlign w:val="center"/>
            <w:shd w:fill="FFFFFF"/>
            <w:tcMar>
              <w:top w:w="90" w:type="dxa"/>
              <w:bottom w:w="90" w:type="dxa"/>
              <w:left w:w="90" w:type="dxa"/>
              <w:right w:w="90" w:type="dxa"/>
            </w:tcMar>
          </w:tcPr>
          <w:p>
            <w:pPr>
              <w:spacing w:after="60" w:line="259" w:lineRule="auto"/>
            </w:pPr>
            <w:r>
              <w:rPr>
                <w:b w:val="0"/>
                <w:color w:val="242427"/>
                <w:sz w:val="18"/>
              </w:rPr>
              <w:t>Service name</w:t>
            </w:r>
          </w:p>
        </w:tc>
        <w:tc>
          <w:tcPr>
            <w:tcW w:type="dxa" w:w="8280"/>
            <w:vAlign w:val="center"/>
            <w:shd w:fill="FFFFFF"/>
            <w:tcMar>
              <w:top w:w="90" w:type="dxa"/>
              <w:bottom w:w="90" w:type="dxa"/>
              <w:left w:w="90" w:type="dxa"/>
              <w:right w:w="90" w:type="dxa"/>
            </w:tcMar>
          </w:tcPr>
          <w:p>
            <w:pPr>
              <w:spacing w:after="60" w:line="259" w:lineRule="auto"/>
            </w:pPr>
            <w:r>
              <w:rPr>
                <w:b w:val="0"/>
                <w:color w:val="242427"/>
                <w:sz w:val="18"/>
              </w:rPr>
              <w:t>ASSESS SHIFT</w:t>
            </w:r>
          </w:p>
        </w:tc>
      </w:tr>
      <w:tr>
        <w:trPr>
          <w:cantSplit/>
          <w:cantSplit/>
        </w:trPr>
        <w:tc>
          <w:tcPr>
            <w:tcW w:type="dxa" w:w="1800"/>
            <w:vAlign w:val="center"/>
            <w:shd w:fill="F5F5F6"/>
            <w:tcMar>
              <w:top w:w="90" w:type="dxa"/>
              <w:bottom w:w="90" w:type="dxa"/>
              <w:left w:w="90" w:type="dxa"/>
              <w:right w:w="90" w:type="dxa"/>
            </w:tcMar>
          </w:tcPr>
          <w:p>
            <w:pPr>
              <w:spacing w:after="60" w:line="259" w:lineRule="auto"/>
            </w:pPr>
            <w:r>
              <w:rPr>
                <w:b w:val="0"/>
                <w:color w:val="242427"/>
                <w:sz w:val="18"/>
              </w:rPr>
              <w:t>Descriptor</w:t>
            </w:r>
          </w:p>
        </w:tc>
        <w:tc>
          <w:tcPr>
            <w:tcW w:type="dxa" w:w="8280"/>
            <w:vAlign w:val="center"/>
            <w:shd w:fill="F5F5F6"/>
            <w:tcMar>
              <w:top w:w="90" w:type="dxa"/>
              <w:bottom w:w="90" w:type="dxa"/>
              <w:left w:w="90" w:type="dxa"/>
              <w:right w:w="90" w:type="dxa"/>
            </w:tcMar>
          </w:tcPr>
          <w:p>
            <w:pPr>
              <w:spacing w:after="60" w:line="259" w:lineRule="auto"/>
            </w:pPr>
            <w:r>
              <w:rPr>
                <w:b w:val="0"/>
                <w:color w:val="242427"/>
                <w:sz w:val="18"/>
              </w:rPr>
              <w:t>Career Coaching</w:t>
            </w:r>
          </w:p>
        </w:tc>
      </w:tr>
      <w:tr>
        <w:trPr>
          <w:cantSplit/>
          <w:cantSplit/>
        </w:trPr>
        <w:tc>
          <w:tcPr>
            <w:tcW w:type="dxa" w:w="1800"/>
            <w:vAlign w:val="center"/>
            <w:shd w:fill="FFFFFF"/>
            <w:tcMar>
              <w:top w:w="90" w:type="dxa"/>
              <w:bottom w:w="90" w:type="dxa"/>
              <w:left w:w="90" w:type="dxa"/>
              <w:right w:w="90" w:type="dxa"/>
            </w:tcMar>
          </w:tcPr>
          <w:p>
            <w:pPr>
              <w:spacing w:after="60" w:line="259" w:lineRule="auto"/>
            </w:pPr>
            <w:r>
              <w:rPr>
                <w:b w:val="0"/>
                <w:color w:val="242427"/>
                <w:sz w:val="18"/>
              </w:rPr>
              <w:t>Endorsement</w:t>
            </w:r>
          </w:p>
        </w:tc>
        <w:tc>
          <w:tcPr>
            <w:tcW w:type="dxa" w:w="8280"/>
            <w:vAlign w:val="center"/>
            <w:shd w:fill="FFFFFF"/>
            <w:tcMar>
              <w:top w:w="90" w:type="dxa"/>
              <w:bottom w:w="90" w:type="dxa"/>
              <w:left w:w="90" w:type="dxa"/>
              <w:right w:w="90" w:type="dxa"/>
            </w:tcMar>
          </w:tcPr>
          <w:p>
            <w:pPr>
              <w:spacing w:after="60" w:line="259" w:lineRule="auto"/>
            </w:pPr>
            <w:r>
              <w:rPr>
                <w:b w:val="0"/>
                <w:color w:val="242427"/>
                <w:sz w:val="18"/>
              </w:rPr>
              <w:t>By ASSESS International</w:t>
            </w:r>
          </w:p>
        </w:tc>
      </w:tr>
      <w:tr>
        <w:trPr>
          <w:cantSplit/>
          <w:cantSplit/>
        </w:trPr>
        <w:tc>
          <w:tcPr>
            <w:tcW w:type="dxa" w:w="1800"/>
            <w:vAlign w:val="center"/>
            <w:shd w:fill="F5F5F6"/>
            <w:tcMar>
              <w:top w:w="90" w:type="dxa"/>
              <w:bottom w:w="90" w:type="dxa"/>
              <w:left w:w="90" w:type="dxa"/>
              <w:right w:w="90" w:type="dxa"/>
            </w:tcMar>
          </w:tcPr>
          <w:p>
            <w:pPr>
              <w:spacing w:after="60" w:line="259" w:lineRule="auto"/>
            </w:pPr>
            <w:r>
              <w:rPr>
                <w:b w:val="0"/>
                <w:color w:val="242427"/>
                <w:sz w:val="18"/>
              </w:rPr>
              <w:t>Primary audience</w:t>
            </w:r>
          </w:p>
        </w:tc>
        <w:tc>
          <w:tcPr>
            <w:tcW w:type="dxa" w:w="8280"/>
            <w:vAlign w:val="center"/>
            <w:shd w:fill="F5F5F6"/>
            <w:tcMar>
              <w:top w:w="90" w:type="dxa"/>
              <w:bottom w:w="90" w:type="dxa"/>
              <w:left w:w="90" w:type="dxa"/>
              <w:right w:w="90" w:type="dxa"/>
            </w:tcMar>
          </w:tcPr>
          <w:p>
            <w:pPr>
              <w:spacing w:after="60" w:line="259" w:lineRule="auto"/>
            </w:pPr>
            <w:r>
              <w:rPr>
                <w:b w:val="0"/>
                <w:color w:val="242427"/>
                <w:sz w:val="18"/>
              </w:rPr>
              <w:t>Experienced professionals considering a new role, function, industry or work model. The registration form serves experience bands of 5–10, 10–15 and 15+ years.</w:t>
            </w:r>
          </w:p>
        </w:tc>
      </w:tr>
      <w:tr>
        <w:trPr>
          <w:cantSplit/>
          <w:cantSplit/>
        </w:trPr>
        <w:tc>
          <w:tcPr>
            <w:tcW w:type="dxa" w:w="1800"/>
            <w:vAlign w:val="center"/>
            <w:shd w:fill="FFFFFF"/>
            <w:tcMar>
              <w:top w:w="90" w:type="dxa"/>
              <w:bottom w:w="90" w:type="dxa"/>
              <w:left w:w="90" w:type="dxa"/>
              <w:right w:w="90" w:type="dxa"/>
            </w:tcMar>
          </w:tcPr>
          <w:p>
            <w:pPr>
              <w:spacing w:after="60" w:line="259" w:lineRule="auto"/>
            </w:pPr>
            <w:r>
              <w:rPr>
                <w:b w:val="0"/>
                <w:color w:val="242427"/>
                <w:sz w:val="18"/>
              </w:rPr>
              <w:t>Core need</w:t>
            </w:r>
          </w:p>
        </w:tc>
        <w:tc>
          <w:tcPr>
            <w:tcW w:type="dxa" w:w="8280"/>
            <w:vAlign w:val="center"/>
            <w:shd w:fill="FFFFFF"/>
            <w:tcMar>
              <w:top w:w="90" w:type="dxa"/>
              <w:bottom w:w="90" w:type="dxa"/>
              <w:left w:w="90" w:type="dxa"/>
              <w:right w:w="90" w:type="dxa"/>
            </w:tcMar>
          </w:tcPr>
          <w:p>
            <w:pPr>
              <w:spacing w:after="60" w:line="259" w:lineRule="auto"/>
            </w:pPr>
            <w:r>
              <w:rPr>
                <w:b w:val="0"/>
                <w:color w:val="242427"/>
                <w:sz w:val="18"/>
              </w:rPr>
              <w:t>Make a thoughtful career decision while accounting for experience, income, family commitments and market reality.</w:t>
            </w:r>
          </w:p>
        </w:tc>
      </w:tr>
      <w:tr>
        <w:trPr>
          <w:cantSplit/>
          <w:cantSplit/>
        </w:trPr>
        <w:tc>
          <w:tcPr>
            <w:tcW w:type="dxa" w:w="1800"/>
            <w:vAlign w:val="center"/>
            <w:shd w:fill="F5F5F6"/>
            <w:tcMar>
              <w:top w:w="90" w:type="dxa"/>
              <w:bottom w:w="90" w:type="dxa"/>
              <w:left w:w="90" w:type="dxa"/>
              <w:right w:w="90" w:type="dxa"/>
            </w:tcMar>
          </w:tcPr>
          <w:p>
            <w:pPr>
              <w:spacing w:after="60" w:line="259" w:lineRule="auto"/>
            </w:pPr>
            <w:r>
              <w:rPr>
                <w:b w:val="0"/>
                <w:color w:val="242427"/>
                <w:sz w:val="18"/>
              </w:rPr>
              <w:t>Positioning</w:t>
            </w:r>
          </w:p>
        </w:tc>
        <w:tc>
          <w:tcPr>
            <w:tcW w:type="dxa" w:w="8280"/>
            <w:vAlign w:val="center"/>
            <w:shd w:fill="F5F5F6"/>
            <w:tcMar>
              <w:top w:w="90" w:type="dxa"/>
              <w:bottom w:w="90" w:type="dxa"/>
              <w:left w:w="90" w:type="dxa"/>
              <w:right w:w="90" w:type="dxa"/>
            </w:tcMar>
          </w:tcPr>
          <w:p>
            <w:pPr>
              <w:spacing w:after="60" w:line="259" w:lineRule="auto"/>
            </w:pPr>
            <w:r>
              <w:rPr>
                <w:b w:val="0"/>
                <w:color w:val="242427"/>
                <w:sz w:val="18"/>
              </w:rPr>
              <w:t>Psychometric insight combined with professional coaching to explore realistic career directions and build a practical transition plan.</w:t>
            </w:r>
          </w:p>
        </w:tc>
      </w:tr>
      <w:tr>
        <w:trPr>
          <w:cantSplit/>
          <w:cantSplit/>
        </w:trPr>
        <w:tc>
          <w:tcPr>
            <w:tcW w:type="dxa" w:w="1800"/>
            <w:vAlign w:val="center"/>
            <w:shd w:fill="FFFFFF"/>
            <w:tcMar>
              <w:top w:w="90" w:type="dxa"/>
              <w:bottom w:w="90" w:type="dxa"/>
              <w:left w:w="90" w:type="dxa"/>
              <w:right w:w="90" w:type="dxa"/>
            </w:tcMar>
          </w:tcPr>
          <w:p>
            <w:pPr>
              <w:spacing w:after="60" w:line="259" w:lineRule="auto"/>
            </w:pPr>
            <w:r>
              <w:rPr>
                <w:b w:val="0"/>
                <w:color w:val="242427"/>
                <w:sz w:val="18"/>
              </w:rPr>
              <w:t>Primary action</w:t>
            </w:r>
          </w:p>
        </w:tc>
        <w:tc>
          <w:tcPr>
            <w:tcW w:type="dxa" w:w="8280"/>
            <w:vAlign w:val="center"/>
            <w:shd w:fill="FFFFFF"/>
            <w:tcMar>
              <w:top w:w="90" w:type="dxa"/>
              <w:bottom w:w="90" w:type="dxa"/>
              <w:left w:w="90" w:type="dxa"/>
              <w:right w:w="90" w:type="dxa"/>
            </w:tcMar>
          </w:tcPr>
          <w:p>
            <w:pPr>
              <w:spacing w:after="60" w:line="259" w:lineRule="auto"/>
            </w:pPr>
            <w:r>
              <w:rPr>
                <w:b w:val="0"/>
                <w:color w:val="242427"/>
                <w:sz w:val="18"/>
              </w:rPr>
              <w:t>Request a Chemistry Session through the registration process.</w:t>
            </w:r>
          </w:p>
        </w:tc>
      </w:tr>
    </w:tbl>
    <w:p>
      <w:pPr>
        <w:pStyle w:val="Heading2"/>
      </w:pPr>
      <w:r>
        <w:t>Campaign message</w:t>
      </w:r>
    </w:p>
    <w:p>
      <w:r>
        <w:t>Recommended headline: Your next career move deserves clarity.</w:t>
      </w:r>
    </w:p>
    <w:p>
      <w:r>
        <w:t>Supporting copy: Understand what matters to you at work, explore realistic options and plan your next move with ASSESS SHIFT career coaching.</w:t>
      </w:r>
    </w:p>
    <w:p>
      <w:pPr>
        <w:jc w:val="right"/>
        <w:bidi w:val="1"/>
      </w:pPr>
      <w:r>
        <w:rPr>
          <w:rFonts w:ascii="DejaVu Sans" w:hAnsi="DejaVu Sans"/>
          <w:sz w:val="21"/>
          <w:rtl w:val="1"/>
        </w:rPr>
        <w:t>Arabic headline: خطوتك المهنية الجاية تستحق وضوح.</w:t>
      </w:r>
    </w:p>
    <w:p>
      <w:pPr>
        <w:jc w:val="right"/>
        <w:bidi w:val="1"/>
      </w:pPr>
      <w:r>
        <w:rPr>
          <w:rFonts w:ascii="DejaVu Sans" w:hAnsi="DejaVu Sans"/>
          <w:sz w:val="21"/>
          <w:rtl w:val="1"/>
        </w:rPr>
        <w:t>Arabic supporting copy: افهم إيه المهم بالنسبة لك في الشغل، واستكشف اختيارات واقعية، وخطّط لخطوتك الجاية مع ASSESS SHIFT.</w:t>
      </w:r>
    </w:p>
    <w:p>
      <w:pPr>
        <w:pStyle w:val="Heading2"/>
      </w:pPr>
      <w:r>
        <w:t>Brand personality and voice</w:t>
      </w:r>
    </w:p>
    <w:p>
      <w:r>
        <w:t>A thoughtful career partner: calm, curious and practical. Acknowledge the client’s experience and ask clear questions. Explain assessments in ordinary language. Keep career ownership with the client.</w:t>
      </w:r>
    </w:p>
    <w:p>
      <w:r>
        <w:t>Use: “Which direction fits your priorities?” and “Let’s explore what your experience can carry into your next role.” Avoid pressure to resign, guaranteed outcomes, invented success stories or claims of ICF accreditation that have not been verified.</w:t>
      </w:r>
    </w:p>
    <w:p>
      <w:pPr>
        <w:pStyle w:val="Title"/>
        <w:pageBreakBefore/>
      </w:pPr>
      <w:r>
        <w:t>Visual Identity Sheet</w:t>
      </w:r>
    </w:p>
    <w:p>
      <w:r>
        <w:t>Retain the burgundy family already present in the catalogue and registration form. Use the following proposed campaign palette consistently across video frames, posts and campaign materials.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584"/>
        <w:gridCol w:w="6048"/>
      </w:tblGrid>
      <w:tr>
        <w:trPr>
          <w:cantSplit/>
          <w:cantSplit/>
          <w:cantSplit/>
          <w:tblHeader/>
        </w:trPr>
        <w:tc>
          <w:tcPr>
            <w:tcW w:type="dxa" w:w="2448"/>
            <w:vAlign w:val="center"/>
            <w:shd w:fill="3A0A10"/>
            <w:tcMar>
              <w:top w:w="90" w:type="dxa"/>
              <w:bottom w:w="90" w:type="dxa"/>
              <w:left w:w="90" w:type="dxa"/>
              <w:right w:w="90" w:type="dxa"/>
            </w:tcMar>
          </w:tcPr>
          <w:p>
            <w:pPr>
              <w:spacing w:after="60" w:line="259" w:lineRule="auto"/>
            </w:pPr>
            <w:r>
              <w:rPr>
                <w:b/>
                <w:color w:val="FFFFFF"/>
                <w:sz w:val="18"/>
              </w:rPr>
              <w:t>Colour</w:t>
            </w:r>
          </w:p>
        </w:tc>
        <w:tc>
          <w:tcPr>
            <w:tcW w:type="dxa" w:w="1584"/>
            <w:vAlign w:val="center"/>
            <w:shd w:fill="3A0A10"/>
            <w:tcMar>
              <w:top w:w="90" w:type="dxa"/>
              <w:bottom w:w="90" w:type="dxa"/>
              <w:left w:w="90" w:type="dxa"/>
              <w:right w:w="90" w:type="dxa"/>
            </w:tcMar>
          </w:tcPr>
          <w:p>
            <w:pPr>
              <w:spacing w:after="60" w:line="259" w:lineRule="auto"/>
            </w:pPr>
            <w:r>
              <w:rPr>
                <w:b/>
                <w:color w:val="FFFFFF"/>
                <w:sz w:val="18"/>
              </w:rPr>
              <w:t>Hex</w:t>
            </w:r>
          </w:p>
        </w:tc>
        <w:tc>
          <w:tcPr>
            <w:tcW w:type="dxa" w:w="6048"/>
            <w:vAlign w:val="center"/>
            <w:shd w:fill="3A0A10"/>
            <w:tcMar>
              <w:top w:w="90" w:type="dxa"/>
              <w:bottom w:w="90" w:type="dxa"/>
              <w:left w:w="90" w:type="dxa"/>
              <w:right w:w="90" w:type="dxa"/>
            </w:tcMar>
          </w:tcPr>
          <w:p>
            <w:pPr>
              <w:spacing w:after="60" w:line="259" w:lineRule="auto"/>
            </w:pPr>
            <w:r>
              <w:rPr>
                <w:b/>
                <w:color w:val="FFFFFF"/>
                <w:sz w:val="18"/>
              </w:rPr>
              <w:t>Role</w:t>
            </w:r>
          </w:p>
        </w:tc>
      </w:tr>
      <w:tr>
        <w:trPr>
          <w:cantSplit/>
          <w:cantSplit/>
          <w:cantSplit/>
        </w:trPr>
        <w:tc>
          <w:tcPr>
            <w:tcW w:type="dxa" w:w="2448"/>
            <w:vAlign w:val="center"/>
            <w:shd w:fill="FFFFFF"/>
            <w:tcMar>
              <w:top w:w="90" w:type="dxa"/>
              <w:bottom w:w="90" w:type="dxa"/>
              <w:left w:w="90" w:type="dxa"/>
              <w:right w:w="90" w:type="dxa"/>
            </w:tcMar>
          </w:tcPr>
          <w:p>
            <w:pPr>
              <w:spacing w:after="60" w:line="259" w:lineRule="auto"/>
            </w:pPr>
            <w:r>
              <w:rPr>
                <w:b w:val="0"/>
                <w:color w:val="242427"/>
                <w:sz w:val="18"/>
              </w:rPr>
              <w:t>SHIFT Burgundy</w:t>
            </w:r>
          </w:p>
        </w:tc>
        <w:tc>
          <w:tcPr>
            <w:tcW w:type="dxa" w:w="1584"/>
            <w:vAlign w:val="center"/>
            <w:shd w:fill="FFFFFF"/>
            <w:tcMar>
              <w:top w:w="90" w:type="dxa"/>
              <w:bottom w:w="90" w:type="dxa"/>
              <w:left w:w="90" w:type="dxa"/>
              <w:right w:w="90" w:type="dxa"/>
            </w:tcMar>
          </w:tcPr>
          <w:p>
            <w:pPr>
              <w:spacing w:after="60" w:line="259" w:lineRule="auto"/>
            </w:pPr>
            <w:r>
              <w:rPr>
                <w:b w:val="0"/>
                <w:color w:val="242427"/>
                <w:sz w:val="18"/>
              </w:rPr>
              <w:t>#91212E</w:t>
            </w:r>
          </w:p>
        </w:tc>
        <w:tc>
          <w:tcPr>
            <w:tcW w:type="dxa" w:w="6048"/>
            <w:vAlign w:val="center"/>
            <w:shd w:fill="FFFFFF"/>
            <w:tcMar>
              <w:top w:w="90" w:type="dxa"/>
              <w:bottom w:w="90" w:type="dxa"/>
              <w:left w:w="90" w:type="dxa"/>
              <w:right w:w="90" w:type="dxa"/>
            </w:tcMar>
          </w:tcPr>
          <w:p>
            <w:pPr>
              <w:spacing w:after="60" w:line="259" w:lineRule="auto"/>
            </w:pPr>
            <w:r>
              <w:rPr>
                <w:b w:val="0"/>
                <w:color w:val="242427"/>
                <w:sz w:val="18"/>
              </w:rPr>
              <w:t>Primary emphasis, CTA, character jacket and key words</w:t>
            </w:r>
          </w:p>
        </w:tc>
      </w:tr>
      <w:tr>
        <w:trPr>
          <w:cantSplit/>
          <w:cantSplit/>
          <w:cantSplit/>
        </w:trPr>
        <w:tc>
          <w:tcPr>
            <w:tcW w:type="dxa" w:w="2448"/>
            <w:vAlign w:val="center"/>
            <w:shd w:fill="F5F5F6"/>
            <w:tcMar>
              <w:top w:w="90" w:type="dxa"/>
              <w:bottom w:w="90" w:type="dxa"/>
              <w:left w:w="90" w:type="dxa"/>
              <w:right w:w="90" w:type="dxa"/>
            </w:tcMar>
          </w:tcPr>
          <w:p>
            <w:pPr>
              <w:spacing w:after="60" w:line="259" w:lineRule="auto"/>
            </w:pPr>
            <w:r>
              <w:rPr>
                <w:b w:val="0"/>
                <w:color w:val="242427"/>
                <w:sz w:val="18"/>
              </w:rPr>
              <w:t>Deep Burgundy</w:t>
            </w:r>
          </w:p>
        </w:tc>
        <w:tc>
          <w:tcPr>
            <w:tcW w:type="dxa" w:w="1584"/>
            <w:vAlign w:val="center"/>
            <w:shd w:fill="F5F5F6"/>
            <w:tcMar>
              <w:top w:w="90" w:type="dxa"/>
              <w:bottom w:w="90" w:type="dxa"/>
              <w:left w:w="90" w:type="dxa"/>
              <w:right w:w="90" w:type="dxa"/>
            </w:tcMar>
          </w:tcPr>
          <w:p>
            <w:pPr>
              <w:spacing w:after="60" w:line="259" w:lineRule="auto"/>
            </w:pPr>
            <w:r>
              <w:rPr>
                <w:b w:val="0"/>
                <w:color w:val="242427"/>
                <w:sz w:val="18"/>
              </w:rPr>
              <w:t>#3A0A10</w:t>
            </w:r>
          </w:p>
        </w:tc>
        <w:tc>
          <w:tcPr>
            <w:tcW w:type="dxa" w:w="6048"/>
            <w:vAlign w:val="center"/>
            <w:shd w:fill="F5F5F6"/>
            <w:tcMar>
              <w:top w:w="90" w:type="dxa"/>
              <w:bottom w:w="90" w:type="dxa"/>
              <w:left w:w="90" w:type="dxa"/>
              <w:right w:w="90" w:type="dxa"/>
            </w:tcMar>
          </w:tcPr>
          <w:p>
            <w:pPr>
              <w:spacing w:after="60" w:line="259" w:lineRule="auto"/>
            </w:pPr>
            <w:r>
              <w:rPr>
                <w:b w:val="0"/>
                <w:color w:val="242427"/>
                <w:sz w:val="18"/>
              </w:rPr>
              <w:t>End card background and strong contrast</w:t>
            </w:r>
          </w:p>
        </w:tc>
      </w:tr>
      <w:tr>
        <w:trPr>
          <w:cantSplit/>
          <w:cantSplit/>
          <w:cantSplit/>
        </w:trPr>
        <w:tc>
          <w:tcPr>
            <w:tcW w:type="dxa" w:w="2448"/>
            <w:vAlign w:val="center"/>
            <w:shd w:fill="FFFFFF"/>
            <w:tcMar>
              <w:top w:w="90" w:type="dxa"/>
              <w:bottom w:w="90" w:type="dxa"/>
              <w:left w:w="90" w:type="dxa"/>
              <w:right w:w="90" w:type="dxa"/>
            </w:tcMar>
          </w:tcPr>
          <w:p>
            <w:pPr>
              <w:spacing w:after="60" w:line="259" w:lineRule="auto"/>
            </w:pPr>
            <w:r>
              <w:rPr>
                <w:b w:val="0"/>
                <w:color w:val="242427"/>
                <w:sz w:val="18"/>
              </w:rPr>
              <w:t>Charcoal</w:t>
            </w:r>
          </w:p>
        </w:tc>
        <w:tc>
          <w:tcPr>
            <w:tcW w:type="dxa" w:w="1584"/>
            <w:vAlign w:val="center"/>
            <w:shd w:fill="FFFFFF"/>
            <w:tcMar>
              <w:top w:w="90" w:type="dxa"/>
              <w:bottom w:w="90" w:type="dxa"/>
              <w:left w:w="90" w:type="dxa"/>
              <w:right w:w="90" w:type="dxa"/>
            </w:tcMar>
          </w:tcPr>
          <w:p>
            <w:pPr>
              <w:spacing w:after="60" w:line="259" w:lineRule="auto"/>
            </w:pPr>
            <w:r>
              <w:rPr>
                <w:b w:val="0"/>
                <w:color w:val="242427"/>
                <w:sz w:val="18"/>
              </w:rPr>
              <w:t>#242427</w:t>
            </w:r>
          </w:p>
        </w:tc>
        <w:tc>
          <w:tcPr>
            <w:tcW w:type="dxa" w:w="6048"/>
            <w:vAlign w:val="center"/>
            <w:shd w:fill="FFFFFF"/>
            <w:tcMar>
              <w:top w:w="90" w:type="dxa"/>
              <w:bottom w:w="90" w:type="dxa"/>
              <w:left w:w="90" w:type="dxa"/>
              <w:right w:w="90" w:type="dxa"/>
            </w:tcMar>
          </w:tcPr>
          <w:p>
            <w:pPr>
              <w:spacing w:after="60" w:line="259" w:lineRule="auto"/>
            </w:pPr>
            <w:r>
              <w:rPr>
                <w:b w:val="0"/>
                <w:color w:val="242427"/>
                <w:sz w:val="18"/>
              </w:rPr>
              <w:t>Body copy and outlines</w:t>
            </w:r>
          </w:p>
        </w:tc>
      </w:tr>
      <w:tr>
        <w:trPr>
          <w:cantSplit/>
          <w:cantSplit/>
          <w:cantSplit/>
        </w:trPr>
        <w:tc>
          <w:tcPr>
            <w:tcW w:type="dxa" w:w="2448"/>
            <w:vAlign w:val="center"/>
            <w:shd w:fill="F5F5F6"/>
            <w:tcMar>
              <w:top w:w="90" w:type="dxa"/>
              <w:bottom w:w="90" w:type="dxa"/>
              <w:left w:w="90" w:type="dxa"/>
              <w:right w:w="90" w:type="dxa"/>
            </w:tcMar>
          </w:tcPr>
          <w:p>
            <w:pPr>
              <w:spacing w:after="60" w:line="259" w:lineRule="auto"/>
            </w:pPr>
            <w:r>
              <w:rPr>
                <w:b w:val="0"/>
                <w:color w:val="242427"/>
                <w:sz w:val="18"/>
              </w:rPr>
              <w:t>Warm Ivory</w:t>
            </w:r>
          </w:p>
        </w:tc>
        <w:tc>
          <w:tcPr>
            <w:tcW w:type="dxa" w:w="1584"/>
            <w:vAlign w:val="center"/>
            <w:shd w:fill="F5F5F6"/>
            <w:tcMar>
              <w:top w:w="90" w:type="dxa"/>
              <w:bottom w:w="90" w:type="dxa"/>
              <w:left w:w="90" w:type="dxa"/>
              <w:right w:w="90" w:type="dxa"/>
            </w:tcMar>
          </w:tcPr>
          <w:p>
            <w:pPr>
              <w:spacing w:after="60" w:line="259" w:lineRule="auto"/>
            </w:pPr>
            <w:r>
              <w:rPr>
                <w:b w:val="0"/>
                <w:color w:val="242427"/>
                <w:sz w:val="18"/>
              </w:rPr>
              <w:t>#FAF7F2</w:t>
            </w:r>
          </w:p>
        </w:tc>
        <w:tc>
          <w:tcPr>
            <w:tcW w:type="dxa" w:w="6048"/>
            <w:vAlign w:val="center"/>
            <w:shd w:fill="F5F5F6"/>
            <w:tcMar>
              <w:top w:w="90" w:type="dxa"/>
              <w:bottom w:w="90" w:type="dxa"/>
              <w:left w:w="90" w:type="dxa"/>
              <w:right w:w="90" w:type="dxa"/>
            </w:tcMar>
          </w:tcPr>
          <w:p>
            <w:pPr>
              <w:spacing w:after="60" w:line="259" w:lineRule="auto"/>
            </w:pPr>
            <w:r>
              <w:rPr>
                <w:b w:val="0"/>
                <w:color w:val="242427"/>
                <w:sz w:val="18"/>
              </w:rPr>
              <w:t>Primary background</w:t>
            </w:r>
          </w:p>
        </w:tc>
      </w:tr>
      <w:tr>
        <w:trPr>
          <w:cantSplit/>
          <w:cantSplit/>
          <w:cantSplit/>
        </w:trPr>
        <w:tc>
          <w:tcPr>
            <w:tcW w:type="dxa" w:w="2448"/>
            <w:vAlign w:val="center"/>
            <w:shd w:fill="FFFFFF"/>
            <w:tcMar>
              <w:top w:w="90" w:type="dxa"/>
              <w:bottom w:w="90" w:type="dxa"/>
              <w:left w:w="90" w:type="dxa"/>
              <w:right w:w="90" w:type="dxa"/>
            </w:tcMar>
          </w:tcPr>
          <w:p>
            <w:pPr>
              <w:spacing w:after="60" w:line="259" w:lineRule="auto"/>
            </w:pPr>
            <w:r>
              <w:rPr>
                <w:b w:val="0"/>
                <w:color w:val="242427"/>
                <w:sz w:val="18"/>
              </w:rPr>
              <w:t>Soft Rose</w:t>
            </w:r>
          </w:p>
        </w:tc>
        <w:tc>
          <w:tcPr>
            <w:tcW w:type="dxa" w:w="1584"/>
            <w:vAlign w:val="center"/>
            <w:shd w:fill="FFFFFF"/>
            <w:tcMar>
              <w:top w:w="90" w:type="dxa"/>
              <w:bottom w:w="90" w:type="dxa"/>
              <w:left w:w="90" w:type="dxa"/>
              <w:right w:w="90" w:type="dxa"/>
            </w:tcMar>
          </w:tcPr>
          <w:p>
            <w:pPr>
              <w:spacing w:after="60" w:line="259" w:lineRule="auto"/>
            </w:pPr>
            <w:r>
              <w:rPr>
                <w:b w:val="0"/>
                <w:color w:val="242427"/>
                <w:sz w:val="18"/>
              </w:rPr>
              <w:t>#F5E9E9</w:t>
            </w:r>
          </w:p>
        </w:tc>
        <w:tc>
          <w:tcPr>
            <w:tcW w:type="dxa" w:w="6048"/>
            <w:vAlign w:val="center"/>
            <w:shd w:fill="FFFFFF"/>
            <w:tcMar>
              <w:top w:w="90" w:type="dxa"/>
              <w:bottom w:w="90" w:type="dxa"/>
              <w:left w:w="90" w:type="dxa"/>
              <w:right w:w="90" w:type="dxa"/>
            </w:tcMar>
          </w:tcPr>
          <w:p>
            <w:pPr>
              <w:spacing w:after="60" w:line="259" w:lineRule="auto"/>
            </w:pPr>
            <w:r>
              <w:rPr>
                <w:b w:val="0"/>
                <w:color w:val="242427"/>
                <w:sz w:val="18"/>
              </w:rPr>
              <w:t>Secondary panels and quiet highlights</w:t>
            </w:r>
          </w:p>
        </w:tc>
      </w:tr>
      <w:tr>
        <w:trPr>
          <w:cantSplit/>
          <w:cantSplit/>
          <w:cantSplit/>
        </w:trPr>
        <w:tc>
          <w:tcPr>
            <w:tcW w:type="dxa" w:w="2448"/>
            <w:vAlign w:val="center"/>
            <w:shd w:fill="F5F5F6"/>
            <w:tcMar>
              <w:top w:w="90" w:type="dxa"/>
              <w:bottom w:w="90" w:type="dxa"/>
              <w:left w:w="90" w:type="dxa"/>
              <w:right w:w="90" w:type="dxa"/>
            </w:tcMar>
          </w:tcPr>
          <w:p>
            <w:pPr>
              <w:spacing w:after="60" w:line="259" w:lineRule="auto"/>
            </w:pPr>
            <w:r>
              <w:rPr>
                <w:b w:val="0"/>
                <w:color w:val="242427"/>
                <w:sz w:val="18"/>
              </w:rPr>
              <w:t>White</w:t>
            </w:r>
          </w:p>
        </w:tc>
        <w:tc>
          <w:tcPr>
            <w:tcW w:type="dxa" w:w="1584"/>
            <w:vAlign w:val="center"/>
            <w:shd w:fill="F5F5F6"/>
            <w:tcMar>
              <w:top w:w="90" w:type="dxa"/>
              <w:bottom w:w="90" w:type="dxa"/>
              <w:left w:w="90" w:type="dxa"/>
              <w:right w:w="90" w:type="dxa"/>
            </w:tcMar>
          </w:tcPr>
          <w:p>
            <w:pPr>
              <w:spacing w:after="60" w:line="259" w:lineRule="auto"/>
            </w:pPr>
            <w:r>
              <w:rPr>
                <w:b w:val="0"/>
                <w:color w:val="242427"/>
                <w:sz w:val="18"/>
              </w:rPr>
              <w:t>#FFFFFF</w:t>
            </w:r>
          </w:p>
        </w:tc>
        <w:tc>
          <w:tcPr>
            <w:tcW w:type="dxa" w:w="6048"/>
            <w:vAlign w:val="center"/>
            <w:shd w:fill="F5F5F6"/>
            <w:tcMar>
              <w:top w:w="90" w:type="dxa"/>
              <w:bottom w:w="90" w:type="dxa"/>
              <w:left w:w="90" w:type="dxa"/>
              <w:right w:w="90" w:type="dxa"/>
            </w:tcMar>
          </w:tcPr>
          <w:p>
            <w:pPr>
              <w:spacing w:after="60" w:line="259" w:lineRule="auto"/>
            </w:pPr>
            <w:r>
              <w:rPr>
                <w:b w:val="0"/>
                <w:color w:val="242427"/>
                <w:sz w:val="18"/>
              </w:rPr>
              <w:t>Text on dark backgrounds and clean space</w:t>
            </w:r>
          </w:p>
        </w:tc>
      </w:tr>
    </w:tbl>
    <w:p>
      <w:r>
        <w:t>Source alignment: the catalogue uses #91212E prominently; the registration form uses #A71922. #91212E is the proposed campaign standard. Updating the form colour would be a separate implementation decision.</w:t>
      </w:r>
    </w:p>
    <w:p>
      <w:pPr>
        <w:pStyle w:val="Heading2"/>
      </w:pPr>
      <w:r>
        <w:t>Typography and service lockup</w:t>
      </w:r>
    </w:p>
    <w:p>
      <w:r>
        <w:t>English: Quicksand for headlines, matching the catalogue. Aptos or a licensed equivalent for supporting copy. Arabic: Noto Sans Arabic is the proposed companion. Bundle approved font files for production and check Arabic shaping and right-to-left order.</w:t>
      </w:r>
    </w:p>
    <w:p>
      <w:r>
        <w:t>Use the approved ASSESS corporate logo. Place “SHIFT” and “Career Coaching” beside or below it with consistent spacing. A typed service-name layout is a temporary design reference until the approved logo asset is supplied.</w:t>
      </w:r>
    </w:p>
    <w:p>
      <w:pPr>
        <w:pStyle w:val="Heading2"/>
      </w:pPr>
      <w:r>
        <w:t>Composition and visual language</w:t>
      </w:r>
    </w:p>
    <w:p>
      <w:pPr>
        <w:pStyle w:val="ListBullet"/>
      </w:pPr>
      <w:r>
        <w:t>Use generous ivory space, realistic photographic coaches and clean 2D explanatory graphics. Keep one main idea per frame.</w:t>
      </w:r>
    </w:p>
    <w:p>
      <w:pPr>
        <w:pStyle w:val="ListBullet"/>
      </w:pPr>
      <w:r>
        <w:t>Show options as equally sized cards. Bring them into a comparison before highlighting a preferred direction.</w:t>
      </w:r>
    </w:p>
    <w:p>
      <w:pPr>
        <w:pStyle w:val="ListBullet"/>
      </w:pPr>
      <w:r>
        <w:t>Use a thin burgundy path as a recurring motif. It moves between options and ends at a next-step plan.</w:t>
      </w:r>
    </w:p>
    <w:p>
      <w:pPr>
        <w:pStyle w:val="ListBullet"/>
      </w:pPr>
      <w:r>
        <w:t>Show assessment insights as interests, motivation and work-style labels. Use abstract profiles without invented scores or real client data.</w:t>
      </w:r>
    </w:p>
    <w:p>
      <w:pPr>
        <w:pStyle w:val="ListBullet"/>
      </w:pPr>
      <w:r>
        <w:t>Use consistent line weight, soft shadows and restrained movement. Avoid ladders to success, graduation imagery and dramatic resignation scenes.</w:t>
      </w:r>
    </w:p>
    <w:p>
      <w:pPr>
        <w:pStyle w:val="Heading2"/>
      </w:pPr>
      <w:r>
        <w:t>Video composition</w:t>
      </w:r>
    </w:p>
    <w:p>
      <w:r>
        <w:t>Proposed master: 1080 × 1920 vertical, 30 fps, 75 seconds. Keep important copy at least 90 px from the sides, 180 px from the top and 300 px from the bottom as an initial composition guide, then check each platform’s current interface overlay. Adapt separately for 1920 × 1080.</w:t>
      </w:r>
    </w:p>
    <w:p>
      <w:r>
        <w:t>Use large captions, up to two lines, with one thought at a time. Plan gentle 8–12 frame fades and slow movements that support the narration. Keep music below the voice and make the story understandable with sound off.</w:t>
      </w:r>
    </w:p>
    <w:p>
      <w:pPr>
        <w:pStyle w:val="Title"/>
        <w:pageBreakBefore/>
      </w:pPr>
      <w:r>
        <w:t>Male and Female Coach Character Sheet</w:t>
      </w:r>
    </w:p>
    <w:p>
      <w:r>
        <w:t>Samir and Nour are fictional career coaches with equal prominence. Each can lead a campaign video, or they can appear across different scenes. Both support the viewer’s career exploration through attentive listening and clear questions. The client retains ownership of career decisions.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4212"/>
        <w:gridCol w:w="4212"/>
      </w:tblGrid>
      <w:tr>
        <w:trPr>
          <w:cantSplit/>
          <w:cantSplit/>
          <w:cantSplit/>
          <w:tblHeader/>
        </w:trPr>
        <w:tc>
          <w:tcPr>
            <w:tcW w:type="dxa" w:w="1656"/>
            <w:vAlign w:val="center"/>
            <w:shd w:fill="3A0A10"/>
            <w:tcMar>
              <w:top w:w="90" w:type="dxa"/>
              <w:bottom w:w="90" w:type="dxa"/>
              <w:left w:w="90" w:type="dxa"/>
              <w:right w:w="90" w:type="dxa"/>
            </w:tcMar>
          </w:tcPr>
          <w:p>
            <w:pPr>
              <w:spacing w:after="60" w:line="259" w:lineRule="auto"/>
            </w:pPr>
            <w:r>
              <w:rPr>
                <w:b/>
                <w:color w:val="FFFFFF"/>
                <w:sz w:val="18"/>
              </w:rPr>
              <w:t>Attribute</w:t>
            </w:r>
          </w:p>
        </w:tc>
        <w:tc>
          <w:tcPr>
            <w:tcW w:type="dxa" w:w="4212"/>
            <w:vAlign w:val="center"/>
            <w:shd w:fill="3A0A10"/>
            <w:tcMar>
              <w:top w:w="90" w:type="dxa"/>
              <w:bottom w:w="90" w:type="dxa"/>
              <w:left w:w="90" w:type="dxa"/>
              <w:right w:w="90" w:type="dxa"/>
            </w:tcMar>
          </w:tcPr>
          <w:p>
            <w:pPr>
              <w:spacing w:after="60" w:line="259" w:lineRule="auto"/>
            </w:pPr>
            <w:r>
              <w:rPr>
                <w:b/>
                <w:color w:val="FFFFFF"/>
                <w:sz w:val="18"/>
              </w:rPr>
              <w:t>Samir the male coach</w:t>
            </w:r>
          </w:p>
        </w:tc>
        <w:tc>
          <w:tcPr>
            <w:tcW w:type="dxa" w:w="4212"/>
            <w:vAlign w:val="center"/>
            <w:shd w:fill="3A0A10"/>
            <w:tcMar>
              <w:top w:w="90" w:type="dxa"/>
              <w:bottom w:w="90" w:type="dxa"/>
              <w:left w:w="90" w:type="dxa"/>
              <w:right w:w="90" w:type="dxa"/>
            </w:tcMar>
          </w:tcPr>
          <w:p>
            <w:pPr>
              <w:spacing w:after="60" w:line="259" w:lineRule="auto"/>
            </w:pPr>
            <w:r>
              <w:rPr>
                <w:b/>
                <w:color w:val="FFFFFF"/>
                <w:sz w:val="18"/>
              </w:rPr>
              <w:t>Nour the female coach</w:t>
            </w:r>
          </w:p>
        </w:tc>
      </w:tr>
      <w:tr>
        <w:trPr>
          <w:cantSplit/>
          <w:cantSplit/>
          <w:cantSplit/>
        </w:trPr>
        <w:tc>
          <w:tcPr>
            <w:tcW w:type="dxa" w:w="1656"/>
            <w:vAlign w:val="center"/>
            <w:shd w:fill="FFFFFF"/>
            <w:tcMar>
              <w:top w:w="90" w:type="dxa"/>
              <w:bottom w:w="90" w:type="dxa"/>
              <w:left w:w="90" w:type="dxa"/>
              <w:right w:w="90" w:type="dxa"/>
            </w:tcMar>
          </w:tcPr>
          <w:p>
            <w:pPr>
              <w:spacing w:after="60" w:line="259" w:lineRule="auto"/>
            </w:pPr>
            <w:r>
              <w:rPr>
                <w:b w:val="0"/>
                <w:color w:val="242427"/>
                <w:sz w:val="18"/>
              </w:rPr>
              <w:t>Age and presence</w:t>
            </w:r>
          </w:p>
        </w:tc>
        <w:tc>
          <w:tcPr>
            <w:tcW w:type="dxa" w:w="4212"/>
            <w:vAlign w:val="center"/>
            <w:shd w:fill="FFFFFF"/>
            <w:tcMar>
              <w:top w:w="90" w:type="dxa"/>
              <w:bottom w:w="90" w:type="dxa"/>
              <w:left w:w="90" w:type="dxa"/>
              <w:right w:w="90" w:type="dxa"/>
            </w:tcMar>
          </w:tcPr>
          <w:p>
            <w:pPr>
              <w:spacing w:after="60" w:line="259" w:lineRule="auto"/>
            </w:pPr>
            <w:r>
              <w:rPr>
                <w:b w:val="0"/>
                <w:color w:val="242427"/>
                <w:sz w:val="18"/>
              </w:rPr>
              <w:t>Approximately 42–48. Mature, warm and approachable.</w:t>
            </w:r>
          </w:p>
        </w:tc>
        <w:tc>
          <w:tcPr>
            <w:tcW w:type="dxa" w:w="4212"/>
            <w:vAlign w:val="center"/>
            <w:shd w:fill="FFFFFF"/>
            <w:tcMar>
              <w:top w:w="90" w:type="dxa"/>
              <w:bottom w:w="90" w:type="dxa"/>
              <w:left w:w="90" w:type="dxa"/>
              <w:right w:w="90" w:type="dxa"/>
            </w:tcMar>
          </w:tcPr>
          <w:p>
            <w:pPr>
              <w:spacing w:after="60" w:line="259" w:lineRule="auto"/>
            </w:pPr>
            <w:r>
              <w:rPr>
                <w:b w:val="0"/>
                <w:color w:val="242427"/>
                <w:sz w:val="18"/>
              </w:rPr>
              <w:t>Approximately 38–42. Mature, warm and approachable.</w:t>
            </w:r>
          </w:p>
        </w:tc>
      </w:tr>
      <w:tr>
        <w:trPr>
          <w:cantSplit/>
          <w:cantSplit/>
          <w:cantSplit/>
        </w:trPr>
        <w:tc>
          <w:tcPr>
            <w:tcW w:type="dxa" w:w="1656"/>
            <w:vAlign w:val="center"/>
            <w:shd w:fill="F5F5F6"/>
            <w:tcMar>
              <w:top w:w="90" w:type="dxa"/>
              <w:bottom w:w="90" w:type="dxa"/>
              <w:left w:w="90" w:type="dxa"/>
              <w:right w:w="90" w:type="dxa"/>
            </w:tcMar>
          </w:tcPr>
          <w:p>
            <w:pPr>
              <w:spacing w:after="60" w:line="259" w:lineRule="auto"/>
            </w:pPr>
            <w:r>
              <w:rPr>
                <w:b w:val="0"/>
                <w:color w:val="242427"/>
                <w:sz w:val="18"/>
              </w:rPr>
              <w:t>Face and eyes</w:t>
            </w:r>
          </w:p>
        </w:tc>
        <w:tc>
          <w:tcPr>
            <w:tcW w:type="dxa" w:w="4212"/>
            <w:vAlign w:val="center"/>
            <w:shd w:fill="F5F5F6"/>
            <w:tcMar>
              <w:top w:w="90" w:type="dxa"/>
              <w:bottom w:w="90" w:type="dxa"/>
              <w:left w:w="90" w:type="dxa"/>
              <w:right w:w="90" w:type="dxa"/>
            </w:tcMar>
          </w:tcPr>
          <w:p>
            <w:pPr>
              <w:spacing w:after="60" w:line="259" w:lineRule="auto"/>
            </w:pPr>
            <w:r>
              <w:rPr>
                <w:b w:val="0"/>
                <w:color w:val="242427"/>
                <w:sz w:val="18"/>
              </w:rPr>
              <w:t>Warm medium olive-brown skin, natural brown eyes, neatly trimmed short beard and moustache.</w:t>
            </w:r>
          </w:p>
        </w:tc>
        <w:tc>
          <w:tcPr>
            <w:tcW w:type="dxa" w:w="4212"/>
            <w:vAlign w:val="center"/>
            <w:shd w:fill="F5F5F6"/>
            <w:tcMar>
              <w:top w:w="90" w:type="dxa"/>
              <w:bottom w:w="90" w:type="dxa"/>
              <w:left w:w="90" w:type="dxa"/>
              <w:right w:w="90" w:type="dxa"/>
            </w:tcMar>
          </w:tcPr>
          <w:p>
            <w:pPr>
              <w:spacing w:after="60" w:line="259" w:lineRule="auto"/>
            </w:pPr>
            <w:r>
              <w:rPr>
                <w:b w:val="0"/>
                <w:color w:val="242427"/>
                <w:sz w:val="18"/>
              </w:rPr>
              <w:t>Medium warm olive skin, oval face, natural brown almond-shaped eyes.</w:t>
            </w:r>
          </w:p>
        </w:tc>
      </w:tr>
      <w:tr>
        <w:trPr>
          <w:cantSplit/>
          <w:cantSplit/>
          <w:cantSplit/>
        </w:trPr>
        <w:tc>
          <w:tcPr>
            <w:tcW w:type="dxa" w:w="1656"/>
            <w:vAlign w:val="center"/>
            <w:shd w:fill="FFFFFF"/>
            <w:tcMar>
              <w:top w:w="90" w:type="dxa"/>
              <w:bottom w:w="90" w:type="dxa"/>
              <w:left w:w="90" w:type="dxa"/>
              <w:right w:w="90" w:type="dxa"/>
            </w:tcMar>
          </w:tcPr>
          <w:p>
            <w:pPr>
              <w:spacing w:after="60" w:line="259" w:lineRule="auto"/>
            </w:pPr>
            <w:r>
              <w:rPr>
                <w:b w:val="0"/>
                <w:color w:val="242427"/>
                <w:sz w:val="18"/>
              </w:rPr>
              <w:t>Hair</w:t>
            </w:r>
          </w:p>
        </w:tc>
        <w:tc>
          <w:tcPr>
            <w:tcW w:type="dxa" w:w="4212"/>
            <w:vAlign w:val="center"/>
            <w:shd w:fill="FFFFFF"/>
            <w:tcMar>
              <w:top w:w="90" w:type="dxa"/>
              <w:bottom w:w="90" w:type="dxa"/>
              <w:left w:w="90" w:type="dxa"/>
              <w:right w:w="90" w:type="dxa"/>
            </w:tcMar>
          </w:tcPr>
          <w:p>
            <w:pPr>
              <w:spacing w:after="60" w:line="259" w:lineRule="auto"/>
            </w:pPr>
            <w:r>
              <w:rPr>
                <w:b w:val="0"/>
                <w:color w:val="242427"/>
                <w:sz w:val="18"/>
              </w:rPr>
              <w:t>Short dark brown hair, neatly groomed, with subtle grey at the temples.</w:t>
            </w:r>
          </w:p>
        </w:tc>
        <w:tc>
          <w:tcPr>
            <w:tcW w:type="dxa" w:w="4212"/>
            <w:vAlign w:val="center"/>
            <w:shd w:fill="FFFFFF"/>
            <w:tcMar>
              <w:top w:w="90" w:type="dxa"/>
              <w:bottom w:w="90" w:type="dxa"/>
              <w:left w:w="90" w:type="dxa"/>
              <w:right w:w="90" w:type="dxa"/>
            </w:tcMar>
          </w:tcPr>
          <w:p>
            <w:pPr>
              <w:spacing w:after="60" w:line="259" w:lineRule="auto"/>
            </w:pPr>
            <w:r>
              <w:rPr>
                <w:b w:val="0"/>
                <w:color w:val="242427"/>
                <w:sz w:val="18"/>
              </w:rPr>
              <w:t>Dark brown shoulder-length wavy hair with a side part.</w:t>
            </w:r>
          </w:p>
        </w:tc>
      </w:tr>
      <w:tr>
        <w:trPr>
          <w:cantSplit/>
          <w:cantSplit/>
          <w:cantSplit/>
        </w:trPr>
        <w:tc>
          <w:tcPr>
            <w:tcW w:type="dxa" w:w="1656"/>
            <w:vAlign w:val="center"/>
            <w:shd w:fill="F5F5F6"/>
            <w:tcMar>
              <w:top w:w="90" w:type="dxa"/>
              <w:bottom w:w="90" w:type="dxa"/>
              <w:left w:w="90" w:type="dxa"/>
              <w:right w:w="90" w:type="dxa"/>
            </w:tcMar>
          </w:tcPr>
          <w:p>
            <w:pPr>
              <w:spacing w:after="60" w:line="259" w:lineRule="auto"/>
            </w:pPr>
            <w:r>
              <w:rPr>
                <w:b w:val="0"/>
                <w:color w:val="242427"/>
                <w:sz w:val="18"/>
              </w:rPr>
              <w:t>Clothing</w:t>
            </w:r>
          </w:p>
        </w:tc>
        <w:tc>
          <w:tcPr>
            <w:tcW w:type="dxa" w:w="4212"/>
            <w:vAlign w:val="center"/>
            <w:shd w:fill="F5F5F6"/>
            <w:tcMar>
              <w:top w:w="90" w:type="dxa"/>
              <w:bottom w:w="90" w:type="dxa"/>
              <w:left w:w="90" w:type="dxa"/>
              <w:right w:w="90" w:type="dxa"/>
            </w:tcMar>
          </w:tcPr>
          <w:p>
            <w:pPr>
              <w:spacing w:after="60" w:line="259" w:lineRule="auto"/>
            </w:pPr>
            <w:r>
              <w:rPr>
                <w:b w:val="0"/>
                <w:color w:val="242427"/>
                <w:sz w:val="18"/>
              </w:rPr>
              <w:t>Burgundy open blazer, ivory open-collar shirt, charcoal tailored trousers and charcoal leather shoes. No tie.</w:t>
            </w:r>
          </w:p>
        </w:tc>
        <w:tc>
          <w:tcPr>
            <w:tcW w:type="dxa" w:w="4212"/>
            <w:vAlign w:val="center"/>
            <w:shd w:fill="F5F5F6"/>
            <w:tcMar>
              <w:top w:w="90" w:type="dxa"/>
              <w:bottom w:w="90" w:type="dxa"/>
              <w:left w:w="90" w:type="dxa"/>
              <w:right w:w="90" w:type="dxa"/>
            </w:tcMar>
          </w:tcPr>
          <w:p>
            <w:pPr>
              <w:spacing w:after="60" w:line="259" w:lineRule="auto"/>
            </w:pPr>
            <w:r>
              <w:rPr>
                <w:b w:val="0"/>
                <w:color w:val="242427"/>
                <w:sz w:val="18"/>
              </w:rPr>
              <w:t>Burgundy open blazer, ivory softly open-neck blouse, charcoal tailored trousers and flat charcoal loafers.</w:t>
            </w:r>
          </w:p>
        </w:tc>
      </w:tr>
      <w:tr>
        <w:trPr>
          <w:cantSplit/>
          <w:cantSplit/>
          <w:cantSplit/>
        </w:trPr>
        <w:tc>
          <w:tcPr>
            <w:tcW w:type="dxa" w:w="1656"/>
            <w:vAlign w:val="center"/>
            <w:shd w:fill="FFFFFF"/>
            <w:tcMar>
              <w:top w:w="90" w:type="dxa"/>
              <w:bottom w:w="90" w:type="dxa"/>
              <w:left w:w="90" w:type="dxa"/>
              <w:right w:w="90" w:type="dxa"/>
            </w:tcMar>
          </w:tcPr>
          <w:p>
            <w:pPr>
              <w:spacing w:after="60" w:line="259" w:lineRule="auto"/>
            </w:pPr>
            <w:r>
              <w:rPr>
                <w:b w:val="0"/>
                <w:color w:val="242427"/>
                <w:sz w:val="18"/>
              </w:rPr>
              <w:t>Appearance</w:t>
            </w:r>
          </w:p>
        </w:tc>
        <w:tc>
          <w:tcPr>
            <w:tcW w:type="dxa" w:w="4212"/>
            <w:vAlign w:val="center"/>
            <w:shd w:fill="FFFFFF"/>
            <w:tcMar>
              <w:top w:w="90" w:type="dxa"/>
              <w:bottom w:w="90" w:type="dxa"/>
              <w:left w:w="90" w:type="dxa"/>
              <w:right w:w="90" w:type="dxa"/>
            </w:tcMar>
          </w:tcPr>
          <w:p>
            <w:pPr>
              <w:spacing w:after="60" w:line="259" w:lineRule="auto"/>
            </w:pPr>
            <w:r>
              <w:rPr>
                <w:b w:val="0"/>
                <w:color w:val="242427"/>
                <w:sz w:val="18"/>
              </w:rPr>
              <w:t>Natural photographic realism: adult anatomy, subtle skin texture, individual hair strands and believable fabric folds.</w:t>
            </w:r>
          </w:p>
        </w:tc>
        <w:tc>
          <w:tcPr>
            <w:tcW w:type="dxa" w:w="4212"/>
            <w:vAlign w:val="center"/>
            <w:shd w:fill="FFFFFF"/>
            <w:tcMar>
              <w:top w:w="90" w:type="dxa"/>
              <w:bottom w:w="90" w:type="dxa"/>
              <w:left w:w="90" w:type="dxa"/>
              <w:right w:w="90" w:type="dxa"/>
            </w:tcMar>
          </w:tcPr>
          <w:p>
            <w:pPr>
              <w:spacing w:after="60" w:line="259" w:lineRule="auto"/>
            </w:pPr>
            <w:r>
              <w:rPr>
                <w:b w:val="0"/>
                <w:color w:val="242427"/>
                <w:sz w:val="18"/>
              </w:rPr>
              <w:t>The same photographic realism, soft studio light and professional presence as Samir.</w:t>
            </w:r>
          </w:p>
        </w:tc>
      </w:tr>
      <w:tr>
        <w:trPr>
          <w:cantSplit/>
          <w:cantSplit/>
          <w:cantSplit/>
        </w:trPr>
        <w:tc>
          <w:tcPr>
            <w:tcW w:type="dxa" w:w="1656"/>
            <w:vAlign w:val="center"/>
            <w:shd w:fill="F5F5F6"/>
            <w:tcMar>
              <w:top w:w="90" w:type="dxa"/>
              <w:bottom w:w="90" w:type="dxa"/>
              <w:left w:w="90" w:type="dxa"/>
              <w:right w:w="90" w:type="dxa"/>
            </w:tcMar>
          </w:tcPr>
          <w:p>
            <w:pPr>
              <w:spacing w:after="60" w:line="259" w:lineRule="auto"/>
            </w:pPr>
            <w:r>
              <w:rPr>
                <w:b w:val="0"/>
                <w:color w:val="242427"/>
                <w:sz w:val="18"/>
              </w:rPr>
              <w:t>Props</w:t>
            </w:r>
          </w:p>
        </w:tc>
        <w:tc>
          <w:tcPr>
            <w:tcW w:type="dxa" w:w="4212"/>
            <w:vAlign w:val="center"/>
            <w:shd w:fill="F5F5F6"/>
            <w:tcMar>
              <w:top w:w="90" w:type="dxa"/>
              <w:bottom w:w="90" w:type="dxa"/>
              <w:left w:w="90" w:type="dxa"/>
              <w:right w:w="90" w:type="dxa"/>
            </w:tcMar>
          </w:tcPr>
          <w:p>
            <w:pPr>
              <w:spacing w:after="60" w:line="259" w:lineRule="auto"/>
            </w:pPr>
            <w:r>
              <w:rPr>
                <w:b w:val="0"/>
                <w:color w:val="242427"/>
                <w:sz w:val="18"/>
              </w:rPr>
              <w:t>Ivory notebook, burgundy pen, neutral option cards and a simple light chair.</w:t>
            </w:r>
          </w:p>
        </w:tc>
        <w:tc>
          <w:tcPr>
            <w:tcW w:type="dxa" w:w="4212"/>
            <w:vAlign w:val="center"/>
            <w:shd w:fill="F5F5F6"/>
            <w:tcMar>
              <w:top w:w="90" w:type="dxa"/>
              <w:bottom w:w="90" w:type="dxa"/>
              <w:left w:w="90" w:type="dxa"/>
              <w:right w:w="90" w:type="dxa"/>
            </w:tcMar>
          </w:tcPr>
          <w:p>
            <w:pPr>
              <w:spacing w:after="60" w:line="259" w:lineRule="auto"/>
            </w:pPr>
            <w:r>
              <w:rPr>
                <w:b w:val="0"/>
                <w:color w:val="242427"/>
                <w:sz w:val="18"/>
              </w:rPr>
              <w:t>The same props, scale and visual treatment as Samir.</w:t>
            </w:r>
          </w:p>
        </w:tc>
      </w:tr>
      <w:tr>
        <w:trPr>
          <w:cantSplit/>
          <w:cantSplit/>
          <w:cantSplit/>
        </w:trPr>
        <w:tc>
          <w:tcPr>
            <w:tcW w:type="dxa" w:w="1656"/>
            <w:vAlign w:val="center"/>
            <w:shd w:fill="FFFFFF"/>
            <w:tcMar>
              <w:top w:w="90" w:type="dxa"/>
              <w:bottom w:w="90" w:type="dxa"/>
              <w:left w:w="90" w:type="dxa"/>
              <w:right w:w="90" w:type="dxa"/>
            </w:tcMar>
          </w:tcPr>
          <w:p>
            <w:pPr>
              <w:spacing w:after="60" w:line="259" w:lineRule="auto"/>
            </w:pPr>
            <w:r>
              <w:rPr>
                <w:b w:val="0"/>
                <w:color w:val="242427"/>
                <w:sz w:val="18"/>
              </w:rPr>
              <w:t>Role</w:t>
            </w:r>
          </w:p>
        </w:tc>
        <w:tc>
          <w:tcPr>
            <w:tcW w:type="dxa" w:w="4212"/>
            <w:vAlign w:val="center"/>
            <w:shd w:fill="FFFFFF"/>
            <w:tcMar>
              <w:top w:w="90" w:type="dxa"/>
              <w:bottom w:w="90" w:type="dxa"/>
              <w:left w:w="90" w:type="dxa"/>
              <w:right w:w="90" w:type="dxa"/>
            </w:tcMar>
          </w:tcPr>
          <w:p>
            <w:pPr>
              <w:spacing w:after="60" w:line="259" w:lineRule="auto"/>
            </w:pPr>
            <w:r>
              <w:rPr>
                <w:b w:val="0"/>
                <w:color w:val="242427"/>
                <w:sz w:val="18"/>
              </w:rPr>
              <w:t>Listens, asks questions and helps the client compare options.</w:t>
            </w:r>
          </w:p>
        </w:tc>
        <w:tc>
          <w:tcPr>
            <w:tcW w:type="dxa" w:w="4212"/>
            <w:vAlign w:val="center"/>
            <w:shd w:fill="FFFFFF"/>
            <w:tcMar>
              <w:top w:w="90" w:type="dxa"/>
              <w:bottom w:w="90" w:type="dxa"/>
              <w:left w:w="90" w:type="dxa"/>
              <w:right w:w="90" w:type="dxa"/>
            </w:tcMar>
          </w:tcPr>
          <w:p>
            <w:pPr>
              <w:spacing w:after="60" w:line="259" w:lineRule="auto"/>
            </w:pPr>
            <w:r>
              <w:rPr>
                <w:b w:val="0"/>
                <w:color w:val="242427"/>
                <w:sz w:val="18"/>
              </w:rPr>
              <w:t>Listens, asks questions and helps the client compare options.</w:t>
            </w:r>
          </w:p>
        </w:tc>
      </w:tr>
    </w:tbl>
    <w:p>
      <w:pPr>
        <w:pStyle w:val="Heading2"/>
      </w:pPr>
      <w:r>
        <w:t>Matching views and expressions</w:t>
      </w:r>
    </w:p>
    <w:p>
      <w:r>
        <w:t>Each coach has front, three-quarter and profile views, plus listening, curious and encouraging expressions. Keep emotions subtle. Give both characters the same range of actions and equal visual prominence.</w:t>
      </w:r>
    </w:p>
    <w:p>
      <w:pPr>
        <w:pStyle w:val="Heading2"/>
      </w:pPr>
      <w:r>
        <w:t>Shared coaching poses</w:t>
      </w:r>
    </w:p>
    <w:p>
      <w:r>
        <w:t>Active Listening: seated with an open posture and notebook on the lap, attending to the speaker. Exploring Options: standing with two equally sized option cards, inviting reflection. Additional production poses can include reviewing a profile, asking an open question and recording agreed next steps.</w:t>
      </w:r>
    </w:p>
    <w:p>
      <w:pPr>
        <w:pStyle w:val="Heading2"/>
      </w:pPr>
      <w:r>
        <w:t>Character continuity</w:t>
      </w:r>
    </w:p>
    <w:p>
      <w:r>
        <w:t>Lock each coach’s facial structure, complexion, hair, outfit, shoes, adult proportions and lighting. Keep expressions and gestures consistent with the updated realistic sheet on the next page. Neither fictional character carries an accreditation claim or represents an actual facilitator.</w:t>
      </w:r>
    </w:p>
    <w:p>
      <w:pPr>
        <w:pStyle w:val="Title"/>
        <w:pageBreakBefore/>
      </w:pPr>
      <w:r>
        <w:t>Combined Coach Visual Reference</w:t>
      </w:r>
    </w:p>
    <w:p>
      <w:r>
        <w:t>Use this sheet as the shared visual reference for Samir and Nour throughout the ASSESS SHIFT campaign.</w:t>
      </w:r>
    </w:p>
    <w:p>
      <w:pPr>
        <w:jc w:val="center"/>
      </w:pPr>
      <w:r>
        <w:drawing>
          <wp:inline xmlns:a="http://schemas.openxmlformats.org/drawingml/2006/main" xmlns:pic="http://schemas.openxmlformats.org/drawingml/2006/picture">
            <wp:extent cx="6400800" cy="4267200"/>
            <wp:docPr id="1" name="Picture 1"/>
            <wp:cNvGraphicFramePr>
              <a:graphicFrameLocks noChangeAspect="1"/>
            </wp:cNvGraphicFramePr>
            <a:graphic>
              <a:graphicData uri="http://schemas.openxmlformats.org/drawingml/2006/picture">
                <pic:pic>
                  <pic:nvPicPr>
                    <pic:cNvPr id="0" name="exec-ec2c91e9-9409-40e3-8ed1-88b39eb0a0f1.png"/>
                    <pic:cNvPicPr/>
                  </pic:nvPicPr>
                  <pic:blipFill>
                    <a:blip r:embed="rId9"/>
                    <a:stretch>
                      <a:fillRect/>
                    </a:stretch>
                  </pic:blipFill>
                  <pic:spPr>
                    <a:xfrm>
                      <a:off x="0" y="0"/>
                      <a:ext cx="6400800" cy="4267200"/>
                    </a:xfrm>
                    <a:prstGeom prst="rect"/>
                  </pic:spPr>
                </pic:pic>
              </a:graphicData>
            </a:graphic>
          </wp:inline>
        </w:drawing>
      </w:r>
    </w:p>
    <w:p>
      <w:pPr>
        <w:pStyle w:val="Heading2"/>
      </w:pPr>
      <w:r>
        <w:t>Use in animation</w:t>
      </w:r>
    </w:p>
    <w:p>
      <w:r>
        <w:t>Use the updated realistic appearance in every scene. Prepare separate transparent pose assets. Animate the whole cutout with restrained translation, camera depth and pose changes. The board is a static reference, not a rig. Full body gestures and lip sync require suitable animation assets.</w:t>
      </w:r>
    </w:p>
    <w:p>
      <w:pPr>
        <w:pStyle w:val="Heading2"/>
      </w:pPr>
      <w:r>
        <w:t>Prompt for further character assets</w:t>
      </w:r>
    </w:p>
    <w:p>
      <w:r>
        <w:t>Use the supplied realistic coach reference. Render the specified coach and pose with natural photographic skin, hair and fabric detail, soft warm studio light and believable anatomy. Preserve face, hair, wardrobe and adult proportions. Use calm expressions and open gestures. Keep the full body visible. Avoid text, credentials, extra fingers and plastic skin.</w:t>
      </w:r>
    </w:p>
    <w:p>
      <w:pPr>
        <w:pStyle w:val="Title"/>
        <w:pageBreakBefore/>
      </w:pPr>
      <w:r>
        <w:t>Introduction Video Storyboard</w:t>
      </w:r>
    </w:p>
    <w:p>
      <w:r>
        <w:t>Concept: an experienced professional moves from an unresolved career question to a clearer way of making the decision. Target duration is 75 seconds; final scene lengths follow the recorded voiceover.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6120"/>
        <w:gridCol w:w="3024"/>
      </w:tblGrid>
      <w:tr>
        <w:trPr>
          <w:cantSplit/>
          <w:cantSplit/>
          <w:cantSplit/>
          <w:tblHeader/>
        </w:trPr>
        <w:tc>
          <w:tcPr>
            <w:tcW w:type="dxa" w:w="936"/>
            <w:vAlign w:val="center"/>
            <w:shd w:fill="3A0A10"/>
            <w:tcMar>
              <w:top w:w="90" w:type="dxa"/>
              <w:bottom w:w="90" w:type="dxa"/>
              <w:left w:w="90" w:type="dxa"/>
              <w:right w:w="90" w:type="dxa"/>
            </w:tcMar>
          </w:tcPr>
          <w:p>
            <w:pPr>
              <w:spacing w:after="60" w:line="259" w:lineRule="auto"/>
            </w:pPr>
            <w:r>
              <w:rPr>
                <w:b/>
                <w:color w:val="FFFFFF"/>
                <w:sz w:val="18"/>
              </w:rPr>
              <w:t>Time</w:t>
            </w:r>
          </w:p>
        </w:tc>
        <w:tc>
          <w:tcPr>
            <w:tcW w:type="dxa" w:w="6120"/>
            <w:vAlign w:val="center"/>
            <w:shd w:fill="3A0A10"/>
            <w:tcMar>
              <w:top w:w="90" w:type="dxa"/>
              <w:bottom w:w="90" w:type="dxa"/>
              <w:left w:w="90" w:type="dxa"/>
              <w:right w:w="90" w:type="dxa"/>
            </w:tcMar>
          </w:tcPr>
          <w:p>
            <w:pPr>
              <w:spacing w:after="60" w:line="259" w:lineRule="auto"/>
            </w:pPr>
            <w:r>
              <w:rPr>
                <w:b/>
                <w:color w:val="FFFFFF"/>
                <w:sz w:val="18"/>
              </w:rPr>
              <w:t>Scene and motion</w:t>
            </w:r>
          </w:p>
        </w:tc>
        <w:tc>
          <w:tcPr>
            <w:tcW w:type="dxa" w:w="3024"/>
            <w:vAlign w:val="center"/>
            <w:shd w:fill="3A0A10"/>
            <w:tcMar>
              <w:top w:w="90" w:type="dxa"/>
              <w:bottom w:w="90" w:type="dxa"/>
              <w:left w:w="90" w:type="dxa"/>
              <w:right w:w="90" w:type="dxa"/>
            </w:tcMar>
          </w:tcPr>
          <w:p>
            <w:pPr>
              <w:spacing w:after="60" w:line="259" w:lineRule="auto"/>
            </w:pPr>
            <w:r>
              <w:rPr>
                <w:b/>
                <w:color w:val="FFFFFF"/>
                <w:sz w:val="18"/>
              </w:rPr>
              <w:t>On screen copy</w:t>
            </w:r>
          </w:p>
        </w:tc>
      </w:tr>
      <w:tr>
        <w:trPr>
          <w:cantSplit/>
          <w:cantSplit/>
          <w:cantSplit/>
        </w:trPr>
        <w:tc>
          <w:tcPr>
            <w:tcW w:type="dxa" w:w="936"/>
            <w:vAlign w:val="center"/>
            <w:shd w:fill="FFFFFF"/>
            <w:tcMar>
              <w:top w:w="90" w:type="dxa"/>
              <w:bottom w:w="90" w:type="dxa"/>
              <w:left w:w="90" w:type="dxa"/>
              <w:right w:w="90" w:type="dxa"/>
            </w:tcMar>
          </w:tcPr>
          <w:p>
            <w:pPr>
              <w:spacing w:after="60" w:line="259" w:lineRule="auto"/>
            </w:pPr>
            <w:r>
              <w:rPr>
                <w:b w:val="0"/>
                <w:color w:val="242427"/>
                <w:sz w:val="18"/>
              </w:rPr>
              <w:t>00–07</w:t>
            </w:r>
          </w:p>
        </w:tc>
        <w:tc>
          <w:tcPr>
            <w:tcW w:type="dxa" w:w="6120"/>
            <w:vAlign w:val="center"/>
            <w:shd w:fill="FFFFFF"/>
            <w:tcMar>
              <w:top w:w="90" w:type="dxa"/>
              <w:bottom w:w="90" w:type="dxa"/>
              <w:left w:w="90" w:type="dxa"/>
              <w:right w:w="90" w:type="dxa"/>
            </w:tcMar>
          </w:tcPr>
          <w:p>
            <w:pPr>
              <w:spacing w:after="60" w:line="259" w:lineRule="auto"/>
            </w:pPr>
            <w:r>
              <w:rPr>
                <w:b w:val="0"/>
                <w:color w:val="242427"/>
                <w:sz w:val="18"/>
              </w:rPr>
              <w:t>Nour appears as a coach beside the viewer’s career question, with an attentive expression.</w:t>
            </w:r>
          </w:p>
        </w:tc>
        <w:tc>
          <w:tcPr>
            <w:tcW w:type="dxa" w:w="3024"/>
            <w:vAlign w:val="center"/>
            <w:shd w:fill="FFFFFF"/>
            <w:tcMar>
              <w:top w:w="90" w:type="dxa"/>
              <w:bottom w:w="90" w:type="dxa"/>
              <w:left w:w="90" w:type="dxa"/>
              <w:right w:w="90" w:type="dxa"/>
            </w:tcMar>
          </w:tcPr>
          <w:p>
            <w:pPr>
              <w:spacing w:after="60" w:line="259" w:lineRule="auto"/>
            </w:pPr>
            <w:r>
              <w:rPr>
                <w:b w:val="0"/>
                <w:color w:val="242427"/>
                <w:sz w:val="18"/>
              </w:rPr>
              <w:t>What comes next?</w:t>
            </w:r>
          </w:p>
        </w:tc>
      </w:tr>
      <w:tr>
        <w:trPr>
          <w:cantSplit/>
          <w:cantSplit/>
          <w:cantSplit/>
        </w:trPr>
        <w:tc>
          <w:tcPr>
            <w:tcW w:type="dxa" w:w="936"/>
            <w:vAlign w:val="center"/>
            <w:shd w:fill="F5F5F6"/>
            <w:tcMar>
              <w:top w:w="90" w:type="dxa"/>
              <w:bottom w:w="90" w:type="dxa"/>
              <w:left w:w="90" w:type="dxa"/>
              <w:right w:w="90" w:type="dxa"/>
            </w:tcMar>
          </w:tcPr>
          <w:p>
            <w:pPr>
              <w:spacing w:after="60" w:line="259" w:lineRule="auto"/>
            </w:pPr>
            <w:r>
              <w:rPr>
                <w:b w:val="0"/>
                <w:color w:val="242427"/>
                <w:sz w:val="18"/>
              </w:rPr>
              <w:t>07–16</w:t>
            </w:r>
          </w:p>
        </w:tc>
        <w:tc>
          <w:tcPr>
            <w:tcW w:type="dxa" w:w="6120"/>
            <w:vAlign w:val="center"/>
            <w:shd w:fill="F5F5F6"/>
            <w:tcMar>
              <w:top w:w="90" w:type="dxa"/>
              <w:bottom w:w="90" w:type="dxa"/>
              <w:left w:w="90" w:type="dxa"/>
              <w:right w:w="90" w:type="dxa"/>
            </w:tcMar>
          </w:tcPr>
          <w:p>
            <w:pPr>
              <w:spacing w:after="60" w:line="259" w:lineRule="auto"/>
            </w:pPr>
            <w:r>
              <w:rPr>
                <w:b w:val="0"/>
                <w:color w:val="242427"/>
                <w:sz w:val="18"/>
              </w:rPr>
              <w:t>Three neutral option cards appear: a new role, a new field, an independent path.</w:t>
            </w:r>
          </w:p>
        </w:tc>
        <w:tc>
          <w:tcPr>
            <w:tcW w:type="dxa" w:w="3024"/>
            <w:vAlign w:val="center"/>
            <w:shd w:fill="F5F5F6"/>
            <w:tcMar>
              <w:top w:w="90" w:type="dxa"/>
              <w:bottom w:w="90" w:type="dxa"/>
              <w:left w:w="90" w:type="dxa"/>
              <w:right w:w="90" w:type="dxa"/>
            </w:tcMar>
          </w:tcPr>
          <w:p>
            <w:pPr>
              <w:spacing w:after="60" w:line="259" w:lineRule="auto"/>
            </w:pPr>
            <w:r>
              <w:rPr>
                <w:b w:val="0"/>
                <w:color w:val="242427"/>
                <w:sz w:val="18"/>
              </w:rPr>
              <w:t>A new role? A new direction?</w:t>
            </w:r>
          </w:p>
        </w:tc>
      </w:tr>
      <w:tr>
        <w:trPr>
          <w:cantSplit/>
          <w:cantSplit/>
          <w:cantSplit/>
        </w:trPr>
        <w:tc>
          <w:tcPr>
            <w:tcW w:type="dxa" w:w="936"/>
            <w:vAlign w:val="center"/>
            <w:shd w:fill="FFFFFF"/>
            <w:tcMar>
              <w:top w:w="90" w:type="dxa"/>
              <w:bottom w:w="90" w:type="dxa"/>
              <w:left w:w="90" w:type="dxa"/>
              <w:right w:w="90" w:type="dxa"/>
            </w:tcMar>
          </w:tcPr>
          <w:p>
            <w:pPr>
              <w:spacing w:after="60" w:line="259" w:lineRule="auto"/>
            </w:pPr>
            <w:r>
              <w:rPr>
                <w:b w:val="0"/>
                <w:color w:val="242427"/>
                <w:sz w:val="18"/>
              </w:rPr>
              <w:t>16–25</w:t>
            </w:r>
          </w:p>
        </w:tc>
        <w:tc>
          <w:tcPr>
            <w:tcW w:type="dxa" w:w="6120"/>
            <w:vAlign w:val="center"/>
            <w:shd w:fill="FFFFFF"/>
            <w:tcMar>
              <w:top w:w="90" w:type="dxa"/>
              <w:bottom w:w="90" w:type="dxa"/>
              <w:left w:w="90" w:type="dxa"/>
              <w:right w:w="90" w:type="dxa"/>
            </w:tcMar>
          </w:tcPr>
          <w:p>
            <w:pPr>
              <w:spacing w:after="60" w:line="259" w:lineRule="auto"/>
            </w:pPr>
            <w:r>
              <w:rPr>
                <w:b w:val="0"/>
                <w:color w:val="242427"/>
                <w:sz w:val="18"/>
              </w:rPr>
              <w:t>The path motif introduces the service name. Both coach portraits appear with equal prominence.</w:t>
            </w:r>
          </w:p>
        </w:tc>
        <w:tc>
          <w:tcPr>
            <w:tcW w:type="dxa" w:w="3024"/>
            <w:vAlign w:val="center"/>
            <w:shd w:fill="FFFFFF"/>
            <w:tcMar>
              <w:top w:w="90" w:type="dxa"/>
              <w:bottom w:w="90" w:type="dxa"/>
              <w:left w:w="90" w:type="dxa"/>
              <w:right w:w="90" w:type="dxa"/>
            </w:tcMar>
          </w:tcPr>
          <w:p>
            <w:pPr>
              <w:spacing w:after="60" w:line="259" w:lineRule="auto"/>
            </w:pPr>
            <w:r>
              <w:rPr>
                <w:b w:val="0"/>
                <w:color w:val="242427"/>
                <w:sz w:val="18"/>
              </w:rPr>
              <w:t>ASSESS SHIFT</w:t>
              <w:br/>
              <w:t>Career Coaching</w:t>
            </w:r>
          </w:p>
        </w:tc>
      </w:tr>
      <w:tr>
        <w:trPr>
          <w:cantSplit/>
          <w:cantSplit/>
          <w:cantSplit/>
        </w:trPr>
        <w:tc>
          <w:tcPr>
            <w:tcW w:type="dxa" w:w="936"/>
            <w:vAlign w:val="center"/>
            <w:shd w:fill="F5F5F6"/>
            <w:tcMar>
              <w:top w:w="90" w:type="dxa"/>
              <w:bottom w:w="90" w:type="dxa"/>
              <w:left w:w="90" w:type="dxa"/>
              <w:right w:w="90" w:type="dxa"/>
            </w:tcMar>
          </w:tcPr>
          <w:p>
            <w:pPr>
              <w:spacing w:after="60" w:line="259" w:lineRule="auto"/>
            </w:pPr>
            <w:r>
              <w:rPr>
                <w:b w:val="0"/>
                <w:color w:val="242427"/>
                <w:sz w:val="18"/>
              </w:rPr>
              <w:t>25–38</w:t>
            </w:r>
          </w:p>
        </w:tc>
        <w:tc>
          <w:tcPr>
            <w:tcW w:type="dxa" w:w="6120"/>
            <w:vAlign w:val="center"/>
            <w:shd w:fill="F5F5F6"/>
            <w:tcMar>
              <w:top w:w="90" w:type="dxa"/>
              <w:bottom w:w="90" w:type="dxa"/>
              <w:left w:w="90" w:type="dxa"/>
              <w:right w:w="90" w:type="dxa"/>
            </w:tcMar>
          </w:tcPr>
          <w:p>
            <w:pPr>
              <w:spacing w:after="60" w:line="259" w:lineRule="auto"/>
            </w:pPr>
            <w:r>
              <w:rPr>
                <w:b w:val="0"/>
                <w:color w:val="242427"/>
                <w:sz w:val="18"/>
              </w:rPr>
              <w:t>Samir introduces interests and motivation cards, then adopts an attentive listening pose.</w:t>
            </w:r>
          </w:p>
        </w:tc>
        <w:tc>
          <w:tcPr>
            <w:tcW w:type="dxa" w:w="3024"/>
            <w:vAlign w:val="center"/>
            <w:shd w:fill="F5F5F6"/>
            <w:tcMar>
              <w:top w:w="90" w:type="dxa"/>
              <w:bottom w:w="90" w:type="dxa"/>
              <w:left w:w="90" w:type="dxa"/>
              <w:right w:w="90" w:type="dxa"/>
            </w:tcMar>
          </w:tcPr>
          <w:p>
            <w:pPr>
              <w:spacing w:after="60" w:line="259" w:lineRule="auto"/>
            </w:pPr>
            <w:r>
              <w:rPr>
                <w:b w:val="0"/>
                <w:color w:val="242427"/>
                <w:sz w:val="18"/>
              </w:rPr>
              <w:t>Understand yourself at work</w:t>
            </w:r>
          </w:p>
        </w:tc>
      </w:tr>
      <w:tr>
        <w:trPr>
          <w:cantSplit/>
          <w:cantSplit/>
          <w:cantSplit/>
        </w:trPr>
        <w:tc>
          <w:tcPr>
            <w:tcW w:type="dxa" w:w="936"/>
            <w:vAlign w:val="center"/>
            <w:shd w:fill="FFFFFF"/>
            <w:tcMar>
              <w:top w:w="90" w:type="dxa"/>
              <w:bottom w:w="90" w:type="dxa"/>
              <w:left w:w="90" w:type="dxa"/>
              <w:right w:w="90" w:type="dxa"/>
            </w:tcMar>
          </w:tcPr>
          <w:p>
            <w:pPr>
              <w:spacing w:after="60" w:line="259" w:lineRule="auto"/>
            </w:pPr>
            <w:r>
              <w:rPr>
                <w:b w:val="0"/>
                <w:color w:val="242427"/>
                <w:sz w:val="18"/>
              </w:rPr>
              <w:t>38–51</w:t>
            </w:r>
          </w:p>
        </w:tc>
        <w:tc>
          <w:tcPr>
            <w:tcW w:type="dxa" w:w="6120"/>
            <w:vAlign w:val="center"/>
            <w:shd w:fill="FFFFFF"/>
            <w:tcMar>
              <w:top w:w="90" w:type="dxa"/>
              <w:bottom w:w="90" w:type="dxa"/>
              <w:left w:w="90" w:type="dxa"/>
              <w:right w:w="90" w:type="dxa"/>
            </w:tcMar>
          </w:tcPr>
          <w:p>
            <w:pPr>
              <w:spacing w:after="60" w:line="259" w:lineRule="auto"/>
            </w:pPr>
            <w:r>
              <w:rPr>
                <w:b w:val="0"/>
                <w:color w:val="242427"/>
                <w:sz w:val="18"/>
              </w:rPr>
              <w:t>Nour invites comparison of options against experience, market and life priorities.</w:t>
            </w:r>
          </w:p>
        </w:tc>
        <w:tc>
          <w:tcPr>
            <w:tcW w:type="dxa" w:w="3024"/>
            <w:vAlign w:val="center"/>
            <w:shd w:fill="FFFFFF"/>
            <w:tcMar>
              <w:top w:w="90" w:type="dxa"/>
              <w:bottom w:w="90" w:type="dxa"/>
              <w:left w:w="90" w:type="dxa"/>
              <w:right w:w="90" w:type="dxa"/>
            </w:tcMar>
          </w:tcPr>
          <w:p>
            <w:pPr>
              <w:spacing w:after="60" w:line="259" w:lineRule="auto"/>
            </w:pPr>
            <w:r>
              <w:rPr>
                <w:b w:val="0"/>
                <w:color w:val="242427"/>
                <w:sz w:val="18"/>
              </w:rPr>
              <w:t>Explore realistic directions</w:t>
            </w:r>
          </w:p>
        </w:tc>
      </w:tr>
      <w:tr>
        <w:trPr>
          <w:cantSplit/>
          <w:cantSplit/>
          <w:cantSplit/>
        </w:trPr>
        <w:tc>
          <w:tcPr>
            <w:tcW w:type="dxa" w:w="936"/>
            <w:vAlign w:val="center"/>
            <w:shd w:fill="F5F5F6"/>
            <w:tcMar>
              <w:top w:w="90" w:type="dxa"/>
              <w:bottom w:w="90" w:type="dxa"/>
              <w:left w:w="90" w:type="dxa"/>
              <w:right w:w="90" w:type="dxa"/>
            </w:tcMar>
          </w:tcPr>
          <w:p>
            <w:pPr>
              <w:spacing w:after="60" w:line="259" w:lineRule="auto"/>
            </w:pPr>
            <w:r>
              <w:rPr>
                <w:b w:val="0"/>
                <w:color w:val="242427"/>
                <w:sz w:val="18"/>
              </w:rPr>
              <w:t>51–61</w:t>
            </w:r>
          </w:p>
        </w:tc>
        <w:tc>
          <w:tcPr>
            <w:tcW w:type="dxa" w:w="6120"/>
            <w:vAlign w:val="center"/>
            <w:shd w:fill="F5F5F6"/>
            <w:tcMar>
              <w:top w:w="90" w:type="dxa"/>
              <w:bottom w:w="90" w:type="dxa"/>
              <w:left w:w="90" w:type="dxa"/>
              <w:right w:w="90" w:type="dxa"/>
            </w:tcMar>
          </w:tcPr>
          <w:p>
            <w:pPr>
              <w:spacing w:after="60" w:line="259" w:lineRule="auto"/>
            </w:pPr>
            <w:r>
              <w:rPr>
                <w:b w:val="0"/>
                <w:color w:val="242427"/>
                <w:sz w:val="18"/>
              </w:rPr>
              <w:t>A next-step plan appears beside Samir. The path progresses through modest milestones.</w:t>
            </w:r>
          </w:p>
        </w:tc>
        <w:tc>
          <w:tcPr>
            <w:tcW w:type="dxa" w:w="3024"/>
            <w:vAlign w:val="center"/>
            <w:shd w:fill="F5F5F6"/>
            <w:tcMar>
              <w:top w:w="90" w:type="dxa"/>
              <w:bottom w:w="90" w:type="dxa"/>
              <w:left w:w="90" w:type="dxa"/>
              <w:right w:w="90" w:type="dxa"/>
            </w:tcMar>
          </w:tcPr>
          <w:p>
            <w:pPr>
              <w:spacing w:after="60" w:line="259" w:lineRule="auto"/>
            </w:pPr>
            <w:r>
              <w:rPr>
                <w:b w:val="0"/>
                <w:color w:val="242427"/>
                <w:sz w:val="18"/>
              </w:rPr>
              <w:t>Build a practical transition plan</w:t>
            </w:r>
          </w:p>
        </w:tc>
      </w:tr>
      <w:tr>
        <w:trPr>
          <w:cantSplit/>
          <w:cantSplit/>
          <w:cantSplit/>
        </w:trPr>
        <w:tc>
          <w:tcPr>
            <w:tcW w:type="dxa" w:w="936"/>
            <w:vAlign w:val="center"/>
            <w:shd w:fill="FFFFFF"/>
            <w:tcMar>
              <w:top w:w="90" w:type="dxa"/>
              <w:bottom w:w="90" w:type="dxa"/>
              <w:left w:w="90" w:type="dxa"/>
              <w:right w:w="90" w:type="dxa"/>
            </w:tcMar>
          </w:tcPr>
          <w:p>
            <w:pPr>
              <w:spacing w:after="60" w:line="259" w:lineRule="auto"/>
            </w:pPr>
            <w:r>
              <w:rPr>
                <w:b w:val="0"/>
                <w:color w:val="242427"/>
                <w:sz w:val="18"/>
              </w:rPr>
              <w:t>61–68</w:t>
            </w:r>
          </w:p>
        </w:tc>
        <w:tc>
          <w:tcPr>
            <w:tcW w:type="dxa" w:w="6120"/>
            <w:vAlign w:val="center"/>
            <w:shd w:fill="FFFFFF"/>
            <w:tcMar>
              <w:top w:w="90" w:type="dxa"/>
              <w:bottom w:w="90" w:type="dxa"/>
              <w:left w:w="90" w:type="dxa"/>
              <w:right w:w="90" w:type="dxa"/>
            </w:tcMar>
          </w:tcPr>
          <w:p>
            <w:pPr>
              <w:spacing w:after="60" w:line="259" w:lineRule="auto"/>
            </w:pPr>
            <w:r>
              <w:rPr>
                <w:b w:val="0"/>
                <w:color w:val="242427"/>
                <w:sz w:val="18"/>
              </w:rPr>
              <w:t>Both coaches frame three equal package cards without recommending a package for every viewer.</w:t>
            </w:r>
          </w:p>
        </w:tc>
        <w:tc>
          <w:tcPr>
            <w:tcW w:type="dxa" w:w="3024"/>
            <w:vAlign w:val="center"/>
            <w:shd w:fill="FFFFFF"/>
            <w:tcMar>
              <w:top w:w="90" w:type="dxa"/>
              <w:bottom w:w="90" w:type="dxa"/>
              <w:left w:w="90" w:type="dxa"/>
              <w:right w:w="90" w:type="dxa"/>
            </w:tcMar>
          </w:tcPr>
          <w:p>
            <w:pPr>
              <w:spacing w:after="60" w:line="259" w:lineRule="auto"/>
            </w:pPr>
            <w:r>
              <w:rPr>
                <w:b w:val="0"/>
                <w:color w:val="242427"/>
                <w:sz w:val="18"/>
              </w:rPr>
              <w:t>Career Clarity</w:t>
              <w:br/>
              <w:t>Career Direction</w:t>
              <w:br/>
              <w:t>Career Transformation</w:t>
            </w:r>
          </w:p>
        </w:tc>
      </w:tr>
      <w:tr>
        <w:trPr>
          <w:cantSplit/>
          <w:cantSplit/>
          <w:cantSplit/>
        </w:trPr>
        <w:tc>
          <w:tcPr>
            <w:tcW w:type="dxa" w:w="936"/>
            <w:vAlign w:val="center"/>
            <w:shd w:fill="F5F5F6"/>
            <w:tcMar>
              <w:top w:w="90" w:type="dxa"/>
              <w:bottom w:w="90" w:type="dxa"/>
              <w:left w:w="90" w:type="dxa"/>
              <w:right w:w="90" w:type="dxa"/>
            </w:tcMar>
          </w:tcPr>
          <w:p>
            <w:pPr>
              <w:spacing w:after="60" w:line="259" w:lineRule="auto"/>
            </w:pPr>
            <w:r>
              <w:rPr>
                <w:b w:val="0"/>
                <w:color w:val="242427"/>
                <w:sz w:val="18"/>
              </w:rPr>
              <w:t>68–75</w:t>
            </w:r>
          </w:p>
        </w:tc>
        <w:tc>
          <w:tcPr>
            <w:tcW w:type="dxa" w:w="6120"/>
            <w:vAlign w:val="center"/>
            <w:shd w:fill="F5F5F6"/>
            <w:tcMar>
              <w:top w:w="90" w:type="dxa"/>
              <w:bottom w:w="90" w:type="dxa"/>
              <w:left w:w="90" w:type="dxa"/>
              <w:right w:w="90" w:type="dxa"/>
            </w:tcMar>
          </w:tcPr>
          <w:p>
            <w:pPr>
              <w:spacing w:after="60" w:line="259" w:lineRule="auto"/>
            </w:pPr>
            <w:r>
              <w:rPr>
                <w:b w:val="0"/>
                <w:color w:val="242427"/>
                <w:sz w:val="18"/>
              </w:rPr>
              <w:t>Both coaches share the end card with a clear action. Hold the final layout for at least three seconds.</w:t>
            </w:r>
          </w:p>
        </w:tc>
        <w:tc>
          <w:tcPr>
            <w:tcW w:type="dxa" w:w="3024"/>
            <w:vAlign w:val="center"/>
            <w:shd w:fill="F5F5F6"/>
            <w:tcMar>
              <w:top w:w="90" w:type="dxa"/>
              <w:bottom w:w="90" w:type="dxa"/>
              <w:left w:w="90" w:type="dxa"/>
              <w:right w:w="90" w:type="dxa"/>
            </w:tcMar>
          </w:tcPr>
          <w:p>
            <w:pPr>
              <w:spacing w:after="60" w:line="259" w:lineRule="auto"/>
            </w:pPr>
            <w:r>
              <w:rPr>
                <w:b w:val="0"/>
                <w:color w:val="242427"/>
                <w:sz w:val="18"/>
              </w:rPr>
              <w:t>Start with a Chemistry Session</w:t>
              <w:br/>
              <w:t>Submit your registration request</w:t>
            </w:r>
          </w:p>
        </w:tc>
      </w:tr>
    </w:tbl>
    <w:p>
      <w:pPr>
        <w:pStyle w:val="Heading2"/>
      </w:pPr>
      <w:r>
        <w:t>How SHIFT appears in the story</w:t>
      </w:r>
    </w:p>
    <w:p>
      <w:r>
        <w:t>Use the complete phase names in supporting campaign assets: S Situation Mapping; H Holistic Assessment; I Insight Integration; F Future Career Fit; T Transition &amp; Tracking. In the short introduction, show the practical experience of the journey rather than five dense definitions.</w:t>
      </w:r>
    </w:p>
    <w:p>
      <w:pPr>
        <w:pStyle w:val="Heading2"/>
      </w:pPr>
      <w:r>
        <w:t>Story ownership</w:t>
      </w:r>
    </w:p>
    <w:p>
      <w:r>
        <w:t>Nour and Samir are coaches throughout the story. They introduce questions, help interpret evidence and invite the viewer to explore realistic options. The client makes the career decision. The ending offers a Chemistry Session and a structured way to plan next steps.</w:t>
      </w:r>
    </w:p>
    <w:p>
      <w:pPr>
        <w:pStyle w:val="Title"/>
        <w:pageBreakBefore/>
      </w:pPr>
      <w:r>
        <w:t>Introduction Video Voiceover</w:t>
      </w:r>
    </w:p>
    <w:p>
      <w:pPr>
        <w:pStyle w:val="Heading2"/>
      </w:pPr>
      <w:r>
        <w:t>English master</w:t>
      </w:r>
    </w:p>
    <w:p>
      <w:r>
        <w:t>You’ve built experience. But what should your next career move be?</w:t>
      </w:r>
    </w:p>
    <w:p>
      <w:r>
        <w:t>A new role? A different field? Or a new way of working?</w:t>
      </w:r>
    </w:p>
    <w:p>
      <w:r>
        <w:t>When income, family and years of experience matter, the decision needs careful thought.</w:t>
      </w:r>
    </w:p>
    <w:p>
      <w:r>
        <w:t>ASSESS SHIFT combines psychometric insight with professional career coaching to help you understand what matters to you at work.</w:t>
      </w:r>
    </w:p>
    <w:p>
      <w:r>
        <w:t>Together with your coach, you explore your interests and motivation, and connect them with your experience.</w:t>
      </w:r>
    </w:p>
    <w:p>
      <w:r>
        <w:t>You compare possible directions against your skills, market opportunities and life priorities. Personality insight is included in selected journeys.</w:t>
      </w:r>
    </w:p>
    <w:p>
      <w:r>
        <w:t>Then you build practical next steps, with room to test an option before making a major move.</w:t>
      </w:r>
    </w:p>
    <w:p>
      <w:r>
        <w:t>Career Clarity, Career Direction and Career Transformation offer different levels of support.</w:t>
      </w:r>
    </w:p>
    <w:p>
      <w:r>
        <w:t>Start by requesting a Chemistry Session. Share your situation, discuss what you need and explore the journey that may suit you.</w:t>
      </w:r>
    </w:p>
    <w:p>
      <w:r>
        <w:t>ASSESS SHIFT. Your next career move deserves clarity.</w:t>
      </w:r>
    </w:p>
    <w:p>
      <w:pPr>
        <w:pStyle w:val="Heading2"/>
      </w:pPr>
      <w:r>
        <w:t>Egyptian Arabic alternative</w:t>
      </w:r>
    </w:p>
    <w:p>
      <w:pPr>
        <w:jc w:val="right"/>
        <w:bidi w:val="1"/>
      </w:pPr>
      <w:r>
        <w:rPr>
          <w:rFonts w:ascii="DejaVu Sans" w:hAnsi="DejaVu Sans"/>
          <w:sz w:val="21"/>
          <w:rtl w:val="1"/>
        </w:rPr>
        <w:t>عندك خبرة وسنين شغل، بس لسه بتسأل نفسك: إيه خطوتي المهنية الجاية؟</w:t>
      </w:r>
    </w:p>
    <w:p>
      <w:pPr>
        <w:jc w:val="right"/>
        <w:bidi w:val="1"/>
      </w:pPr>
      <w:r>
        <w:rPr>
          <w:rFonts w:ascii="DejaVu Sans" w:hAnsi="DejaVu Sans"/>
          <w:sz w:val="21"/>
          <w:rtl w:val="1"/>
        </w:rPr>
        <w:t>دور جديد؟ مجال مختلف؟ ولا طريقة تانية للشغل؟</w:t>
      </w:r>
    </w:p>
    <w:p>
      <w:pPr>
        <w:jc w:val="right"/>
        <w:bidi w:val="1"/>
      </w:pPr>
      <w:r>
        <w:rPr>
          <w:rFonts w:ascii="DejaVu Sans" w:hAnsi="DejaVu Sans"/>
          <w:sz w:val="21"/>
          <w:rtl w:val="1"/>
        </w:rPr>
        <w:t>لما يكون في دخل ومسؤوليات وخبرة بنيتها، القرار محتاج تفكير.</w:t>
      </w:r>
    </w:p>
    <w:p>
      <w:pPr>
        <w:jc w:val="right"/>
        <w:bidi w:val="1"/>
      </w:pPr>
      <w:r>
        <w:rPr>
          <w:rFonts w:ascii="DejaVu Sans" w:hAnsi="DejaVu Sans"/>
          <w:sz w:val="21"/>
          <w:rtl w:val="1"/>
        </w:rPr>
        <w:t>ASSESS SHIFT بيجمع بين نتائج تقييمات سيكومترية وكوتشينج مهني، عشان تفهم إيه المهم بالنسبة لك في الشغل.</w:t>
      </w:r>
    </w:p>
    <w:p>
      <w:pPr>
        <w:jc w:val="right"/>
        <w:bidi w:val="1"/>
      </w:pPr>
      <w:r>
        <w:rPr>
          <w:rFonts w:ascii="DejaVu Sans" w:hAnsi="DejaVu Sans"/>
          <w:sz w:val="21"/>
          <w:rtl w:val="1"/>
        </w:rPr>
        <w:t>مع الكوتش، بتستكشف اهتماماتك ودوافعك، وتربطها بخبرتك.</w:t>
      </w:r>
    </w:p>
    <w:p>
      <w:pPr>
        <w:jc w:val="right"/>
        <w:bidi w:val="1"/>
      </w:pPr>
      <w:r>
        <w:rPr>
          <w:rFonts w:ascii="DejaVu Sans" w:hAnsi="DejaVu Sans"/>
          <w:sz w:val="21"/>
          <w:rtl w:val="1"/>
        </w:rPr>
        <w:t>وبتقارن الاختيارات بمهاراتك، وفرص السوق، وأولويات حياتك. وبعض الباقات بتضيف فهم أعمق لشخصيتك وطريقة شغلك.</w:t>
      </w:r>
    </w:p>
    <w:p>
      <w:pPr>
        <w:jc w:val="right"/>
        <w:bidi w:val="1"/>
      </w:pPr>
      <w:r>
        <w:rPr>
          <w:rFonts w:ascii="DejaVu Sans" w:hAnsi="DejaVu Sans"/>
          <w:sz w:val="21"/>
          <w:rtl w:val="1"/>
        </w:rPr>
        <w:t>وبعدين بتحط خطوات عملية، وتستكشف إزاي تختبر الاختيار قبل تغيير كبير.</w:t>
      </w:r>
    </w:p>
    <w:p>
      <w:pPr>
        <w:jc w:val="right"/>
        <w:bidi w:val="1"/>
      </w:pPr>
      <w:r>
        <w:rPr>
          <w:rFonts w:ascii="DejaVu Sans" w:hAnsi="DejaVu Sans"/>
          <w:sz w:val="21"/>
          <w:rtl w:val="1"/>
        </w:rPr>
        <w:t>Career Clarity وCareer Direction وCareer Transformation بيقدّموا مستويات مختلفة من الدعم.</w:t>
      </w:r>
    </w:p>
    <w:p>
      <w:pPr>
        <w:jc w:val="right"/>
        <w:bidi w:val="1"/>
      </w:pPr>
      <w:r>
        <w:rPr>
          <w:rFonts w:ascii="DejaVu Sans" w:hAnsi="DejaVu Sans"/>
          <w:sz w:val="21"/>
          <w:rtl w:val="1"/>
        </w:rPr>
        <w:t>ابدأ بطلب جلسة تعارف، Chemistry Session. شارك وضعك الحالي، واتكلم عن احتياجك، واستكشف الرحلة المناسبة ليك.</w:t>
      </w:r>
    </w:p>
    <w:p>
      <w:pPr>
        <w:jc w:val="right"/>
        <w:bidi w:val="1"/>
      </w:pPr>
      <w:r>
        <w:rPr>
          <w:rFonts w:ascii="DejaVu Sans" w:hAnsi="DejaVu Sans"/>
          <w:sz w:val="21"/>
          <w:rtl w:val="1"/>
        </w:rPr>
        <w:t>ASSESS SHIFT. خطوتك المهنية الجاية تستحق وضوح.</w:t>
      </w:r>
    </w:p>
    <w:p>
      <w:r>
        <w:t>Record each language separately. Time the recording before final animation. Extend the cut or edit the script if needed; do not rush the voice to meet a fixed duration.</w:t>
      </w:r>
    </w:p>
    <w:p>
      <w:pPr>
        <w:pStyle w:val="Title"/>
        <w:pageBreakBefore/>
      </w:pPr>
      <w:r>
        <w:t>Production Brief and Service Facts</w:t>
      </w:r>
    </w:p>
    <w:p>
      <w:pPr>
        <w:pStyle w:val="Heading2"/>
      </w:pPr>
      <w:r>
        <w:t>Package accuracy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3240"/>
        <w:gridCol w:w="1080"/>
        <w:gridCol w:w="3960"/>
      </w:tblGrid>
      <w:tr>
        <w:trPr>
          <w:cantSplit/>
          <w:cantSplit/>
          <w:cantSplit/>
          <w:cantSplit/>
          <w:tblHeader/>
        </w:trPr>
        <w:tc>
          <w:tcPr>
            <w:tcW w:type="dxa" w:w="1800"/>
            <w:vAlign w:val="center"/>
            <w:shd w:fill="3A0A10"/>
            <w:tcMar>
              <w:top w:w="90" w:type="dxa"/>
              <w:bottom w:w="90" w:type="dxa"/>
              <w:left w:w="90" w:type="dxa"/>
              <w:right w:w="90" w:type="dxa"/>
            </w:tcMar>
          </w:tcPr>
          <w:p>
            <w:pPr>
              <w:spacing w:after="60" w:line="259" w:lineRule="auto"/>
            </w:pPr>
            <w:r>
              <w:rPr>
                <w:b/>
                <w:color w:val="FFFFFF"/>
                <w:sz w:val="18"/>
              </w:rPr>
              <w:t>Journey</w:t>
            </w:r>
          </w:p>
        </w:tc>
        <w:tc>
          <w:tcPr>
            <w:tcW w:type="dxa" w:w="3240"/>
            <w:vAlign w:val="center"/>
            <w:shd w:fill="3A0A10"/>
            <w:tcMar>
              <w:top w:w="90" w:type="dxa"/>
              <w:bottom w:w="90" w:type="dxa"/>
              <w:left w:w="90" w:type="dxa"/>
              <w:right w:w="90" w:type="dxa"/>
            </w:tcMar>
          </w:tcPr>
          <w:p>
            <w:pPr>
              <w:spacing w:after="60" w:line="259" w:lineRule="auto"/>
            </w:pPr>
            <w:r>
              <w:rPr>
                <w:b/>
                <w:color w:val="FFFFFF"/>
                <w:sz w:val="18"/>
              </w:rPr>
              <w:t>Assessments</w:t>
            </w:r>
          </w:p>
        </w:tc>
        <w:tc>
          <w:tcPr>
            <w:tcW w:type="dxa" w:w="1080"/>
            <w:vAlign w:val="center"/>
            <w:shd w:fill="3A0A10"/>
            <w:tcMar>
              <w:top w:w="90" w:type="dxa"/>
              <w:bottom w:w="90" w:type="dxa"/>
              <w:left w:w="90" w:type="dxa"/>
              <w:right w:w="90" w:type="dxa"/>
            </w:tcMar>
          </w:tcPr>
          <w:p>
            <w:pPr>
              <w:spacing w:after="60" w:line="259" w:lineRule="auto"/>
            </w:pPr>
            <w:r>
              <w:rPr>
                <w:b/>
                <w:color w:val="FFFFFF"/>
                <w:sz w:val="18"/>
              </w:rPr>
              <w:t>Sessions</w:t>
            </w:r>
          </w:p>
        </w:tc>
        <w:tc>
          <w:tcPr>
            <w:tcW w:type="dxa" w:w="3960"/>
            <w:vAlign w:val="center"/>
            <w:shd w:fill="3A0A10"/>
            <w:tcMar>
              <w:top w:w="90" w:type="dxa"/>
              <w:bottom w:w="90" w:type="dxa"/>
              <w:left w:w="90" w:type="dxa"/>
              <w:right w:w="90" w:type="dxa"/>
            </w:tcMar>
          </w:tcPr>
          <w:p>
            <w:pPr>
              <w:spacing w:after="60" w:line="259" w:lineRule="auto"/>
            </w:pPr>
            <w:r>
              <w:rPr>
                <w:b/>
                <w:color w:val="FFFFFF"/>
                <w:sz w:val="18"/>
              </w:rPr>
              <w:t>Selected outputs</w:t>
            </w:r>
          </w:p>
        </w:tc>
      </w:tr>
      <w:tr>
        <w:trPr>
          <w:cantSplit/>
          <w:cantSplit/>
          <w:cantSplit/>
          <w:cantSplit/>
        </w:trPr>
        <w:tc>
          <w:tcPr>
            <w:tcW w:type="dxa" w:w="1800"/>
            <w:vAlign w:val="center"/>
            <w:shd w:fill="FFFFFF"/>
            <w:tcMar>
              <w:top w:w="90" w:type="dxa"/>
              <w:bottom w:w="90" w:type="dxa"/>
              <w:left w:w="90" w:type="dxa"/>
              <w:right w:w="90" w:type="dxa"/>
            </w:tcMar>
          </w:tcPr>
          <w:p>
            <w:pPr>
              <w:spacing w:after="60" w:line="259" w:lineRule="auto"/>
            </w:pPr>
            <w:r>
              <w:rPr>
                <w:b w:val="0"/>
                <w:color w:val="242427"/>
                <w:sz w:val="18"/>
              </w:rPr>
              <w:t>Career Clarity</w:t>
            </w:r>
          </w:p>
        </w:tc>
        <w:tc>
          <w:tcPr>
            <w:tcW w:type="dxa" w:w="3240"/>
            <w:vAlign w:val="center"/>
            <w:shd w:fill="FFFFFF"/>
            <w:tcMar>
              <w:top w:w="90" w:type="dxa"/>
              <w:bottom w:w="90" w:type="dxa"/>
              <w:left w:w="90" w:type="dxa"/>
              <w:right w:w="90" w:type="dxa"/>
            </w:tcMar>
          </w:tcPr>
          <w:p>
            <w:pPr>
              <w:spacing w:after="60" w:line="259" w:lineRule="auto"/>
            </w:pPr>
            <w:r>
              <w:rPr>
                <w:b w:val="0"/>
                <w:color w:val="242427"/>
                <w:sz w:val="18"/>
              </w:rPr>
              <w:t>Career Orientation + Motivation</w:t>
            </w:r>
          </w:p>
        </w:tc>
        <w:tc>
          <w:tcPr>
            <w:tcW w:type="dxa" w:w="1080"/>
            <w:vAlign w:val="center"/>
            <w:shd w:fill="FFFFFF"/>
            <w:tcMar>
              <w:top w:w="90" w:type="dxa"/>
              <w:bottom w:w="90" w:type="dxa"/>
              <w:left w:w="90" w:type="dxa"/>
              <w:right w:w="90" w:type="dxa"/>
            </w:tcMar>
          </w:tcPr>
          <w:p>
            <w:pPr>
              <w:spacing w:after="60" w:line="259" w:lineRule="auto"/>
            </w:pPr>
            <w:r>
              <w:rPr>
                <w:b w:val="0"/>
                <w:color w:val="242427"/>
                <w:sz w:val="18"/>
              </w:rPr>
              <w:t>2</w:t>
            </w:r>
          </w:p>
        </w:tc>
        <w:tc>
          <w:tcPr>
            <w:tcW w:type="dxa" w:w="3960"/>
            <w:vAlign w:val="center"/>
            <w:shd w:fill="FFFFFF"/>
            <w:tcMar>
              <w:top w:w="90" w:type="dxa"/>
              <w:bottom w:w="90" w:type="dxa"/>
              <w:left w:w="90" w:type="dxa"/>
              <w:right w:w="90" w:type="dxa"/>
            </w:tcMar>
          </w:tcPr>
          <w:p>
            <w:pPr>
              <w:spacing w:after="60" w:line="259" w:lineRule="auto"/>
            </w:pPr>
            <w:r>
              <w:rPr>
                <w:b w:val="0"/>
                <w:color w:val="242427"/>
                <w:sz w:val="18"/>
              </w:rPr>
              <w:t>Career Insight Summary and Action Plan</w:t>
            </w:r>
          </w:p>
        </w:tc>
      </w:tr>
      <w:tr>
        <w:trPr>
          <w:cantSplit/>
          <w:cantSplit/>
          <w:cantSplit/>
          <w:cantSplit/>
        </w:trPr>
        <w:tc>
          <w:tcPr>
            <w:tcW w:type="dxa" w:w="1800"/>
            <w:vAlign w:val="center"/>
            <w:shd w:fill="F5F5F6"/>
            <w:tcMar>
              <w:top w:w="90" w:type="dxa"/>
              <w:bottom w:w="90" w:type="dxa"/>
              <w:left w:w="90" w:type="dxa"/>
              <w:right w:w="90" w:type="dxa"/>
            </w:tcMar>
          </w:tcPr>
          <w:p>
            <w:pPr>
              <w:spacing w:after="60" w:line="259" w:lineRule="auto"/>
            </w:pPr>
            <w:r>
              <w:rPr>
                <w:b w:val="0"/>
                <w:color w:val="242427"/>
                <w:sz w:val="18"/>
              </w:rPr>
              <w:t>Career Direction</w:t>
            </w:r>
          </w:p>
        </w:tc>
        <w:tc>
          <w:tcPr>
            <w:tcW w:type="dxa" w:w="3240"/>
            <w:vAlign w:val="center"/>
            <w:shd w:fill="F5F5F6"/>
            <w:tcMar>
              <w:top w:w="90" w:type="dxa"/>
              <w:bottom w:w="90" w:type="dxa"/>
              <w:left w:w="90" w:type="dxa"/>
              <w:right w:w="90" w:type="dxa"/>
            </w:tcMar>
          </w:tcPr>
          <w:p>
            <w:pPr>
              <w:spacing w:after="60" w:line="259" w:lineRule="auto"/>
            </w:pPr>
            <w:r>
              <w:rPr>
                <w:b w:val="0"/>
                <w:color w:val="242427"/>
                <w:sz w:val="18"/>
              </w:rPr>
              <w:t>Career Orientation + Motivation + Personality Basic</w:t>
            </w:r>
          </w:p>
        </w:tc>
        <w:tc>
          <w:tcPr>
            <w:tcW w:type="dxa" w:w="1080"/>
            <w:vAlign w:val="center"/>
            <w:shd w:fill="F5F5F6"/>
            <w:tcMar>
              <w:top w:w="90" w:type="dxa"/>
              <w:bottom w:w="90" w:type="dxa"/>
              <w:left w:w="90" w:type="dxa"/>
              <w:right w:w="90" w:type="dxa"/>
            </w:tcMar>
          </w:tcPr>
          <w:p>
            <w:pPr>
              <w:spacing w:after="60" w:line="259" w:lineRule="auto"/>
            </w:pPr>
            <w:r>
              <w:rPr>
                <w:b w:val="0"/>
                <w:color w:val="242427"/>
                <w:sz w:val="18"/>
              </w:rPr>
              <w:t>4</w:t>
            </w:r>
          </w:p>
        </w:tc>
        <w:tc>
          <w:tcPr>
            <w:tcW w:type="dxa" w:w="3960"/>
            <w:vAlign w:val="center"/>
            <w:shd w:fill="F5F5F6"/>
            <w:tcMar>
              <w:top w:w="90" w:type="dxa"/>
              <w:bottom w:w="90" w:type="dxa"/>
              <w:left w:w="90" w:type="dxa"/>
              <w:right w:w="90" w:type="dxa"/>
            </w:tcMar>
          </w:tcPr>
          <w:p>
            <w:pPr>
              <w:spacing w:after="60" w:line="259" w:lineRule="auto"/>
            </w:pPr>
            <w:r>
              <w:rPr>
                <w:b w:val="0"/>
                <w:color w:val="242427"/>
                <w:sz w:val="18"/>
              </w:rPr>
              <w:t>Integrated Profile Pack, Fit Matrix and Structured Transition Action Plan</w:t>
            </w:r>
          </w:p>
        </w:tc>
      </w:tr>
      <w:tr>
        <w:trPr>
          <w:cantSplit/>
          <w:cantSplit/>
          <w:cantSplit/>
          <w:cantSplit/>
        </w:trPr>
        <w:tc>
          <w:tcPr>
            <w:tcW w:type="dxa" w:w="1800"/>
            <w:vAlign w:val="center"/>
            <w:shd w:fill="FFFFFF"/>
            <w:tcMar>
              <w:top w:w="90" w:type="dxa"/>
              <w:bottom w:w="90" w:type="dxa"/>
              <w:left w:w="90" w:type="dxa"/>
              <w:right w:w="90" w:type="dxa"/>
            </w:tcMar>
          </w:tcPr>
          <w:p>
            <w:pPr>
              <w:spacing w:after="60" w:line="259" w:lineRule="auto"/>
            </w:pPr>
            <w:r>
              <w:rPr>
                <w:b w:val="0"/>
                <w:color w:val="242427"/>
                <w:sz w:val="18"/>
              </w:rPr>
              <w:t>Career Transformation</w:t>
            </w:r>
          </w:p>
        </w:tc>
        <w:tc>
          <w:tcPr>
            <w:tcW w:type="dxa" w:w="3240"/>
            <w:vAlign w:val="center"/>
            <w:shd w:fill="FFFFFF"/>
            <w:tcMar>
              <w:top w:w="90" w:type="dxa"/>
              <w:bottom w:w="90" w:type="dxa"/>
              <w:left w:w="90" w:type="dxa"/>
              <w:right w:w="90" w:type="dxa"/>
            </w:tcMar>
          </w:tcPr>
          <w:p>
            <w:pPr>
              <w:spacing w:after="60" w:line="259" w:lineRule="auto"/>
            </w:pPr>
            <w:r>
              <w:rPr>
                <w:b w:val="0"/>
                <w:color w:val="242427"/>
                <w:sz w:val="18"/>
              </w:rPr>
              <w:t>Career Orientation + Motivation + Personality+</w:t>
            </w:r>
          </w:p>
        </w:tc>
        <w:tc>
          <w:tcPr>
            <w:tcW w:type="dxa" w:w="1080"/>
            <w:vAlign w:val="center"/>
            <w:shd w:fill="FFFFFF"/>
            <w:tcMar>
              <w:top w:w="90" w:type="dxa"/>
              <w:bottom w:w="90" w:type="dxa"/>
              <w:left w:w="90" w:type="dxa"/>
              <w:right w:w="90" w:type="dxa"/>
            </w:tcMar>
          </w:tcPr>
          <w:p>
            <w:pPr>
              <w:spacing w:after="60" w:line="259" w:lineRule="auto"/>
            </w:pPr>
            <w:r>
              <w:rPr>
                <w:b w:val="0"/>
                <w:color w:val="242427"/>
                <w:sz w:val="18"/>
              </w:rPr>
              <w:t>6</w:t>
            </w:r>
          </w:p>
        </w:tc>
        <w:tc>
          <w:tcPr>
            <w:tcW w:type="dxa" w:w="3960"/>
            <w:vAlign w:val="center"/>
            <w:shd w:fill="FFFFFF"/>
            <w:tcMar>
              <w:top w:w="90" w:type="dxa"/>
              <w:bottom w:w="90" w:type="dxa"/>
              <w:left w:w="90" w:type="dxa"/>
              <w:right w:w="90" w:type="dxa"/>
            </w:tcMar>
          </w:tcPr>
          <w:p>
            <w:pPr>
              <w:spacing w:after="60" w:line="259" w:lineRule="auto"/>
            </w:pPr>
            <w:r>
              <w:rPr>
                <w:b w:val="0"/>
                <w:color w:val="242427"/>
                <w:sz w:val="18"/>
              </w:rPr>
              <w:t>Profile Pack, Fit Matrix, Transition Report, PDP and 30/60/90 Roadmap</w:t>
            </w:r>
          </w:p>
        </w:tc>
      </w:tr>
    </w:tbl>
    <w:p>
      <w:r>
        <w:t>Session totals include the debrief. Career Direction includes one complimentary session and Career Transformation includes two. Written outputs differ by package. The introduction should describe a practical plan without promising the most detailed outputs to every client.</w:t>
      </w:r>
    </w:p>
    <w:p>
      <w:pPr>
        <w:pStyle w:val="Heading2"/>
      </w:pPr>
      <w:r>
        <w:t>The first step</w:t>
      </w:r>
    </w:p>
    <w:p>
      <w:r>
        <w:t>Use this conversion sequence consistently: registration request, Chemistry Session, journey recommendation, commercial confirmation and booking, then the coaching journey. The Chemistry Session helps clarify the client’s situation and support needs. Its price and duration are not specified in the attached materials, so avoid calling it free or assigning a length.</w:t>
      </w:r>
    </w:p>
    <w:p>
      <w:r>
        <w:t>The catalogue uses “Career Consultation”; the registration form uses “Chemistry Session.” For this campaign, use “Chemistry Session” and explain it as an initial conversation about career context and the suitable level of support.</w:t>
      </w:r>
    </w:p>
    <w:p>
      <w:pPr>
        <w:pStyle w:val="Heading2"/>
      </w:pPr>
      <w:r>
        <w:t>Claude Code handoff</w:t>
      </w:r>
    </w:p>
    <w:p>
      <w:r>
        <w:t>Give Claude Code this brief, both source files, the approved corporate logo and character reference. Ask it to build an editable video project with a scene timeline, local assets, caption files and an export guide. Let it inspect the available project and tools before selecting or installing a video framework.</w:t>
      </w:r>
    </w:p>
    <w:p>
      <w:r>
        <w:t>Start with a storyboard preview. Add a reviewed voice recording and licensed music, then render the final video. Do not replace a character reference sheet with a single animated screenshot: separate character artwork is needed for clean movement.</w:t>
      </w:r>
    </w:p>
    <w:p>
      <w:pPr>
        <w:pStyle w:val="Heading2"/>
      </w:pPr>
      <w:r>
        <w:t>Before campaign publication</w:t>
      </w:r>
    </w:p>
    <w:p>
      <w:pPr>
        <w:pStyle w:val="ListBullet"/>
      </w:pPr>
      <w:r>
        <w:t>Supply the approved logo and the live registration or booking destination. The catalogue contains a booking QR placeholder.</w:t>
      </w:r>
    </w:p>
    <w:p>
      <w:pPr>
        <w:pStyle w:val="ListBullet"/>
      </w:pPr>
      <w:r>
        <w:t>Connect and test actual submission handling. The attached HTML only displays a success toast; it does not save the form answers or send a request.</w:t>
      </w:r>
    </w:p>
    <w:p>
      <w:pPr>
        <w:pStyle w:val="ListBullet"/>
      </w:pPr>
      <w:r>
        <w:t>Finalize the registration privacy and confidentiality wording, which the attached form explicitly leaves pending.</w:t>
      </w:r>
    </w:p>
    <w:p>
      <w:pPr>
        <w:pStyle w:val="ListBullet"/>
      </w:pPr>
      <w:r>
        <w:t>Confirm the Chemistry Session details and any public pricing or credential claims before adding them to copy.</w:t>
      </w:r>
    </w:p>
    <w:p>
      <w:pPr>
        <w:pStyle w:val="ListBullet"/>
      </w:pPr>
      <w:r>
        <w:t>Check package names, caption accuracy, character continuity, Arabic layout, licensed assets and the final CTA on a phone.</w:t>
      </w:r>
    </w:p>
    <w:p>
      <w:pPr>
        <w:pStyle w:val="Heading2"/>
      </w:pPr>
      <w:r>
        <w:t>Source references</w:t>
      </w:r>
    </w:p>
    <w:p>
      <w:r>
        <w:t>ASSESS SHIFT Career Coaching Catalogue: slides 4–8, 16–18 and 20–23. Assess Career Coaching Registration v7: career context questions, package cards, submission section, footer and script. The palette standard, characters, campaign headline, scripts and video treatment are proposed creative directions.</w:t>
      </w:r>
    </w:p>
    <w:p>
      <w:pPr>
        <w:pStyle w:val="Title"/>
        <w:pageBreakBefore/>
      </w:pPr>
      <w:r>
        <w:t>Character Roles in the Video</w:t>
      </w:r>
    </w:p>
    <w:p>
      <w:r>
        <w:t>These are creative presentation roles for the introduction. Both characters are career coaches with equal professional status. Their topics organize the story; they do not imply different credentials or restrict what either coach can do in a real coaching journey.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24"/>
        <w:gridCol w:w="3096"/>
        <w:gridCol w:w="5760"/>
      </w:tblGrid>
      <w:tr>
        <w:trPr>
          <w:cantSplit/>
          <w:cantSplit/>
          <w:cantSplit/>
          <w:tblHeader/>
        </w:trPr>
        <w:tc>
          <w:tcPr>
            <w:tcW w:type="dxa" w:w="1224"/>
            <w:vAlign w:val="center"/>
            <w:shd w:fill="3A0A10"/>
            <w:tcMar>
              <w:top w:w="90" w:type="dxa"/>
              <w:bottom w:w="90" w:type="dxa"/>
              <w:left w:w="90" w:type="dxa"/>
              <w:right w:w="90" w:type="dxa"/>
            </w:tcMar>
          </w:tcPr>
          <w:p>
            <w:pPr>
              <w:spacing w:after="60" w:line="259" w:lineRule="auto"/>
            </w:pPr>
            <w:r>
              <w:rPr>
                <w:b/>
                <w:color w:val="FFFFFF"/>
                <w:sz w:val="18"/>
              </w:rPr>
              <w:t>Character</w:t>
            </w:r>
          </w:p>
        </w:tc>
        <w:tc>
          <w:tcPr>
            <w:tcW w:type="dxa" w:w="3096"/>
            <w:vAlign w:val="center"/>
            <w:shd w:fill="3A0A10"/>
            <w:tcMar>
              <w:top w:w="90" w:type="dxa"/>
              <w:bottom w:w="90" w:type="dxa"/>
              <w:left w:w="90" w:type="dxa"/>
              <w:right w:w="90" w:type="dxa"/>
            </w:tcMar>
          </w:tcPr>
          <w:p>
            <w:pPr>
              <w:spacing w:after="60" w:line="259" w:lineRule="auto"/>
            </w:pPr>
            <w:r>
              <w:rPr>
                <w:b/>
                <w:color w:val="FFFFFF"/>
                <w:sz w:val="18"/>
              </w:rPr>
              <w:t>Primary presentation role</w:t>
            </w:r>
          </w:p>
        </w:tc>
        <w:tc>
          <w:tcPr>
            <w:tcW w:type="dxa" w:w="5760"/>
            <w:vAlign w:val="center"/>
            <w:shd w:fill="3A0A10"/>
            <w:tcMar>
              <w:top w:w="90" w:type="dxa"/>
              <w:bottom w:w="90" w:type="dxa"/>
              <w:left w:w="90" w:type="dxa"/>
              <w:right w:w="90" w:type="dxa"/>
            </w:tcMar>
          </w:tcPr>
          <w:p>
            <w:pPr>
              <w:spacing w:after="60" w:line="259" w:lineRule="auto"/>
            </w:pPr>
            <w:r>
              <w:rPr>
                <w:b/>
                <w:color w:val="FFFFFF"/>
                <w:sz w:val="18"/>
              </w:rPr>
              <w:t>Actions</w:t>
            </w:r>
          </w:p>
        </w:tc>
      </w:tr>
      <w:tr>
        <w:trPr>
          <w:cantSplit/>
          <w:cantSplit/>
          <w:cantSplit/>
        </w:trPr>
        <w:tc>
          <w:tcPr>
            <w:tcW w:type="dxa" w:w="1224"/>
            <w:vAlign w:val="center"/>
            <w:shd w:fill="FFFFFF"/>
            <w:tcMar>
              <w:top w:w="90" w:type="dxa"/>
              <w:bottom w:w="90" w:type="dxa"/>
              <w:left w:w="90" w:type="dxa"/>
              <w:right w:w="90" w:type="dxa"/>
            </w:tcMar>
          </w:tcPr>
          <w:p>
            <w:pPr>
              <w:spacing w:after="60" w:line="259" w:lineRule="auto"/>
            </w:pPr>
            <w:r>
              <w:rPr>
                <w:b w:val="0"/>
                <w:color w:val="242427"/>
                <w:sz w:val="18"/>
              </w:rPr>
              <w:t>Nour</w:t>
            </w:r>
          </w:p>
        </w:tc>
        <w:tc>
          <w:tcPr>
            <w:tcW w:type="dxa" w:w="3096"/>
            <w:vAlign w:val="center"/>
            <w:shd w:fill="FFFFFF"/>
            <w:tcMar>
              <w:top w:w="90" w:type="dxa"/>
              <w:bottom w:w="90" w:type="dxa"/>
              <w:left w:w="90" w:type="dxa"/>
              <w:right w:w="90" w:type="dxa"/>
            </w:tcMar>
          </w:tcPr>
          <w:p>
            <w:pPr>
              <w:spacing w:after="60" w:line="259" w:lineRule="auto"/>
            </w:pPr>
            <w:r>
              <w:rPr>
                <w:b w:val="0"/>
                <w:color w:val="242427"/>
                <w:sz w:val="18"/>
              </w:rPr>
              <w:t>Career questions and option exploration</w:t>
            </w:r>
          </w:p>
        </w:tc>
        <w:tc>
          <w:tcPr>
            <w:tcW w:type="dxa" w:w="5760"/>
            <w:vAlign w:val="center"/>
            <w:shd w:fill="FFFFFF"/>
            <w:tcMar>
              <w:top w:w="90" w:type="dxa"/>
              <w:bottom w:w="90" w:type="dxa"/>
              <w:left w:w="90" w:type="dxa"/>
              <w:right w:w="90" w:type="dxa"/>
            </w:tcMar>
          </w:tcPr>
          <w:p>
            <w:pPr>
              <w:spacing w:after="60" w:line="259" w:lineRule="auto"/>
            </w:pPr>
            <w:r>
              <w:rPr>
                <w:b w:val="0"/>
                <w:color w:val="242427"/>
                <w:sz w:val="18"/>
              </w:rPr>
              <w:t>Introduces the opening question; invites comparison of career directions with experience, market opportunities and life priorities.</w:t>
            </w:r>
          </w:p>
        </w:tc>
      </w:tr>
      <w:tr>
        <w:trPr>
          <w:cantSplit/>
          <w:cantSplit/>
          <w:cantSplit/>
        </w:trPr>
        <w:tc>
          <w:tcPr>
            <w:tcW w:type="dxa" w:w="1224"/>
            <w:vAlign w:val="center"/>
            <w:shd w:fill="F5F5F6"/>
            <w:tcMar>
              <w:top w:w="90" w:type="dxa"/>
              <w:bottom w:w="90" w:type="dxa"/>
              <w:left w:w="90" w:type="dxa"/>
              <w:right w:w="90" w:type="dxa"/>
            </w:tcMar>
          </w:tcPr>
          <w:p>
            <w:pPr>
              <w:spacing w:after="60" w:line="259" w:lineRule="auto"/>
            </w:pPr>
            <w:r>
              <w:rPr>
                <w:b w:val="0"/>
                <w:color w:val="242427"/>
                <w:sz w:val="18"/>
              </w:rPr>
              <w:t>Samir</w:t>
            </w:r>
          </w:p>
        </w:tc>
        <w:tc>
          <w:tcPr>
            <w:tcW w:type="dxa" w:w="3096"/>
            <w:vAlign w:val="center"/>
            <w:shd w:fill="F5F5F6"/>
            <w:tcMar>
              <w:top w:w="90" w:type="dxa"/>
              <w:bottom w:w="90" w:type="dxa"/>
              <w:left w:w="90" w:type="dxa"/>
              <w:right w:w="90" w:type="dxa"/>
            </w:tcMar>
          </w:tcPr>
          <w:p>
            <w:pPr>
              <w:spacing w:after="60" w:line="259" w:lineRule="auto"/>
            </w:pPr>
            <w:r>
              <w:rPr>
                <w:b w:val="0"/>
                <w:color w:val="242427"/>
                <w:sz w:val="18"/>
              </w:rPr>
              <w:t>Assessment insights and practical planning</w:t>
            </w:r>
          </w:p>
        </w:tc>
        <w:tc>
          <w:tcPr>
            <w:tcW w:type="dxa" w:w="5760"/>
            <w:vAlign w:val="center"/>
            <w:shd w:fill="F5F5F6"/>
            <w:tcMar>
              <w:top w:w="90" w:type="dxa"/>
              <w:bottom w:w="90" w:type="dxa"/>
              <w:left w:w="90" w:type="dxa"/>
              <w:right w:w="90" w:type="dxa"/>
            </w:tcMar>
          </w:tcPr>
          <w:p>
            <w:pPr>
              <w:spacing w:after="60" w:line="259" w:lineRule="auto"/>
            </w:pPr>
            <w:r>
              <w:rPr>
                <w:b w:val="0"/>
                <w:color w:val="242427"/>
                <w:sz w:val="18"/>
              </w:rPr>
              <w:t>Introduces interests and motivation; connects insights to experience; presents manageable transition steps.</w:t>
            </w:r>
          </w:p>
        </w:tc>
      </w:tr>
      <w:tr>
        <w:trPr>
          <w:cantSplit/>
          <w:cantSplit/>
          <w:cantSplit/>
        </w:trPr>
        <w:tc>
          <w:tcPr>
            <w:tcW w:type="dxa" w:w="1224"/>
            <w:vAlign w:val="center"/>
            <w:shd w:fill="FFFFFF"/>
            <w:tcMar>
              <w:top w:w="90" w:type="dxa"/>
              <w:bottom w:w="90" w:type="dxa"/>
              <w:left w:w="90" w:type="dxa"/>
              <w:right w:w="90" w:type="dxa"/>
            </w:tcMar>
          </w:tcPr>
          <w:p>
            <w:pPr>
              <w:spacing w:after="60" w:line="259" w:lineRule="auto"/>
            </w:pPr>
            <w:r>
              <w:rPr>
                <w:b w:val="0"/>
                <w:color w:val="242427"/>
                <w:sz w:val="18"/>
              </w:rPr>
              <w:t>Both</w:t>
            </w:r>
          </w:p>
        </w:tc>
        <w:tc>
          <w:tcPr>
            <w:tcW w:type="dxa" w:w="3096"/>
            <w:vAlign w:val="center"/>
            <w:shd w:fill="FFFFFF"/>
            <w:tcMar>
              <w:top w:w="90" w:type="dxa"/>
              <w:bottom w:w="90" w:type="dxa"/>
              <w:left w:w="90" w:type="dxa"/>
              <w:right w:w="90" w:type="dxa"/>
            </w:tcMar>
          </w:tcPr>
          <w:p>
            <w:pPr>
              <w:spacing w:after="60" w:line="259" w:lineRule="auto"/>
            </w:pPr>
            <w:r>
              <w:rPr>
                <w:b w:val="0"/>
                <w:color w:val="242427"/>
                <w:sz w:val="18"/>
              </w:rPr>
              <w:t>Service introduction and invitation</w:t>
            </w:r>
          </w:p>
        </w:tc>
        <w:tc>
          <w:tcPr>
            <w:tcW w:type="dxa" w:w="5760"/>
            <w:vAlign w:val="center"/>
            <w:shd w:fill="FFFFFF"/>
            <w:tcMar>
              <w:top w:w="90" w:type="dxa"/>
              <w:bottom w:w="90" w:type="dxa"/>
              <w:left w:w="90" w:type="dxa"/>
              <w:right w:w="90" w:type="dxa"/>
            </w:tcMar>
          </w:tcPr>
          <w:p>
            <w:pPr>
              <w:spacing w:after="60" w:line="259" w:lineRule="auto"/>
            </w:pPr>
            <w:r>
              <w:rPr>
                <w:b w:val="0"/>
                <w:color w:val="242427"/>
                <w:sz w:val="18"/>
              </w:rPr>
              <w:t>Present ASSESS SHIFT, the three packages and the Chemistry Session. Each listens and helps the viewer reflect.</w:t>
            </w:r>
          </w:p>
        </w:tc>
      </w:tr>
    </w:tbl>
    <w:p>
      <w:pPr>
        <w:pStyle w:val="Heading2"/>
      </w:pPr>
      <w:r>
        <w:t>Scene responsibilities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96"/>
        <w:gridCol w:w="1224"/>
        <w:gridCol w:w="7560"/>
      </w:tblGrid>
      <w:tr>
        <w:trPr>
          <w:cantSplit/>
          <w:cantSplit/>
          <w:cantSplit/>
          <w:tblHeader/>
        </w:trPr>
        <w:tc>
          <w:tcPr>
            <w:tcW w:type="dxa" w:w="1296"/>
            <w:vAlign w:val="center"/>
            <w:shd w:fill="3A0A10"/>
            <w:tcMar>
              <w:top w:w="90" w:type="dxa"/>
              <w:bottom w:w="90" w:type="dxa"/>
              <w:left w:w="90" w:type="dxa"/>
              <w:right w:w="90" w:type="dxa"/>
            </w:tcMar>
          </w:tcPr>
          <w:p>
            <w:pPr>
              <w:spacing w:after="60" w:line="259" w:lineRule="auto"/>
            </w:pPr>
            <w:r>
              <w:rPr>
                <w:b/>
                <w:color w:val="FFFFFF"/>
                <w:sz w:val="18"/>
              </w:rPr>
              <w:t>Time</w:t>
            </w:r>
          </w:p>
        </w:tc>
        <w:tc>
          <w:tcPr>
            <w:tcW w:type="dxa" w:w="1224"/>
            <w:vAlign w:val="center"/>
            <w:shd w:fill="3A0A10"/>
            <w:tcMar>
              <w:top w:w="90" w:type="dxa"/>
              <w:bottom w:w="90" w:type="dxa"/>
              <w:left w:w="90" w:type="dxa"/>
              <w:right w:w="90" w:type="dxa"/>
            </w:tcMar>
          </w:tcPr>
          <w:p>
            <w:pPr>
              <w:spacing w:after="60" w:line="259" w:lineRule="auto"/>
            </w:pPr>
            <w:r>
              <w:rPr>
                <w:b/>
                <w:color w:val="FFFFFF"/>
                <w:sz w:val="18"/>
              </w:rPr>
              <w:t>Lead</w:t>
            </w:r>
          </w:p>
        </w:tc>
        <w:tc>
          <w:tcPr>
            <w:tcW w:type="dxa" w:w="7560"/>
            <w:vAlign w:val="center"/>
            <w:shd w:fill="3A0A10"/>
            <w:tcMar>
              <w:top w:w="90" w:type="dxa"/>
              <w:bottom w:w="90" w:type="dxa"/>
              <w:left w:w="90" w:type="dxa"/>
              <w:right w:w="90" w:type="dxa"/>
            </w:tcMar>
          </w:tcPr>
          <w:p>
            <w:pPr>
              <w:spacing w:after="60" w:line="259" w:lineRule="auto"/>
            </w:pPr>
            <w:r>
              <w:rPr>
                <w:b/>
                <w:color w:val="FFFFFF"/>
                <w:sz w:val="18"/>
              </w:rPr>
              <w:t>Responsibility</w:t>
            </w:r>
          </w:p>
        </w:tc>
      </w:tr>
      <w:tr>
        <w:trPr>
          <w:cantSplit/>
          <w:cantSplit/>
          <w:cantSplit/>
        </w:trPr>
        <w:tc>
          <w:tcPr>
            <w:tcW w:type="dxa" w:w="1296"/>
            <w:vAlign w:val="center"/>
            <w:shd w:fill="FFFFFF"/>
            <w:tcMar>
              <w:top w:w="90" w:type="dxa"/>
              <w:bottom w:w="90" w:type="dxa"/>
              <w:left w:w="90" w:type="dxa"/>
              <w:right w:w="90" w:type="dxa"/>
            </w:tcMar>
          </w:tcPr>
          <w:p>
            <w:pPr>
              <w:spacing w:after="60" w:line="259" w:lineRule="auto"/>
            </w:pPr>
            <w:r>
              <w:rPr>
                <w:b w:val="0"/>
                <w:color w:val="242427"/>
                <w:sz w:val="18"/>
              </w:rPr>
              <w:t>00–07</w:t>
            </w:r>
          </w:p>
        </w:tc>
        <w:tc>
          <w:tcPr>
            <w:tcW w:type="dxa" w:w="1224"/>
            <w:vAlign w:val="center"/>
            <w:shd w:fill="FFFFFF"/>
            <w:tcMar>
              <w:top w:w="90" w:type="dxa"/>
              <w:bottom w:w="90" w:type="dxa"/>
              <w:left w:w="90" w:type="dxa"/>
              <w:right w:w="90" w:type="dxa"/>
            </w:tcMar>
          </w:tcPr>
          <w:p>
            <w:pPr>
              <w:spacing w:after="60" w:line="259" w:lineRule="auto"/>
            </w:pPr>
            <w:r>
              <w:rPr>
                <w:b w:val="0"/>
                <w:color w:val="242427"/>
                <w:sz w:val="18"/>
              </w:rPr>
              <w:t>Nour</w:t>
            </w:r>
          </w:p>
        </w:tc>
        <w:tc>
          <w:tcPr>
            <w:tcW w:type="dxa" w:w="7560"/>
            <w:vAlign w:val="center"/>
            <w:shd w:fill="FFFFFF"/>
            <w:tcMar>
              <w:top w:w="90" w:type="dxa"/>
              <w:bottom w:w="90" w:type="dxa"/>
              <w:left w:w="90" w:type="dxa"/>
              <w:right w:w="90" w:type="dxa"/>
            </w:tcMar>
          </w:tcPr>
          <w:p>
            <w:pPr>
              <w:spacing w:after="60" w:line="259" w:lineRule="auto"/>
            </w:pPr>
            <w:r>
              <w:rPr>
                <w:b w:val="0"/>
                <w:color w:val="242427"/>
                <w:sz w:val="18"/>
              </w:rPr>
              <w:t>Recognize the viewer’s career question.</w:t>
            </w:r>
          </w:p>
        </w:tc>
      </w:tr>
      <w:tr>
        <w:trPr>
          <w:cantSplit/>
          <w:cantSplit/>
          <w:cantSplit/>
        </w:trPr>
        <w:tc>
          <w:tcPr>
            <w:tcW w:type="dxa" w:w="1296"/>
            <w:vAlign w:val="center"/>
            <w:shd w:fill="F5F5F6"/>
            <w:tcMar>
              <w:top w:w="90" w:type="dxa"/>
              <w:bottom w:w="90" w:type="dxa"/>
              <w:left w:w="90" w:type="dxa"/>
              <w:right w:w="90" w:type="dxa"/>
            </w:tcMar>
          </w:tcPr>
          <w:p>
            <w:pPr>
              <w:spacing w:after="60" w:line="259" w:lineRule="auto"/>
            </w:pPr>
            <w:r>
              <w:rPr>
                <w:b w:val="0"/>
                <w:color w:val="242427"/>
                <w:sz w:val="18"/>
              </w:rPr>
              <w:t>07–16</w:t>
            </w:r>
          </w:p>
        </w:tc>
        <w:tc>
          <w:tcPr>
            <w:tcW w:type="dxa" w:w="1224"/>
            <w:vAlign w:val="center"/>
            <w:shd w:fill="F5F5F6"/>
            <w:tcMar>
              <w:top w:w="90" w:type="dxa"/>
              <w:bottom w:w="90" w:type="dxa"/>
              <w:left w:w="90" w:type="dxa"/>
              <w:right w:w="90" w:type="dxa"/>
            </w:tcMar>
          </w:tcPr>
          <w:p>
            <w:pPr>
              <w:spacing w:after="60" w:line="259" w:lineRule="auto"/>
            </w:pPr>
            <w:r>
              <w:rPr>
                <w:b w:val="0"/>
                <w:color w:val="242427"/>
                <w:sz w:val="18"/>
              </w:rPr>
              <w:t>Graphics</w:t>
            </w:r>
          </w:p>
        </w:tc>
        <w:tc>
          <w:tcPr>
            <w:tcW w:type="dxa" w:w="7560"/>
            <w:vAlign w:val="center"/>
            <w:shd w:fill="F5F5F6"/>
            <w:tcMar>
              <w:top w:w="90" w:type="dxa"/>
              <w:bottom w:w="90" w:type="dxa"/>
              <w:left w:w="90" w:type="dxa"/>
              <w:right w:w="90" w:type="dxa"/>
            </w:tcMar>
          </w:tcPr>
          <w:p>
            <w:pPr>
              <w:spacing w:after="60" w:line="259" w:lineRule="auto"/>
            </w:pPr>
            <w:r>
              <w:rPr>
                <w:b w:val="0"/>
                <w:color w:val="242427"/>
                <w:sz w:val="18"/>
              </w:rPr>
              <w:t>Show options with no character making a decision.</w:t>
            </w:r>
          </w:p>
        </w:tc>
      </w:tr>
      <w:tr>
        <w:trPr>
          <w:cantSplit/>
          <w:cantSplit/>
          <w:cantSplit/>
        </w:trPr>
        <w:tc>
          <w:tcPr>
            <w:tcW w:type="dxa" w:w="1296"/>
            <w:vAlign w:val="center"/>
            <w:shd w:fill="FFFFFF"/>
            <w:tcMar>
              <w:top w:w="90" w:type="dxa"/>
              <w:bottom w:w="90" w:type="dxa"/>
              <w:left w:w="90" w:type="dxa"/>
              <w:right w:w="90" w:type="dxa"/>
            </w:tcMar>
          </w:tcPr>
          <w:p>
            <w:pPr>
              <w:spacing w:after="60" w:line="259" w:lineRule="auto"/>
            </w:pPr>
            <w:r>
              <w:rPr>
                <w:b w:val="0"/>
                <w:color w:val="242427"/>
                <w:sz w:val="18"/>
              </w:rPr>
              <w:t>16–25</w:t>
            </w:r>
          </w:p>
        </w:tc>
        <w:tc>
          <w:tcPr>
            <w:tcW w:type="dxa" w:w="1224"/>
            <w:vAlign w:val="center"/>
            <w:shd w:fill="FFFFFF"/>
            <w:tcMar>
              <w:top w:w="90" w:type="dxa"/>
              <w:bottom w:w="90" w:type="dxa"/>
              <w:left w:w="90" w:type="dxa"/>
              <w:right w:w="90" w:type="dxa"/>
            </w:tcMar>
          </w:tcPr>
          <w:p>
            <w:pPr>
              <w:spacing w:after="60" w:line="259" w:lineRule="auto"/>
            </w:pPr>
            <w:r>
              <w:rPr>
                <w:b w:val="0"/>
                <w:color w:val="242427"/>
                <w:sz w:val="18"/>
              </w:rPr>
              <w:t>Both</w:t>
            </w:r>
          </w:p>
        </w:tc>
        <w:tc>
          <w:tcPr>
            <w:tcW w:type="dxa" w:w="7560"/>
            <w:vAlign w:val="center"/>
            <w:shd w:fill="FFFFFF"/>
            <w:tcMar>
              <w:top w:w="90" w:type="dxa"/>
              <w:bottom w:w="90" w:type="dxa"/>
              <w:left w:w="90" w:type="dxa"/>
              <w:right w:w="90" w:type="dxa"/>
            </w:tcMar>
          </w:tcPr>
          <w:p>
            <w:pPr>
              <w:spacing w:after="60" w:line="259" w:lineRule="auto"/>
            </w:pPr>
            <w:r>
              <w:rPr>
                <w:b w:val="0"/>
                <w:color w:val="242427"/>
                <w:sz w:val="18"/>
              </w:rPr>
              <w:t>Introduce the service with matched portrait prominence.</w:t>
            </w:r>
          </w:p>
        </w:tc>
      </w:tr>
      <w:tr>
        <w:trPr>
          <w:cantSplit/>
          <w:cantSplit/>
          <w:cantSplit/>
        </w:trPr>
        <w:tc>
          <w:tcPr>
            <w:tcW w:type="dxa" w:w="1296"/>
            <w:vAlign w:val="center"/>
            <w:shd w:fill="F5F5F6"/>
            <w:tcMar>
              <w:top w:w="90" w:type="dxa"/>
              <w:bottom w:w="90" w:type="dxa"/>
              <w:left w:w="90" w:type="dxa"/>
              <w:right w:w="90" w:type="dxa"/>
            </w:tcMar>
          </w:tcPr>
          <w:p>
            <w:pPr>
              <w:spacing w:after="60" w:line="259" w:lineRule="auto"/>
            </w:pPr>
            <w:r>
              <w:rPr>
                <w:b w:val="0"/>
                <w:color w:val="242427"/>
                <w:sz w:val="18"/>
              </w:rPr>
              <w:t>25–38</w:t>
            </w:r>
          </w:p>
        </w:tc>
        <w:tc>
          <w:tcPr>
            <w:tcW w:type="dxa" w:w="1224"/>
            <w:vAlign w:val="center"/>
            <w:shd w:fill="F5F5F6"/>
            <w:tcMar>
              <w:top w:w="90" w:type="dxa"/>
              <w:bottom w:w="90" w:type="dxa"/>
              <w:left w:w="90" w:type="dxa"/>
              <w:right w:w="90" w:type="dxa"/>
            </w:tcMar>
          </w:tcPr>
          <w:p>
            <w:pPr>
              <w:spacing w:after="60" w:line="259" w:lineRule="auto"/>
            </w:pPr>
            <w:r>
              <w:rPr>
                <w:b w:val="0"/>
                <w:color w:val="242427"/>
                <w:sz w:val="18"/>
              </w:rPr>
              <w:t>Samir</w:t>
            </w:r>
          </w:p>
        </w:tc>
        <w:tc>
          <w:tcPr>
            <w:tcW w:type="dxa" w:w="7560"/>
            <w:vAlign w:val="center"/>
            <w:shd w:fill="F5F5F6"/>
            <w:tcMar>
              <w:top w:w="90" w:type="dxa"/>
              <w:bottom w:w="90" w:type="dxa"/>
              <w:left w:w="90" w:type="dxa"/>
              <w:right w:w="90" w:type="dxa"/>
            </w:tcMar>
          </w:tcPr>
          <w:p>
            <w:pPr>
              <w:spacing w:after="60" w:line="259" w:lineRule="auto"/>
            </w:pPr>
            <w:r>
              <w:rPr>
                <w:b w:val="0"/>
                <w:color w:val="242427"/>
                <w:sz w:val="18"/>
              </w:rPr>
              <w:t>Introduce interests and motivation insight cards.</w:t>
            </w:r>
          </w:p>
        </w:tc>
      </w:tr>
      <w:tr>
        <w:trPr>
          <w:cantSplit/>
          <w:cantSplit/>
          <w:cantSplit/>
        </w:trPr>
        <w:tc>
          <w:tcPr>
            <w:tcW w:type="dxa" w:w="1296"/>
            <w:vAlign w:val="center"/>
            <w:shd w:fill="FFFFFF"/>
            <w:tcMar>
              <w:top w:w="90" w:type="dxa"/>
              <w:bottom w:w="90" w:type="dxa"/>
              <w:left w:w="90" w:type="dxa"/>
              <w:right w:w="90" w:type="dxa"/>
            </w:tcMar>
          </w:tcPr>
          <w:p>
            <w:pPr>
              <w:spacing w:after="60" w:line="259" w:lineRule="auto"/>
            </w:pPr>
            <w:r>
              <w:rPr>
                <w:b w:val="0"/>
                <w:color w:val="242427"/>
                <w:sz w:val="18"/>
              </w:rPr>
              <w:t>38–51</w:t>
            </w:r>
          </w:p>
        </w:tc>
        <w:tc>
          <w:tcPr>
            <w:tcW w:type="dxa" w:w="1224"/>
            <w:vAlign w:val="center"/>
            <w:shd w:fill="FFFFFF"/>
            <w:tcMar>
              <w:top w:w="90" w:type="dxa"/>
              <w:bottom w:w="90" w:type="dxa"/>
              <w:left w:w="90" w:type="dxa"/>
              <w:right w:w="90" w:type="dxa"/>
            </w:tcMar>
          </w:tcPr>
          <w:p>
            <w:pPr>
              <w:spacing w:after="60" w:line="259" w:lineRule="auto"/>
            </w:pPr>
            <w:r>
              <w:rPr>
                <w:b w:val="0"/>
                <w:color w:val="242427"/>
                <w:sz w:val="18"/>
              </w:rPr>
              <w:t>Nour</w:t>
            </w:r>
          </w:p>
        </w:tc>
        <w:tc>
          <w:tcPr>
            <w:tcW w:type="dxa" w:w="7560"/>
            <w:vAlign w:val="center"/>
            <w:shd w:fill="FFFFFF"/>
            <w:tcMar>
              <w:top w:w="90" w:type="dxa"/>
              <w:bottom w:w="90" w:type="dxa"/>
              <w:left w:w="90" w:type="dxa"/>
              <w:right w:w="90" w:type="dxa"/>
            </w:tcMar>
          </w:tcPr>
          <w:p>
            <w:pPr>
              <w:spacing w:after="60" w:line="259" w:lineRule="auto"/>
            </w:pPr>
            <w:r>
              <w:rPr>
                <w:b w:val="0"/>
                <w:color w:val="242427"/>
                <w:sz w:val="18"/>
              </w:rPr>
              <w:t>Explore realistic options and life priorities.</w:t>
            </w:r>
          </w:p>
        </w:tc>
      </w:tr>
      <w:tr>
        <w:trPr>
          <w:cantSplit/>
          <w:cantSplit/>
          <w:cantSplit/>
        </w:trPr>
        <w:tc>
          <w:tcPr>
            <w:tcW w:type="dxa" w:w="1296"/>
            <w:vAlign w:val="center"/>
            <w:shd w:fill="F5F5F6"/>
            <w:tcMar>
              <w:top w:w="90" w:type="dxa"/>
              <w:bottom w:w="90" w:type="dxa"/>
              <w:left w:w="90" w:type="dxa"/>
              <w:right w:w="90" w:type="dxa"/>
            </w:tcMar>
          </w:tcPr>
          <w:p>
            <w:pPr>
              <w:spacing w:after="60" w:line="259" w:lineRule="auto"/>
            </w:pPr>
            <w:r>
              <w:rPr>
                <w:b w:val="0"/>
                <w:color w:val="242427"/>
                <w:sz w:val="18"/>
              </w:rPr>
              <w:t>51–61</w:t>
            </w:r>
          </w:p>
        </w:tc>
        <w:tc>
          <w:tcPr>
            <w:tcW w:type="dxa" w:w="1224"/>
            <w:vAlign w:val="center"/>
            <w:shd w:fill="F5F5F6"/>
            <w:tcMar>
              <w:top w:w="90" w:type="dxa"/>
              <w:bottom w:w="90" w:type="dxa"/>
              <w:left w:w="90" w:type="dxa"/>
              <w:right w:w="90" w:type="dxa"/>
            </w:tcMar>
          </w:tcPr>
          <w:p>
            <w:pPr>
              <w:spacing w:after="60" w:line="259" w:lineRule="auto"/>
            </w:pPr>
            <w:r>
              <w:rPr>
                <w:b w:val="0"/>
                <w:color w:val="242427"/>
                <w:sz w:val="18"/>
              </w:rPr>
              <w:t>Samir</w:t>
            </w:r>
          </w:p>
        </w:tc>
        <w:tc>
          <w:tcPr>
            <w:tcW w:type="dxa" w:w="7560"/>
            <w:vAlign w:val="center"/>
            <w:shd w:fill="F5F5F6"/>
            <w:tcMar>
              <w:top w:w="90" w:type="dxa"/>
              <w:bottom w:w="90" w:type="dxa"/>
              <w:left w:w="90" w:type="dxa"/>
              <w:right w:w="90" w:type="dxa"/>
            </w:tcMar>
          </w:tcPr>
          <w:p>
            <w:pPr>
              <w:spacing w:after="60" w:line="259" w:lineRule="auto"/>
            </w:pPr>
            <w:r>
              <w:rPr>
                <w:b w:val="0"/>
                <w:color w:val="242427"/>
                <w:sz w:val="18"/>
              </w:rPr>
              <w:t>Explain practical next steps and testing an option.</w:t>
            </w:r>
          </w:p>
        </w:tc>
      </w:tr>
      <w:tr>
        <w:trPr>
          <w:cantSplit/>
          <w:cantSplit/>
          <w:cantSplit/>
        </w:trPr>
        <w:tc>
          <w:tcPr>
            <w:tcW w:type="dxa" w:w="1296"/>
            <w:vAlign w:val="center"/>
            <w:shd w:fill="FFFFFF"/>
            <w:tcMar>
              <w:top w:w="90" w:type="dxa"/>
              <w:bottom w:w="90" w:type="dxa"/>
              <w:left w:w="90" w:type="dxa"/>
              <w:right w:w="90" w:type="dxa"/>
            </w:tcMar>
          </w:tcPr>
          <w:p>
            <w:pPr>
              <w:spacing w:after="60" w:line="259" w:lineRule="auto"/>
            </w:pPr>
            <w:r>
              <w:rPr>
                <w:b w:val="0"/>
                <w:color w:val="242427"/>
                <w:sz w:val="18"/>
              </w:rPr>
              <w:t>61–68</w:t>
            </w:r>
          </w:p>
        </w:tc>
        <w:tc>
          <w:tcPr>
            <w:tcW w:type="dxa" w:w="1224"/>
            <w:vAlign w:val="center"/>
            <w:shd w:fill="FFFFFF"/>
            <w:tcMar>
              <w:top w:w="90" w:type="dxa"/>
              <w:bottom w:w="90" w:type="dxa"/>
              <w:left w:w="90" w:type="dxa"/>
              <w:right w:w="90" w:type="dxa"/>
            </w:tcMar>
          </w:tcPr>
          <w:p>
            <w:pPr>
              <w:spacing w:after="60" w:line="259" w:lineRule="auto"/>
            </w:pPr>
            <w:r>
              <w:rPr>
                <w:b w:val="0"/>
                <w:color w:val="242427"/>
                <w:sz w:val="18"/>
              </w:rPr>
              <w:t>Both</w:t>
            </w:r>
          </w:p>
        </w:tc>
        <w:tc>
          <w:tcPr>
            <w:tcW w:type="dxa" w:w="7560"/>
            <w:vAlign w:val="center"/>
            <w:shd w:fill="FFFFFF"/>
            <w:tcMar>
              <w:top w:w="90" w:type="dxa"/>
              <w:bottom w:w="90" w:type="dxa"/>
              <w:left w:w="90" w:type="dxa"/>
              <w:right w:w="90" w:type="dxa"/>
            </w:tcMar>
          </w:tcPr>
          <w:p>
            <w:pPr>
              <w:spacing w:after="60" w:line="259" w:lineRule="auto"/>
            </w:pPr>
            <w:r>
              <w:rPr>
                <w:b w:val="0"/>
                <w:color w:val="242427"/>
                <w:sz w:val="18"/>
              </w:rPr>
              <w:t>Present package names with neutral equal treatment.</w:t>
            </w:r>
          </w:p>
        </w:tc>
      </w:tr>
      <w:tr>
        <w:trPr>
          <w:cantSplit/>
          <w:cantSplit/>
          <w:cantSplit/>
        </w:trPr>
        <w:tc>
          <w:tcPr>
            <w:tcW w:type="dxa" w:w="1296"/>
            <w:vAlign w:val="center"/>
            <w:shd w:fill="F5F5F6"/>
            <w:tcMar>
              <w:top w:w="90" w:type="dxa"/>
              <w:bottom w:w="90" w:type="dxa"/>
              <w:left w:w="90" w:type="dxa"/>
              <w:right w:w="90" w:type="dxa"/>
            </w:tcMar>
          </w:tcPr>
          <w:p>
            <w:pPr>
              <w:spacing w:after="60" w:line="259" w:lineRule="auto"/>
            </w:pPr>
            <w:r>
              <w:rPr>
                <w:b w:val="0"/>
                <w:color w:val="242427"/>
                <w:sz w:val="18"/>
              </w:rPr>
              <w:t>68–75</w:t>
            </w:r>
          </w:p>
        </w:tc>
        <w:tc>
          <w:tcPr>
            <w:tcW w:type="dxa" w:w="1224"/>
            <w:vAlign w:val="center"/>
            <w:shd w:fill="F5F5F6"/>
            <w:tcMar>
              <w:top w:w="90" w:type="dxa"/>
              <w:bottom w:w="90" w:type="dxa"/>
              <w:left w:w="90" w:type="dxa"/>
              <w:right w:w="90" w:type="dxa"/>
            </w:tcMar>
          </w:tcPr>
          <w:p>
            <w:pPr>
              <w:spacing w:after="60" w:line="259" w:lineRule="auto"/>
            </w:pPr>
            <w:r>
              <w:rPr>
                <w:b w:val="0"/>
                <w:color w:val="242427"/>
                <w:sz w:val="18"/>
              </w:rPr>
              <w:t>Both</w:t>
            </w:r>
          </w:p>
        </w:tc>
        <w:tc>
          <w:tcPr>
            <w:tcW w:type="dxa" w:w="7560"/>
            <w:vAlign w:val="center"/>
            <w:shd w:fill="F5F5F6"/>
            <w:tcMar>
              <w:top w:w="90" w:type="dxa"/>
              <w:bottom w:w="90" w:type="dxa"/>
              <w:left w:w="90" w:type="dxa"/>
              <w:right w:w="90" w:type="dxa"/>
            </w:tcMar>
          </w:tcPr>
          <w:p>
            <w:pPr>
              <w:spacing w:after="60" w:line="259" w:lineRule="auto"/>
            </w:pPr>
            <w:r>
              <w:rPr>
                <w:b w:val="0"/>
                <w:color w:val="242427"/>
                <w:sz w:val="18"/>
              </w:rPr>
              <w:t>Invite a Chemistry Session; hold the CTA.</w:t>
            </w:r>
          </w:p>
        </w:tc>
      </w:tr>
    </w:tbl>
    <w:p>
      <w:pPr>
        <w:pStyle w:val="Heading2"/>
      </w:pPr>
      <w:r>
        <w:t>Voice and movement</w:t>
      </w:r>
    </w:p>
    <w:p>
      <w:r>
        <w:t>Use one external narrator for the first version. The coaches support the narration visually; mouths remain still. Optional alternating character voices require separate reviewed recordings and appropriate mouth assets. Use restrained cutout movement and planned pose changes for photographic characters.</w:t>
      </w:r>
    </w:p>
    <w:p>
      <w:pPr>
        <w:pStyle w:val="Heading2"/>
      </w:pPr>
      <w:r>
        <w:t>Balance and decision ownership</w:t>
      </w:r>
    </w:p>
    <w:p>
      <w:r>
        <w:t>The provisional plan gives Nour 20 seconds of solo scenes, Samir 23 and both 23 seconds together; graphics occupy 9 seconds. Keep visual scale and authority comparable. No extra client character is required. The viewer owns the career decision.</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Liberation Sans" w:hAnsi="Liberation San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4" w:lineRule="auto"/>
      <w:outlineLvl w:val="0"/>
    </w:pPr>
    <w:rPr>
      <w:rFonts w:asciiTheme="majorHAnsi" w:eastAsiaTheme="majorEastAsia" w:hAnsiTheme="majorHAnsi" w:cstheme="majorBidi" w:ascii="Liberation Sans" w:hAnsi="Liberation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120" w:line="254" w:lineRule="auto"/>
      <w:outlineLvl w:val="1"/>
    </w:pPr>
    <w:rPr>
      <w:rFonts w:asciiTheme="majorHAnsi" w:eastAsiaTheme="majorEastAsia" w:hAnsiTheme="majorHAnsi" w:cstheme="majorBidi" w:ascii="Liberation Sans" w:hAnsi="Liberation San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line="254" w:lineRule="auto"/>
      <w:outlineLvl w:val="2"/>
    </w:pPr>
    <w:rPr>
      <w:rFonts w:asciiTheme="majorHAnsi" w:eastAsiaTheme="majorEastAsia" w:hAnsiTheme="majorHAnsi" w:cstheme="majorBidi" w:ascii="Liberation Sans" w:hAnsi="Liberation Sans"/>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4" w:lineRule="auto"/>
      <w:contextualSpacing/>
    </w:pPr>
    <w:rPr>
      <w:rFonts w:asciiTheme="majorHAnsi" w:eastAsiaTheme="majorEastAsia" w:hAnsiTheme="majorHAnsi" w:cstheme="majorBidi" w:ascii="Liberation Sans" w:hAnsi="Liberation Sans"/>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4" w:lineRule="auto"/>
    </w:pPr>
    <w:rPr>
      <w:rFonts w:asciiTheme="majorHAnsi" w:eastAsiaTheme="majorEastAsia" w:hAnsiTheme="majorHAnsi" w:cstheme="majorBidi" w:ascii="Liberation Sans" w:hAnsi="Liberation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52" w:lineRule="auto"/>
      <w:contextualSpacing/>
    </w:pPr>
    <w:rPr>
      <w:rFonts w:ascii="Liberation Sans" w:hAnsi="Liberation San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 SHIFT Brand and Character Sheet</dc:title>
  <dc:subject>Career coaching campaign and introduction video</dc:subject>
  <dc:creator>ASSESS International</dc:creator>
  <cp:keywords/>
  <dc:description>generated by python-docx</dc:description>
  <cp:lastModifiedBy/>
  <cp:revision>1</cp:revision>
  <dcterms:created xsi:type="dcterms:W3CDTF">2013-12-23T23:15:00Z</dcterms:created>
  <dcterms:modified xsi:type="dcterms:W3CDTF">2013-12-23T23:15:00Z</dcterms:modified>
  <cp:category/>
</cp:coreProperties>
</file>