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0f80d6a3c1abfd69293831f91df010be15d2917"/>
    <w:p>
      <w:pPr>
        <w:pStyle w:val="Heading1"/>
      </w:pPr>
      <w:r>
        <w:t xml:space="preserve">MAS BADGES — Governing Document Architecture &amp; Manual Revision Plan</w:t>
      </w:r>
    </w:p>
    <w:p>
      <w:pPr>
        <w:pStyle w:val="FirstParagraph"/>
      </w:pPr>
      <w:r>
        <w:rPr>
          <w:iCs/>
          <w:i/>
        </w:rPr>
        <w:t xml:space="preserve">A proposal for reorganizing the MAS BADGES governing documents into a layered set: a thin requirements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Manual</w:t>
      </w:r>
      <w:r>
        <w:rPr>
          <w:iCs/>
          <w:i/>
        </w:rPr>
        <w:t xml:space="preserve"> </w:t>
      </w:r>
      <w:r>
        <w:rPr>
          <w:iCs/>
          <w:i/>
        </w:rPr>
        <w:t xml:space="preserve">on top, specialist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Syllabus / Handbooks / Course Guides</w:t>
      </w:r>
      <w:r>
        <w:rPr>
          <w:iCs/>
          <w:i/>
        </w:rPr>
        <w:t xml:space="preserve"> </w:t>
      </w:r>
      <w:r>
        <w:rPr>
          <w:iCs/>
          <w:i/>
        </w:rPr>
        <w:t xml:space="preserve">beneath it, and 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BADGES Platform Portal</w:t>
      </w:r>
      <w:r>
        <w:rPr>
          <w:iCs/>
          <w:i/>
        </w:rPr>
        <w:t xml:space="preserve"> </w:t>
      </w:r>
      <w:r>
        <w:rPr>
          <w:iCs/>
          <w:i/>
        </w:rPr>
        <w:t xml:space="preserve">as the execution hub that enforces the policies the documents describe.</w:t>
      </w:r>
    </w:p>
    <w:p>
      <w:pPr>
        <w:pStyle w:val="BodyText"/>
      </w:pPr>
      <w:r>
        <w:rPr>
          <w:bCs/>
          <w:b/>
        </w:rPr>
        <w:t xml:space="preserve">Scope:</w:t>
      </w:r>
      <w:r>
        <w:t xml:space="preserve"> </w:t>
      </w:r>
      <w:r>
        <w:t xml:space="preserve">what each document owns, what the Manual keeps vs. sheds, a section-by-section migration map out of</w:t>
      </w:r>
      <w:r>
        <w:t xml:space="preserve"> </w:t>
      </w:r>
      <w:r>
        <w:rPr>
          <w:rStyle w:val="VerbatimChar"/>
        </w:rPr>
        <w:t xml:space="preserve">MAS_Swim_Badges_Manual_v1.4.docx</w:t>
      </w:r>
      <w:r>
        <w:t xml:space="preserve">, and the cross-reference rules that keep one fact in one place.</w:t>
      </w:r>
    </w:p>
    <w:p>
      <w:pPr>
        <w:pStyle w:val="BodyText"/>
      </w:pPr>
      <w:r>
        <w:t xml:space="preserve">House style retained: American</w:t>
      </w:r>
      <w:r>
        <w:t xml:space="preserve"> </w:t>
      </w:r>
      <w:r>
        <w:rPr>
          <w:rStyle w:val="VerbatimChar"/>
        </w:rPr>
        <w:t xml:space="preserve">-ize</w:t>
      </w:r>
      <w:r>
        <w:t xml:space="preserve">; British</w:t>
      </w:r>
      <w:r>
        <w:t xml:space="preserve"> </w:t>
      </w:r>
      <w:r>
        <w:rPr>
          <w:rStyle w:val="VerbatimChar"/>
        </w:rPr>
        <w:t xml:space="preserve">centre/centres</w:t>
      </w:r>
      <w:r>
        <w:t xml:space="preserve">; "Program."</w:t>
      </w:r>
    </w:p>
    <w:p>
      <w:r>
        <w:pict>
          <v:rect style="width:0;height:1.5pt" o:hralign="center" o:hrstd="t" o:hr="t"/>
        </w:pict>
      </w:r>
    </w:p>
    <w:bookmarkStart w:id="20" w:name="X8bb8052aa90e4f4f854e465cb01eed37089caf1"/>
    <w:p>
      <w:pPr>
        <w:pStyle w:val="Heading2"/>
      </w:pPr>
      <w:r>
        <w:t xml:space="preserve">1. The problem with v1.4</w:t>
      </w:r>
    </w:p>
    <w:p>
      <w:pPr>
        <w:pStyle w:val="FirstParagraph"/>
      </w:pPr>
      <w:r>
        <w:t xml:space="preserve">The current Manual is a single operating handbook that mixes four altitudes in one document: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in 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live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Constitution</w:t>
            </w:r>
            <w:r>
              <w:t xml:space="preserve"> </w:t>
            </w:r>
            <w:r>
              <w:t xml:space="preserve">— what the system requires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Governance, roles, accountability, objectives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</w:t>
            </w:r>
            <w:r>
              <w:t xml:space="preserve"> </w:t>
            </w:r>
            <w:r>
              <w:t xml:space="preserve">(keep)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  <w:r>
              <w:t xml:space="preserve"> </w:t>
            </w:r>
            <w:r>
              <w:t xml:space="preserve">— the proficiency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A syllabus, §12 progression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Syllabus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Procedure</w:t>
            </w:r>
            <w:r>
              <w:t xml:space="preserve"> </w:t>
            </w:r>
            <w:r>
              <w:t xml:space="preserve">— how teaching / assessing is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 workshop content, §11 assessment process, Appendix C 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Handbooks + Course Guides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Mechanism</w:t>
            </w:r>
            <w:r>
              <w:t xml:space="preserve"> </w:t>
            </w:r>
            <w:r>
              <w:t xml:space="preserve">— the running system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Booking, billing, claim, certificate issue,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Portal</w:t>
            </w:r>
            <w:r>
              <w:t xml:space="preserve"> </w:t>
            </w:r>
            <w:r>
              <w:t xml:space="preserve">(documented, not re-specified)</w:t>
            </w:r>
          </w:p>
        </w:tc>
      </w:tr>
    </w:tbl>
    <w:p>
      <w:pPr>
        <w:pStyle w:val="BodyText"/>
      </w:pPr>
      <w:r>
        <w:t xml:space="preserve">Because all four sit together, every operational tweak (a fee change, a form field, a workshop day) forces a Manual re-edition and a fresh board sign-off. The fix is to make the Manual a</w:t>
      </w:r>
      <w:r>
        <w:t xml:space="preserve"> </w:t>
      </w:r>
      <w:r>
        <w:rPr>
          <w:bCs/>
          <w:b/>
        </w:rPr>
        <w:t xml:space="preserve">charter of requirements</w:t>
      </w:r>
      <w:r>
        <w:t xml:space="preserve"> </w:t>
      </w:r>
      <w:r>
        <w:t xml:space="preserve">and let the specialist documents and the Portal carry the detail that actually changes.</w:t>
      </w:r>
    </w:p>
    <w:p>
      <w:r>
        <w:pict>
          <v:rect style="width:0;height:1.5pt" o:hralign="center" o:hrstd="t" o:hr="t"/>
        </w:pict>
      </w:r>
    </w:p>
    <w:bookmarkEnd w:id="20"/>
    <w:bookmarkStart w:id="21" w:name="Xfa86eac70f54d06789e91690bf973c5eb90d1f8"/>
    <w:p>
      <w:pPr>
        <w:pStyle w:val="Heading2"/>
      </w:pPr>
      <w:r>
        <w:t xml:space="preserve">2. The target document set</w:t>
      </w:r>
    </w:p>
    <w:p>
      <w:pPr>
        <w:pStyle w:val="FirstParagraph"/>
      </w:pPr>
      <w:r>
        <w:t xml:space="preserve">Seven instruments, one hub.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MAS BADGES MANUAL  (the charter)   │</w:t>
      </w:r>
      <w:r>
        <w:br/>
      </w:r>
      <w:r>
        <w:rPr>
          <w:rStyle w:val="VerbatimChar"/>
        </w:rPr>
        <w:t xml:space="preserve">                          │   vision · governance · the          │</w:t>
      </w:r>
      <w:r>
        <w:br/>
      </w:r>
      <w:r>
        <w:rPr>
          <w:rStyle w:val="VerbatimChar"/>
        </w:rPr>
        <w:t xml:space="preserve">                          │   REQUIREMENTS, by topic — no how     │</w:t>
      </w:r>
      <w:r>
        <w:br/>
      </w:r>
      <w:r>
        <w:rPr>
          <w:rStyle w:val="VerbatimChar"/>
        </w:rPr>
        <w:t xml:space="preserve">                          └───────────────┬─────────────────────┘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 states requirements; defers specifics ↓</w:t>
      </w:r>
      <w:r>
        <w:br/>
      </w:r>
      <w:r>
        <w:rPr>
          <w:rStyle w:val="VerbatimChar"/>
        </w:rPr>
        <w:t xml:space="preserve">        ┌──────────────────┬──────────────┼───────────────────┬──────────────────┐</w:t>
      </w:r>
      <w:r>
        <w:br/>
      </w:r>
      <w:r>
        <w:rPr>
          <w:rStyle w:val="VerbatimChar"/>
        </w:rPr>
        <w:t xml:space="preserve">        ▼                  ▼              ▼                   ▼                  ▼</w:t>
      </w:r>
      <w:r>
        <w:br/>
      </w:r>
      <w:r>
        <w:rPr>
          <w:rStyle w:val="VerbatimChar"/>
        </w:rPr>
        <w:t xml:space="preserve"> ┌─────────────┐   ┌───────────────┐  ┌──────────────┐  ┌───────────────┐  (Partner Centre</w:t>
      </w:r>
      <w:r>
        <w:br/>
      </w:r>
      <w:r>
        <w:rPr>
          <w:rStyle w:val="VerbatimChar"/>
        </w:rPr>
        <w:t xml:space="preserve"> │ 7-LEVEL     │   │ TEACHING      │  │ ASSESSMENT   │  │  (governance   │   requirements stay</w:t>
      </w:r>
      <w:r>
        <w:br/>
      </w:r>
      <w:r>
        <w:rPr>
          <w:rStyle w:val="VerbatimChar"/>
        </w:rPr>
        <w:t xml:space="preserve"> │ SYLLABUS    │   │ SYSTEM        │  │ SYSTEM       │  │   code, child  │   in the Manual;</w:t>
      </w:r>
      <w:r>
        <w:br/>
      </w:r>
      <w:r>
        <w:rPr>
          <w:rStyle w:val="VerbatimChar"/>
        </w:rPr>
        <w:t xml:space="preserve"> │             │   │ HANDBOOK      │  │ HANDBOOK     │  │   safety…)     │   centre ops in Portal)</w:t>
      </w:r>
      <w:r>
        <w:br/>
      </w:r>
      <w:r>
        <w:rPr>
          <w:rStyle w:val="VerbatimChar"/>
        </w:rPr>
        <w:t xml:space="preserve"> │ outcomes/   │   │ how to teach  │  │ how to       │  └───────────────┘</w:t>
      </w:r>
      <w:r>
        <w:br/>
      </w:r>
      <w:r>
        <w:rPr>
          <w:rStyle w:val="VerbatimChar"/>
        </w:rPr>
        <w:t xml:space="preserve"> │ criteria    │   │ to the        │  │ assess to    │</w:t>
      </w:r>
      <w:r>
        <w:br/>
      </w:r>
      <w:r>
        <w:rPr>
          <w:rStyle w:val="VerbatimChar"/>
        </w:rPr>
        <w:t xml:space="preserve"> │ L1–L7       │   │ syllabus      │  │ the syllabus │</w:t>
      </w:r>
      <w:r>
        <w:br/>
      </w:r>
      <w:r>
        <w:rPr>
          <w:rStyle w:val="VerbatimChar"/>
        </w:rPr>
        <w:t xml:space="preserve"> └──────┬──────┘   └───────┬───────┘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 │                  │                 │</w:t>
      </w:r>
      <w:r>
        <w:br/>
      </w:r>
      <w:r>
        <w:rPr>
          <w:rStyle w:val="VerbatimChar"/>
        </w:rPr>
        <w:t xml:space="preserve">        │ feeds            ▼                 ▼</w:t>
      </w:r>
      <w:r>
        <w:br/>
      </w:r>
      <w:r>
        <w:rPr>
          <w:rStyle w:val="VerbatimChar"/>
        </w:rPr>
        <w:t xml:space="preserve">        │          ┌────────────────┐ ┌────────────────┐</w:t>
      </w:r>
      <w:r>
        <w:br/>
      </w:r>
      <w:r>
        <w:rPr>
          <w:rStyle w:val="VerbatimChar"/>
        </w:rPr>
        <w:t xml:space="preserve">        │          │ INSTRUCTOR     │ │ EXAMINER       │</w:t>
      </w:r>
      <w:r>
        <w:br/>
      </w:r>
      <w:r>
        <w:rPr>
          <w:rStyle w:val="VerbatimChar"/>
        </w:rPr>
        <w:t xml:space="preserve">        │          │ FOUNDATION     │ │ CERTIFICATION  │</w:t>
      </w:r>
      <w:r>
        <w:br/>
      </w:r>
      <w:r>
        <w:rPr>
          <w:rStyle w:val="VerbatimChar"/>
        </w:rPr>
        <w:t xml:space="preserve">        │          │ COURSE GUIDE   │ │ COURSE GUIDE   │</w:t>
      </w:r>
      <w:r>
        <w:br/>
      </w:r>
      <w:r>
        <w:rPr>
          <w:rStyle w:val="VerbatimChar"/>
        </w:rPr>
        <w:t xml:space="preserve">        │          │ (Master        │ │ (Master        │</w:t>
      </w:r>
      <w:r>
        <w:br/>
      </w:r>
      <w:r>
        <w:rPr>
          <w:rStyle w:val="VerbatimChar"/>
        </w:rPr>
        <w:t xml:space="preserve">        │          │  Trainer runs) │ │  Trainer runs) │</w:t>
      </w:r>
      <w:r>
        <w:br/>
      </w:r>
      <w:r>
        <w:rPr>
          <w:rStyle w:val="VerbatimChar"/>
        </w:rPr>
        <w:t xml:space="preserve">        │          └───────┬────────┘ └───────┬────────┘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└──────────────────┴───────┬──────────┴──────────────────┐</w:t>
      </w:r>
      <w:r>
        <w:br/>
      </w:r>
      <w:r>
        <w:rPr>
          <w:rStyle w:val="VerbatimChar"/>
        </w:rPr>
        <w:t xml:space="preserve">                                    ▼                             │</w:t>
      </w:r>
      <w:r>
        <w:br/>
      </w:r>
      <w:r>
        <w:rPr>
          <w:rStyle w:val="VerbatimChar"/>
        </w:rPr>
        <w:t xml:space="preserve">                        ┌───────────────────────────┐            │</w:t>
      </w:r>
      <w:r>
        <w:br/>
      </w:r>
      <w:r>
        <w:rPr>
          <w:rStyle w:val="VerbatimChar"/>
        </w:rPr>
        <w:t xml:space="preserve">                        │  BADGES PLATFORM PORTAL     │◄───────────┘</w:t>
      </w:r>
      <w:r>
        <w:br/>
      </w:r>
      <w:r>
        <w:rPr>
          <w:rStyle w:val="VerbatimChar"/>
        </w:rPr>
        <w:t xml:space="preserve">                        │  apps.masbadges.org         │</w:t>
      </w:r>
      <w:r>
        <w:br/>
      </w:r>
      <w:r>
        <w:rPr>
          <w:rStyle w:val="VerbatimChar"/>
        </w:rPr>
        <w:t xml:space="preserve">                        │  the system of record that  │  every handbook &amp; course</w:t>
      </w:r>
      <w:r>
        <w:br/>
      </w:r>
      <w:r>
        <w:rPr>
          <w:rStyle w:val="VerbatimChar"/>
        </w:rPr>
        <w:t xml:space="preserve">                        │  EXECUTES the policies; RLS  │  references the Portal as</w:t>
      </w:r>
      <w:r>
        <w:br/>
      </w:r>
      <w:r>
        <w:rPr>
          <w:rStyle w:val="VerbatimChar"/>
        </w:rPr>
        <w:t xml:space="preserve">                        │  is the real enforcement gate│  the place the work happens</w:t>
      </w:r>
      <w:r>
        <w:br/>
      </w:r>
      <w:r>
        <w:rPr>
          <w:rStyle w:val="VerbatimChar"/>
        </w:rPr>
        <w:t xml:space="preserve">                        └───────────────────────────┘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Custodian /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audience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BADGES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Governance, vision, and the</w:t>
            </w:r>
            <w:r>
              <w:t xml:space="preserve"> </w:t>
            </w:r>
            <w:r>
              <w:rPr>
                <w:iCs/>
                <w:i/>
              </w:rPr>
              <w:t xml:space="preserve">requirements</w:t>
            </w:r>
            <w:r>
              <w:t xml:space="preserve"> </w:t>
            </w:r>
            <w:r>
              <w:t xml:space="preserve">of the system — defers all specifics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Chairperson (program owner); Coaching Panel co-signs technical clauses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Board, governance, external stakeholders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7-Level Swimming Syllabus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proficiency standard: criteria/outcomes for L1–L7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Coaching &amp; Technical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Instructors, examiners, parents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Teaching System Handbook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instruction is delivered to meet the syllabus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Coaching Panel (technical) + Master Trainer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Instructors, partner centres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Instructor Foundation Certification Course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Outcomes/criteria to</w:t>
            </w:r>
            <w:r>
              <w:t xml:space="preserve"> </w:t>
            </w:r>
            <w:r>
              <w:rPr>
                <w:iCs/>
                <w:i/>
              </w:rPr>
              <w:t xml:space="preserve">become</w:t>
            </w:r>
            <w:r>
              <w:t xml:space="preserve"> </w:t>
            </w:r>
            <w:r>
              <w:t xml:space="preserve">a BADGES Instructor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System Master Trainer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 candidates, the Master Trainer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Assessment System Handbook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levels are assessed, recorded, and certified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Chief Examiner</w:t>
            </w:r>
            <w:r>
              <w:t xml:space="preserve"> </w:t>
            </w:r>
            <w:r>
              <w:t xml:space="preserve">(custody &amp; maintenance)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Examiners, partner centres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Examiner Certification Course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Outcomes/criteria to</w:t>
            </w:r>
            <w:r>
              <w:t xml:space="preserve"> </w:t>
            </w:r>
            <w:r>
              <w:rPr>
                <w:iCs/>
                <w:i/>
              </w:rPr>
              <w:t xml:space="preserve">become</w:t>
            </w:r>
            <w:r>
              <w:t xml:space="preserve"> </w:t>
            </w:r>
            <w:r>
              <w:t xml:space="preserve">a BADGES Examiner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BADGES System Master Trainer (with Chief Examiner)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Examiner candidates, the Master Trainer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BADGES Platform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Executes the policies; system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Anthony / system admin; governance per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roles, operationally</w:t>
            </w:r>
          </w:p>
        </w:tc>
      </w:tr>
    </w:tbl>
    <w:p>
      <w:pPr>
        <w:pStyle w:val="BodyText"/>
      </w:pPr>
      <w:r>
        <w:t xml:space="preserve">Two clean dependency chains fall out of this: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Teach side:</w:t>
      </w:r>
      <w:r>
        <w:t xml:space="preserve"> </w:t>
      </w:r>
      <w:r>
        <w:t xml:space="preserve">Manual → Syllabus → Teaching System Handbook → Instructor Foundation Course Guide → Portal.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Assess side:</w:t>
      </w:r>
      <w:r>
        <w:t xml:space="preserve"> </w:t>
      </w:r>
      <w:r>
        <w:t xml:space="preserve">Manual → Syllabus → Assessment System Handbook → Examiner Certification Course Guide → Portal.</w:t>
      </w:r>
    </w:p>
    <w:p>
      <w:pPr>
        <w:pStyle w:val="FirstParagraph"/>
      </w:pPr>
      <w:r>
        <w:t xml:space="preserve">The Syllabus is the shared spine both sides bend to. The Portal is where both sides converge in practice.</w:t>
      </w:r>
    </w:p>
    <w:p>
      <w:r>
        <w:pict>
          <v:rect style="width:0;height:1.5pt" o:hralign="center" o:hrstd="t" o:hr="t"/>
        </w:pict>
      </w:r>
    </w:p>
    <w:bookmarkEnd w:id="21"/>
    <w:bookmarkStart w:id="22" w:name="Xe37f7cdb7397107e69843db24f1957e67ac56b0"/>
    <w:p>
      <w:pPr>
        <w:pStyle w:val="Heading2"/>
      </w:pPr>
      <w:r>
        <w:t xml:space="preserve">3. The doctrine of separation (the rule that keeps it clean)</w:t>
      </w:r>
    </w:p>
    <w:p>
      <w:pPr>
        <w:pStyle w:val="FirstParagraph"/>
      </w:pPr>
      <w:r>
        <w:t xml:space="preserve">Four sentences govern the whole set: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Manual states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that</w:t>
      </w:r>
      <w:r>
        <w:rPr>
          <w:bCs/>
          <w:b/>
        </w:rPr>
        <w:t xml:space="preserve"> </w:t>
      </w:r>
      <w:r>
        <w:rPr>
          <w:bCs/>
          <w:b/>
        </w:rPr>
        <w:t xml:space="preserve">something must happen 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who</w:t>
      </w:r>
      <w:r>
        <w:rPr>
          <w:bCs/>
          <w:b/>
        </w:rPr>
        <w:t xml:space="preserve"> </w:t>
      </w:r>
      <w:r>
        <w:rPr>
          <w:bCs/>
          <w:b/>
        </w:rPr>
        <w:t xml:space="preserve">is accountable. It never states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how</w:t>
      </w:r>
      <w:r>
        <w:rPr>
          <w:bCs/>
          <w:b/>
        </w:rPr>
        <w:t xml:space="preserve">.</w:t>
      </w:r>
      <w:r>
        <w:t xml:space="preserve"> </w:t>
      </w:r>
      <w:r>
        <w:t xml:space="preserve">("Every candidate is assessed against the published syllabus by a certified examiner." — yes. The pre-assessment safety checklist — no, that's the Assessment Handbook.)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Handbook states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how</w:t>
      </w:r>
      <w:r>
        <w:rPr>
          <w:bCs/>
          <w:b/>
        </w:rPr>
        <w:t xml:space="preserve"> </w:t>
      </w:r>
      <w:r>
        <w:rPr>
          <w:bCs/>
          <w:b/>
        </w:rPr>
        <w:t xml:space="preserve">the work is done, to the standard the Syllabus defines.</w:t>
      </w:r>
      <w:r>
        <w:t xml:space="preserve"> </w:t>
      </w:r>
      <w:r>
        <w:t xml:space="preserve">It is the operating doctrine for a role, refreshed as practice matures, without a board re-edition.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Course Guide states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outcomes and criteria</w:t>
      </w:r>
      <w:r>
        <w:rPr>
          <w:bCs/>
          <w:b/>
        </w:rPr>
        <w:t xml:space="preserve"> </w:t>
      </w:r>
      <w:r>
        <w:rPr>
          <w:bCs/>
          <w:b/>
        </w:rPr>
        <w:t xml:space="preserve">for certifying a person to do that work,</w:t>
      </w:r>
      <w:r>
        <w:t xml:space="preserve"> </w:t>
      </w:r>
      <w:r>
        <w:t xml:space="preserve">and is delivered by the Master Trainer. It points back to its Handbook for content and forward to the Portal for the systems module.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Portal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enforces</w:t>
      </w:r>
      <w:r>
        <w:rPr>
          <w:bCs/>
          <w:b/>
        </w:rPr>
        <w:t xml:space="preserve">. The documents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describe</w:t>
      </w:r>
      <w:r>
        <w:rPr>
          <w:bCs/>
          <w:b/>
        </w:rPr>
        <w:t xml:space="preserve">.</w:t>
      </w:r>
      <w:r>
        <w:t xml:space="preserve"> </w:t>
      </w:r>
      <w:r>
        <w:t xml:space="preserve">Where a document and the Portal disagree on a number or a state, the Portal's configured value is authoritative for operations and the document is corrected — mirroring the existing principle that</w:t>
      </w:r>
      <w:r>
        <w:t xml:space="preserve"> </w:t>
      </w:r>
      <w:r>
        <w:rPr>
          <w:iCs/>
          <w:i/>
        </w:rPr>
        <w:t xml:space="preserve">RLS is the real security gate and the role-catalog UI is documentation only.</w:t>
      </w:r>
    </w:p>
    <w:p>
      <w:pPr>
        <w:pStyle w:val="FirstParagraph"/>
      </w:pPr>
      <w:r>
        <w:t xml:space="preserve">This is the same discipline already proven in the build (portal/website boundary; RLS-as-gate). Extending it to the paper layer means:</w:t>
      </w:r>
      <w:r>
        <w:t xml:space="preserve"> </w:t>
      </w:r>
      <w:r>
        <w:rPr>
          <w:bCs/>
          <w:b/>
        </w:rPr>
        <w:t xml:space="preserve">one fact, one home.</w:t>
      </w:r>
      <w:r>
        <w:t xml:space="preserve"> </w:t>
      </w:r>
      <w:r>
        <w:t xml:space="preserve">A fee quantum lives in the Portal fee schedule, not in five PDFs. A pass criterion lives in the Syllabus, not also in the Examiner Guide. Everyone else</w:t>
      </w:r>
      <w:r>
        <w:t xml:space="preserve"> </w:t>
      </w:r>
      <w:r>
        <w:rPr>
          <w:iCs/>
          <w:i/>
        </w:rPr>
        <w:t xml:space="preserve">references</w:t>
      </w:r>
      <w:r>
        <w:t xml:space="preserve"> </w:t>
      </w:r>
      <w:r>
        <w:t xml:space="preserve">the home.</w:t>
      </w:r>
    </w:p>
    <w:p>
      <w:r>
        <w:pict>
          <v:rect style="width:0;height:1.5pt" o:hralign="center" o:hrstd="t" o:hr="t"/>
        </w:pict>
      </w:r>
    </w:p>
    <w:bookmarkEnd w:id="22"/>
    <w:bookmarkStart w:id="27" w:name="X4b1eed66a2f42cd2a5da5a59b6d06f7c61361ee"/>
    <w:p>
      <w:pPr>
        <w:pStyle w:val="Heading2"/>
      </w:pPr>
      <w:r>
        <w:t xml:space="preserve">4. The Manual, revised — from operating handbook to requirements charter</w:t>
      </w:r>
    </w:p>
    <w:bookmarkStart w:id="23" w:name="X447ce2d761b65304926daed6803617927c24e7d"/>
    <w:p>
      <w:pPr>
        <w:pStyle w:val="Heading3"/>
      </w:pPr>
      <w:r>
        <w:t xml:space="preserve">4.1 What the revised Manual is</w:t>
      </w:r>
    </w:p>
    <w:p>
      <w:pPr>
        <w:pStyle w:val="FirstParagraph"/>
      </w:pPr>
      <w:r>
        <w:t xml:space="preserve">A board-level constitution that any stakeholder can read in one sitting to understand: the vision, who is accountable to whom, what the system</w:t>
      </w:r>
      <w:r>
        <w:t xml:space="preserve"> </w:t>
      </w:r>
      <w:r>
        <w:rPr>
          <w:iCs/>
          <w:i/>
        </w:rPr>
        <w:t xml:space="preserve">requires</w:t>
      </w:r>
      <w:r>
        <w:t xml:space="preserve"> </w:t>
      </w:r>
      <w:r>
        <w:t xml:space="preserve">on each topic, and which instrument carries the detail. It enumerates requirements; it defers methods.</w:t>
      </w:r>
    </w:p>
    <w:bookmarkEnd w:id="23"/>
    <w:bookmarkStart w:id="24" w:name="X3387ef96d11db3bd0cc93d046936a29f010d23a"/>
    <w:p>
      <w:pPr>
        <w:pStyle w:val="Heading3"/>
      </w:pPr>
      <w:r>
        <w:t xml:space="preserve">4.2 Proposed new table of contents</w:t>
      </w:r>
    </w:p>
    <w:p>
      <w:pPr>
        <w:pStyle w:val="SourceCode"/>
      </w:pPr>
      <w:r>
        <w:rPr>
          <w:rStyle w:val="VerbatimChar"/>
        </w:rPr>
        <w:t xml:space="preserve">PART I — FOUNDATIONS</w:t>
      </w:r>
      <w:r>
        <w:br/>
      </w:r>
      <w:r>
        <w:rPr>
          <w:rStyle w:val="VerbatimChar"/>
        </w:rPr>
        <w:t xml:space="preserve">  1. Introduction &amp; Scope of this Manual</w:t>
      </w:r>
      <w:r>
        <w:br/>
      </w:r>
      <w:r>
        <w:rPr>
          <w:rStyle w:val="VerbatimChar"/>
        </w:rPr>
        <w:t xml:space="preserve">  2. Vision, Mission &amp; Objectives</w:t>
      </w:r>
      <w:r>
        <w:br/>
      </w:r>
      <w:r>
        <w:rPr>
          <w:rStyle w:val="VerbatimChar"/>
        </w:rPr>
        <w:t xml:space="preserve">  3. The Governing Document Architecture        ← NEW (defines docs 1–5 + Portal,</w:t>
      </w:r>
      <w:r>
        <w:br/>
      </w:r>
      <w:r>
        <w:rPr>
          <w:rStyle w:val="VerbatimChar"/>
        </w:rPr>
        <w:t xml:space="preserve">                                                    custody, precedence, change control)</w:t>
      </w:r>
      <w:r>
        <w:br/>
      </w:r>
      <w:r>
        <w:rPr>
          <w:rStyle w:val="VerbatimChar"/>
        </w:rPr>
        <w:t xml:space="preserve">  4. Definitions &amp; Glossary</w:t>
      </w:r>
      <w:r>
        <w:br/>
      </w:r>
      <w:r>
        <w:br/>
      </w:r>
      <w:r>
        <w:rPr>
          <w:rStyle w:val="VerbatimChar"/>
        </w:rPr>
        <w:t xml:space="preserve">PART II — GOVERNANCE &amp; ACCOUNTABILITY</w:t>
      </w:r>
      <w:r>
        <w:br/>
      </w:r>
      <w:r>
        <w:rPr>
          <w:rStyle w:val="VerbatimChar"/>
        </w:rPr>
        <w:t xml:space="preserve">  5. Governance &amp; Reporting Structure            (dual authority, chain, roles, decision flow)</w:t>
      </w:r>
      <w:r>
        <w:br/>
      </w:r>
      <w:r>
        <w:rPr>
          <w:rStyle w:val="VerbatimChar"/>
        </w:rPr>
        <w:t xml:space="preserve">  6. The Chairperson — role, eligibility, term</w:t>
      </w:r>
      <w:r>
        <w:br/>
      </w:r>
      <w:r>
        <w:rPr>
          <w:rStyle w:val="VerbatimChar"/>
        </w:rPr>
        <w:t xml:space="preserve">  7. The Chief Examiner — role, eligibility, term</w:t>
      </w:r>
      <w:r>
        <w:br/>
      </w:r>
      <w:r>
        <w:rPr>
          <w:rStyle w:val="VerbatimChar"/>
        </w:rPr>
        <w:t xml:space="preserve">  8. The BADGES System Master Trainer — role     ← RENAMED/UNIFIED (was "Examiner Course Trainer")</w:t>
      </w:r>
      <w:r>
        <w:br/>
      </w:r>
      <w:r>
        <w:rPr>
          <w:rStyle w:val="VerbatimChar"/>
        </w:rPr>
        <w:t xml:space="preserve">  9. Code of Conduct &amp; Child Safety — requirements (specifics deferred to handbooks)</w:t>
      </w:r>
      <w:r>
        <w:br/>
      </w:r>
      <w:r>
        <w:br/>
      </w:r>
      <w:r>
        <w:rPr>
          <w:rStyle w:val="VerbatimChar"/>
        </w:rPr>
        <w:t xml:space="preserve">PART III — SYSTEM REQUIREMENTS  (the heart: requirements by topic, specifics deferred)</w:t>
      </w:r>
      <w:r>
        <w:br/>
      </w:r>
      <w:r>
        <w:rPr>
          <w:rStyle w:val="VerbatimChar"/>
        </w:rPr>
        <w:t xml:space="preserve"> 10. The 7-Level Certification                   → defers criteria to the SYLLABUS</w:t>
      </w:r>
      <w:r>
        <w:br/>
      </w:r>
      <w:r>
        <w:rPr>
          <w:rStyle w:val="VerbatimChar"/>
        </w:rPr>
        <w:t xml:space="preserve"> 11. Instruction &amp; Instructor Certification       → defers to TEACHING HANDBOOK + INSTRUCTOR GUIDE</w:t>
      </w:r>
      <w:r>
        <w:br/>
      </w:r>
      <w:r>
        <w:rPr>
          <w:rStyle w:val="VerbatimChar"/>
        </w:rPr>
        <w:t xml:space="preserve"> 12. Assessment &amp; Examiner Certification           → defers to ASSESSMENT HANDBOOK + EXAMINER GUIDE</w:t>
      </w:r>
      <w:r>
        <w:br/>
      </w:r>
      <w:r>
        <w:rPr>
          <w:rStyle w:val="VerbatimChar"/>
        </w:rPr>
        <w:t xml:space="preserve"> 13. Partner Centres — recognition requirements    → defers centre operations to the PORTAL</w:t>
      </w:r>
      <w:r>
        <w:br/>
      </w:r>
      <w:r>
        <w:rPr>
          <w:rStyle w:val="VerbatimChar"/>
        </w:rPr>
        <w:t xml:space="preserve"> 14. The BADGES Platform Portal — system of record → defers screens/ops to portal docs</w:t>
      </w:r>
      <w:r>
        <w:br/>
      </w:r>
      <w:r>
        <w:rPr>
          <w:rStyle w:val="VerbatimChar"/>
        </w:rPr>
        <w:t xml:space="preserve"> 15. Records, Data Protection &amp; Child Safety       (data-controller stance; anonymized verification)</w:t>
      </w:r>
      <w:r>
        <w:br/>
      </w:r>
      <w:r>
        <w:rPr>
          <w:rStyle w:val="VerbatimChar"/>
        </w:rPr>
        <w:t xml:space="preserve"> 16. Fees &amp; Commercial Framework — principles only  → defers quantum to the PORTAL fee schedule</w:t>
      </w:r>
      <w:r>
        <w:br/>
      </w:r>
      <w:r>
        <w:br/>
      </w:r>
      <w:r>
        <w:rPr>
          <w:rStyle w:val="VerbatimChar"/>
        </w:rPr>
        <w:t xml:space="preserve">PART IV — PROGRAM LIFECYCLE</w:t>
      </w:r>
      <w:r>
        <w:br/>
      </w:r>
      <w:r>
        <w:rPr>
          <w:rStyle w:val="VerbatimChar"/>
        </w:rPr>
        <w:t xml:space="preserve"> 17. Pilot Phase &amp; National Rollout</w:t>
      </w:r>
      <w:r>
        <w:br/>
      </w:r>
      <w:r>
        <w:rPr>
          <w:rStyle w:val="VerbatimChar"/>
        </w:rPr>
        <w:t xml:space="preserve"> 18. State Allocation &amp; Cross-State Deployment — requirement (schedule deferred)</w:t>
      </w:r>
      <w:r>
        <w:br/>
      </w:r>
      <w:r>
        <w:rPr>
          <w:rStyle w:val="VerbatimChar"/>
        </w:rPr>
        <w:t xml:space="preserve"> 19. Expected Outcomes &amp; Review cycle</w:t>
      </w:r>
      <w:r>
        <w:br/>
      </w:r>
      <w:r>
        <w:br/>
      </w:r>
      <w:r>
        <w:rPr>
          <w:rStyle w:val="VerbatimChar"/>
        </w:rPr>
        <w:t xml:space="preserve">APPENDICES (Manual-level only)</w:t>
      </w:r>
      <w:r>
        <w:br/>
      </w:r>
      <w:r>
        <w:rPr>
          <w:rStyle w:val="VerbatimChar"/>
        </w:rPr>
        <w:t xml:space="preserve">  A. Document Register &amp; Version Control</w:t>
      </w:r>
      <w:r>
        <w:br/>
      </w:r>
      <w:r>
        <w:rPr>
          <w:rStyle w:val="VerbatimChar"/>
        </w:rPr>
        <w:t xml:space="preserve">  B. Change-Control Routing (who proposes / approves / ratifies each document)</w:t>
      </w:r>
      <w:r>
        <w:br/>
      </w:r>
      <w:r>
        <w:rPr>
          <w:rStyle w:val="VerbatimChar"/>
        </w:rPr>
        <w:t xml:space="preserve">  C. Glossary  (if not folded into §4)</w:t>
      </w:r>
    </w:p>
    <w:p>
      <w:pPr>
        <w:pStyle w:val="FirstParagraph"/>
      </w:pPr>
      <w:r>
        <w:t xml:space="preserve">Everything that was syllabus, workshop content, assessment procedure, form templates, and FAQ leaves the Manual.</w:t>
      </w:r>
    </w:p>
    <w:bookmarkEnd w:id="24"/>
    <w:bookmarkStart w:id="25" w:name="X833959a23b8aa5314decc2c67badac771c0fb4c"/>
    <w:p>
      <w:pPr>
        <w:pStyle w:val="Heading3"/>
      </w:pPr>
      <w:r>
        <w:t xml:space="preserve">4.3 Migration map — every v1.4 element, and where it goes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v1.4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program 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</w:t>
            </w:r>
            <w:r>
              <w:t xml:space="preserve">, trimmed; add "how to read the document set"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objectives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 Governance &amp;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authority, chain, roles, decision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</w:t>
            </w:r>
            <w:r>
              <w:t xml:space="preserve"> </w:t>
            </w:r>
            <w:r>
              <w:t xml:space="preserve">(core)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 Chairperson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eligibility / 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 Chief Examiner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/ eligibility / 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</w:t>
            </w:r>
            <w:r>
              <w:t xml:space="preserve">; add "custodian of the Assessment Handbook"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 Examiner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</w:t>
            </w:r>
            <w:r>
              <w:t xml:space="preserve">: keep eligibility</w:t>
            </w:r>
            <w:r>
              <w:t xml:space="preserve"> </w:t>
            </w:r>
            <w:r>
              <w:rPr>
                <w:iCs/>
                <w:i/>
              </w:rPr>
              <w:t xml:space="preserve">requirements</w:t>
            </w:r>
            <w:r>
              <w:t xml:space="preserve"> </w:t>
            </w:r>
            <w:r>
              <w:t xml:space="preserve">in Manual; move the application/course pathway steps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§12 (requirement) +</w:t>
            </w:r>
            <w:r>
              <w:t xml:space="preserve"> </w:t>
            </w:r>
            <w:r>
              <w:rPr>
                <w:bCs/>
                <w:b/>
              </w:rPr>
              <w:t xml:space="preserve">Examiner Course Guide</w:t>
            </w:r>
            <w:r>
              <w:t xml:space="preserve"> </w:t>
            </w:r>
            <w:r>
              <w:t xml:space="preserve">(pathway)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 Examiner 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Trainer role, format, day-by-day content, fees, attendance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</w:t>
            </w:r>
            <w:r>
              <w:t xml:space="preserve"> </w:t>
            </w:r>
            <w:r>
              <w:t xml:space="preserve">content out; keep only "examiners are certified via the Examiner Certification Course, run by the Master Trainer" as a 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Examiner Course Guide</w:t>
            </w:r>
            <w:r>
              <w:t xml:space="preserve"> </w:t>
            </w:r>
            <w:r>
              <w:t xml:space="preserve">(all detail); Manual §8 (Master Trainer role) + §12 (requirement)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 Partner Centres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Definition, eligibility, application, renewal, privileges,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</w:t>
            </w:r>
            <w:r>
              <w:t xml:space="preserve">: keep recognition</w:t>
            </w:r>
            <w:r>
              <w:t xml:space="preserve"> </w:t>
            </w:r>
            <w:r>
              <w:rPr>
                <w:iCs/>
                <w:i/>
              </w:rPr>
              <w:t xml:space="preserve">requirements</w:t>
            </w:r>
            <w:r>
              <w:t xml:space="preserve"> </w:t>
            </w:r>
            <w:r>
              <w:t xml:space="preserve">+ the data-controller relationship; move booking/annual-return</w:t>
            </w:r>
            <w:r>
              <w:t xml:space="preserve"> </w:t>
            </w:r>
            <w:r>
              <w:rPr>
                <w:iCs/>
                <w:i/>
              </w:rPr>
              <w:t xml:space="preserve">mechanics</w:t>
            </w:r>
            <w:r>
              <w:t xml:space="preserve"> </w:t>
            </w:r>
            <w:r>
              <w:t xml:space="preserve">to Portal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§13 (requirements) +</w:t>
            </w:r>
            <w:r>
              <w:t xml:space="preserve"> </w:t>
            </w:r>
            <w:r>
              <w:rPr>
                <w:bCs/>
                <w:b/>
              </w:rPr>
              <w:t xml:space="preserve">Portal</w:t>
            </w:r>
            <w:r>
              <w:t xml:space="preserve"> </w:t>
            </w:r>
            <w:r>
              <w:t xml:space="preserve">(operations)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 State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Cross-state deployment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</w:t>
            </w:r>
            <w:r>
              <w:t xml:space="preserve"> </w:t>
            </w:r>
            <w:r>
              <w:t xml:space="preserve">as requirement; move the allowance</w:t>
            </w:r>
            <w:r>
              <w:t xml:space="preserve"> </w:t>
            </w:r>
            <w:r>
              <w:rPr>
                <w:iCs/>
                <w:i/>
              </w:rPr>
              <w:t xml:space="preserve">schedule</w:t>
            </w:r>
            <w:r>
              <w:t xml:space="preserve"> </w:t>
            </w:r>
            <w:r>
              <w:t xml:space="preserve">to Portal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§18 +</w:t>
            </w:r>
            <w:r>
              <w:t xml:space="preserve"> </w:t>
            </w:r>
            <w:r>
              <w:rPr>
                <w:bCs/>
                <w:b/>
              </w:rPr>
              <w:t xml:space="preserve">Portal</w:t>
            </w:r>
            <w:r>
              <w:t xml:space="preserve"> </w:t>
            </w:r>
            <w:r>
              <w:t xml:space="preserve">(schedule)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§10 Examiner Code of 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</w:t>
            </w:r>
            <w:r>
              <w:t xml:space="preserve"> </w:t>
            </w:r>
            <w:r>
              <w:t xml:space="preserve">the operational code to the Assessment Handbook; keep the</w:t>
            </w:r>
            <w:r>
              <w:t xml:space="preserve"> </w:t>
            </w:r>
            <w:r>
              <w:rPr>
                <w:iCs/>
                <w:i/>
              </w:rPr>
              <w:t xml:space="preserve">requirement to hold and sign a code</w:t>
            </w:r>
            <w:r>
              <w:t xml:space="preserve"> </w:t>
            </w:r>
            <w:r>
              <w:t xml:space="preserve">in the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§9 (requirement) +</w:t>
            </w:r>
            <w:r>
              <w:t xml:space="preserve"> </w:t>
            </w:r>
            <w:r>
              <w:rPr>
                <w:bCs/>
                <w:b/>
              </w:rPr>
              <w:t xml:space="preserve">Assessment Handbook</w:t>
            </w:r>
            <w:r>
              <w:t xml:space="preserve"> </w:t>
            </w:r>
            <w:r>
              <w:t xml:space="preserve">(the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§11 The Assessment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→ assess → record → 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</w:t>
            </w:r>
            <w:r>
              <w:t xml:space="preserve"> </w:t>
            </w:r>
            <w:r>
              <w:t xml:space="preserve">wholesale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Assessment System Handbook</w:t>
            </w:r>
            <w:r>
              <w:t xml:space="preserve"> </w:t>
            </w:r>
            <w:r>
              <w:t xml:space="preserve">(mirrors SwimSafer CAMS structure)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§12 Student Progression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Level-by-level progression, competition bridge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</w:t>
            </w:r>
            <w:r>
              <w:t xml:space="preserve"> </w:t>
            </w:r>
            <w:r>
              <w:t xml:space="preserve">to the standard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Syllabus</w:t>
            </w:r>
            <w:r>
              <w:t xml:space="preserve"> </w:t>
            </w:r>
            <w:r>
              <w:t xml:space="preserve">(progression narrative)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§13 Pilot &amp;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§14 Fee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quanta (assessment, application, recognition, workshop)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</w:t>
            </w:r>
            <w:r>
              <w:t xml:space="preserve"> </w:t>
            </w:r>
            <w:r>
              <w:t xml:space="preserve">the numbers to the Portal fee schedule; keep the</w:t>
            </w:r>
            <w:r>
              <w:t xml:space="preserve"> </w:t>
            </w:r>
            <w:r>
              <w:rPr>
                <w:iCs/>
                <w:i/>
              </w:rPr>
              <w:t xml:space="preserve">principle</w:t>
            </w:r>
            <w:r>
              <w:t xml:space="preserve"> </w:t>
            </w:r>
            <w:r>
              <w:t xml:space="preserve">(single national schedule, set by Chairperson, approved by 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§16 (principle) +</w:t>
            </w:r>
            <w:r>
              <w:t xml:space="preserve"> </w:t>
            </w:r>
            <w:r>
              <w:rPr>
                <w:bCs/>
                <w:b/>
              </w:rPr>
              <w:t xml:space="preserve">Portal</w:t>
            </w:r>
            <w:r>
              <w:t xml:space="preserve"> </w:t>
            </w:r>
            <w:r>
              <w:rPr>
                <w:rStyle w:val="VerbatimChar"/>
              </w:rPr>
              <w:t xml:space="preserve">fee_schedule</w:t>
            </w:r>
            <w:r>
              <w:t xml:space="preserve"> </w:t>
            </w:r>
            <w:r>
              <w:t xml:space="preserve">(quanta)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§15 Outcomes &amp;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outcomes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 A — Syllabus L1–L7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proficiency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</w:t>
            </w:r>
            <w:r>
              <w:t xml:space="preserve"> </w:t>
            </w:r>
            <w:r>
              <w:t xml:space="preserve">wholesale — this</w:t>
            </w:r>
            <w:r>
              <w:t xml:space="preserve"> </w:t>
            </w:r>
            <w:r>
              <w:rPr>
                <w:iCs/>
                <w:i/>
              </w:rPr>
              <w:t xml:space="preserve">becomes</w:t>
            </w:r>
            <w:r>
              <w:t xml:space="preserve"> </w:t>
            </w:r>
            <w:r>
              <w:t xml:space="preserve">a standalone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7-Level Syllabus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 B — Forms &amp;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form definitions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</w:t>
            </w:r>
            <w:r>
              <w:t xml:space="preserve">: each becomes a Portal artifact (generated) or a handbook annex; the Manual keeps only a</w:t>
            </w:r>
            <w:r>
              <w:t xml:space="preserve"> </w:t>
            </w:r>
            <w:r>
              <w:rPr>
                <w:iCs/>
                <w:i/>
              </w:rPr>
              <w:t xml:space="preserve">register</w:t>
            </w:r>
            <w:r>
              <w:t xml:space="preserve"> </w:t>
            </w:r>
            <w:r>
              <w:t xml:space="preserve">of required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Portal</w:t>
            </w:r>
            <w:r>
              <w:t xml:space="preserve"> </w:t>
            </w:r>
            <w:r>
              <w:t xml:space="preserve">(live forms) + handbook annexes; Manual App. A (register)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 C — Examiner Cert Syllabus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modules, pass requirements, continuing cert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</w:t>
            </w:r>
            <w:r>
              <w:t xml:space="preserve"> </w:t>
            </w:r>
            <w:r>
              <w:t xml:space="preserve">wholesale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Examiner Course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 D —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Q&amp;A across audiences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</w:t>
            </w:r>
            <w:r>
              <w:t xml:space="preserve"> </w:t>
            </w:r>
            <w:r>
              <w:t xml:space="preserve">to the public website + per-document FAQ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/ each handbook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Leadership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Inaugural appointees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front/back matter</w:t>
            </w:r>
          </w:p>
        </w:tc>
      </w:tr>
    </w:tbl>
    <w:bookmarkEnd w:id="25"/>
    <w:bookmarkStart w:id="26" w:name="X8440d8564c3c715c5bdbd6934eb29e88a6b2940"/>
    <w:p>
      <w:pPr>
        <w:pStyle w:val="Heading3"/>
      </w:pPr>
      <w:r>
        <w:t xml:space="preserve">4.4 "What to revise" — the editing checklist</w:t>
      </w:r>
    </w:p>
    <w:p>
      <w:pPr>
        <w:pStyle w:val="FirstParagraph"/>
      </w:pPr>
      <w:r>
        <w:t xml:space="preserve">Concrete edits to convert v1.4 into the charter: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Insert a new §3 "Governing Document Architecture"</w:t>
      </w:r>
      <w:r>
        <w:t xml:space="preserve"> </w:t>
      </w:r>
      <w:r>
        <w:t xml:space="preserve">— the table from §2 above, the custody column, the precedence rule (§3 doctrine), and a pointer to App. B change-control. This is the single most important addition; it is what makes the Manual</w:t>
      </w:r>
      <w:r>
        <w:t xml:space="preserve"> </w:t>
      </w:r>
      <w:r>
        <w:rPr>
          <w:iCs/>
          <w:i/>
        </w:rPr>
        <w:t xml:space="preserve">thin by design</w:t>
      </w:r>
      <w:r>
        <w:t xml:space="preserve"> </w:t>
      </w:r>
      <w:r>
        <w:t xml:space="preserve">rather than thin by omission.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Rewrite §6/§7/§11/§14 as requirement statements + a deferral line.</w:t>
      </w:r>
      <w:r>
        <w:t xml:space="preserve"> </w:t>
      </w:r>
      <w:r>
        <w:t xml:space="preserve">Pattern for each topic:</w:t>
      </w:r>
      <w:r>
        <w:t xml:space="preserve"> </w:t>
      </w:r>
      <w:r>
        <w:rPr>
          <w:iCs/>
          <w:i/>
        </w:rPr>
        <w:t xml:space="preserve">"BADGES requires X. The methods, criteria, and procedures for X are specified in [Document], maintained by [Custodian], and executed through the BADGES Platform Portal."</w:t>
      </w:r>
      <w:r>
        <w:t xml:space="preserve"> </w:t>
      </w:r>
      <w:r>
        <w:t xml:space="preserve">Then delete the how.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Rename "Examiner Course Trainer" → "BADGES System Master Trainer"</w:t>
      </w:r>
      <w:r>
        <w:t xml:space="preserve"> </w:t>
      </w:r>
      <w:r>
        <w:t xml:space="preserve">and broaden the role to certify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instructors and examiners (see open decision OD-2). Keep Melvin Chua as inaugural.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Promote the Portal to a named §14 "system of record."</w:t>
      </w:r>
      <w:r>
        <w:t xml:space="preserve"> </w:t>
      </w:r>
      <w:r>
        <w:t xml:space="preserve">State the requirement that registration, booking, assessment recording, certification, verification, billing, and directories are transacted through the Portal; that the public certificate verification is</w:t>
      </w:r>
      <w:r>
        <w:t xml:space="preserve"> </w:t>
      </w:r>
      <w:r>
        <w:rPr>
          <w:bCs/>
          <w:b/>
        </w:rPr>
        <w:t xml:space="preserve">anonymized and never exposes a minor's identity</w:t>
      </w:r>
      <w:r>
        <w:t xml:space="preserve">; and that the Portal's configured values are operationally authoritative.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 §15 data-protection requirements:</w:t>
      </w:r>
      <w:r>
        <w:t xml:space="preserve"> </w:t>
      </w:r>
      <w:r>
        <w:t xml:space="preserve">Malaysia Aquatics as data controller, centres as processors (pending counsel), minors-never-named-publicly as a hard rule.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Strip every fee number</w:t>
      </w:r>
      <w:r>
        <w:t xml:space="preserve"> </w:t>
      </w:r>
      <w:r>
        <w:t xml:space="preserve">from prose into a single reference to the Portal fee schedule; keep only the governance of</w:t>
      </w:r>
      <w:r>
        <w:t xml:space="preserve"> </w:t>
      </w:r>
      <w:r>
        <w:rPr>
          <w:iCs/>
          <w:i/>
        </w:rPr>
        <w:t xml:space="preserve">who sets and approves</w:t>
      </w:r>
      <w:r>
        <w:t xml:space="preserve"> </w:t>
      </w:r>
      <w:r>
        <w:t xml:space="preserve">fees.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Excise Appendices A and C and §11/§12 detail entirely</w:t>
      </w:r>
      <w:r>
        <w:t xml:space="preserve">, replacing each with a one-paragraph requirement and a cross-reference.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Convert Appendix B into a "Register of Required Records"</w:t>
      </w:r>
      <w:r>
        <w:t xml:space="preserve"> </w:t>
      </w:r>
      <w:r>
        <w:t xml:space="preserve">— a list of</w:t>
      </w:r>
      <w:r>
        <w:t xml:space="preserve"> </w:t>
      </w:r>
      <w:r>
        <w:rPr>
          <w:iCs/>
          <w:i/>
        </w:rPr>
        <w:t xml:space="preserve">what records must exist and who holds them</w:t>
      </w:r>
      <w:r>
        <w:t xml:space="preserve">, not the form layouts themselves.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Re-stamp</w:t>
      </w:r>
      <w:r>
        <w:t xml:space="preserve"> </w:t>
      </w:r>
      <w:r>
        <w:t xml:space="preserve">edition (2.0 — it's a structural break, not a 1.5) and update the subtitle from</w:t>
      </w:r>
      <w:r>
        <w:t xml:space="preserve"> </w:t>
      </w:r>
      <w:r>
        <w:rPr>
          <w:iCs/>
          <w:i/>
        </w:rPr>
        <w:t xml:space="preserve">"Governance, Examiner Framework, Assessment &amp; Level 1–7 Syllabus"</w:t>
      </w:r>
      <w:r>
        <w:t xml:space="preserve"> </w:t>
      </w:r>
      <w:r>
        <w:t xml:space="preserve">to something like</w:t>
      </w:r>
      <w:r>
        <w:t xml:space="preserve"> </w:t>
      </w:r>
      <w:r>
        <w:rPr>
          <w:iCs/>
          <w:i/>
        </w:rPr>
        <w:t xml:space="preserve">"Governance, Requirements &amp; the BADGES Document System."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586da2243e86472d0159fab6e56f94548569c0b"/>
    <w:p>
      <w:pPr>
        <w:pStyle w:val="Heading2"/>
      </w:pPr>
      <w:r>
        <w:t xml:space="preserve">5. The downstream documents — briefs</w:t>
      </w:r>
    </w:p>
    <w:p>
      <w:pPr>
        <w:pStyle w:val="FirstParagraph"/>
      </w:pPr>
      <w:r>
        <w:t xml:space="preserve">Each brief: purpose, custodian, what it inherits, contents, and its Portal hook.</w:t>
      </w:r>
    </w:p>
    <w:bookmarkStart w:id="28" w:name="X23b421310ed9b3b0f19b9281cb3f6496a3b4d5b"/>
    <w:p>
      <w:pPr>
        <w:pStyle w:val="Heading3"/>
      </w:pPr>
      <w:r>
        <w:t xml:space="preserve">5.1 BADGES 7-Level Swimming Syllabus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the single authoritative proficiency standard — criteria and outcomes for Starfish → Dolphin.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Custodian:</w:t>
      </w:r>
      <w:r>
        <w:t xml:space="preserve"> </w:t>
      </w:r>
      <w:r>
        <w:t xml:space="preserve">Coaching &amp; Technical Board (per the existing syllabus-change route).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Contents:</w:t>
      </w:r>
      <w:r>
        <w:t xml:space="preserve"> </w:t>
      </w:r>
      <w:r>
        <w:t xml:space="preserve">per level — Introduce / Reinforce / Develop teaching objectives, assessment criteria ("demonstrate ability to…"), assessment conditions (shallow/deep, independence), badge awarded; plus the progression narrative and the Level-7 competition bridge migrated from §12.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Inherits from Manual:</w:t>
      </w:r>
      <w:r>
        <w:t xml:space="preserve"> </w:t>
      </w:r>
      <w:r>
        <w:t xml:space="preserve">the requirement that a published syllabus exists and is the basis of all teaching and assessment.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Portal hook:</w:t>
      </w:r>
      <w:r>
        <w:t xml:space="preserve"> </w:t>
      </w:r>
      <w:r>
        <w:t xml:space="preserve">the level definitions and pass/refer outcomes are the data model the Portal already grades against; the syllabus is the human-readable source for those enums.</w:t>
      </w:r>
    </w:p>
    <w:bookmarkEnd w:id="28"/>
    <w:bookmarkStart w:id="29" w:name="Xe6abd0dd0e8de72eaee970da5513ce065212406"/>
    <w:p>
      <w:pPr>
        <w:pStyle w:val="Heading3"/>
      </w:pPr>
      <w:r>
        <w:t xml:space="preserve">5.2 BADGES Teaching System Handbook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how instruction is delivered to produce candidates who meet the syllabus.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Custodian:</w:t>
      </w:r>
      <w:r>
        <w:t xml:space="preserve"> </w:t>
      </w:r>
      <w:r>
        <w:t xml:space="preserve">Coaching Panel + Master Trainer.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Contents:</w:t>
      </w:r>
      <w:r>
        <w:t xml:space="preserve"> </w:t>
      </w:r>
      <w:r>
        <w:t xml:space="preserve">teaching methodology, lesson structure, the Introduce/Reinforce/Develop pedagogy, water-safety and child-safety in delivery, class management, progress recording, candidate registration practice, and</w:t>
      </w:r>
      <w:r>
        <w:t xml:space="preserve"> </w:t>
      </w:r>
      <w:r>
        <w:rPr>
          <w:bCs/>
          <w:b/>
        </w:rPr>
        <w:t xml:space="preserve">the instructor's front-line duties in the Portal</w:t>
      </w:r>
      <w:r>
        <w:t xml:space="preserve"> </w:t>
      </w:r>
      <w:r>
        <w:t xml:space="preserve">(registering candidates, issuing the claim slip to families, booking assessments).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the syllabus standard; the program-wide code of conduct and child-safety requirements from Manual §9.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Portal hook:</w:t>
      </w:r>
      <w:r>
        <w:t xml:space="preserve"> </w:t>
      </w:r>
      <w:r>
        <w:t xml:space="preserve">the instructor's operating surface — candidate registration, claim-slip generation, session booking.</w:t>
      </w:r>
    </w:p>
    <w:bookmarkEnd w:id="29"/>
    <w:bookmarkStart w:id="30" w:name="Xcdfa7f44899ace723622e5a14fb3532c912c3d2"/>
    <w:p>
      <w:pPr>
        <w:pStyle w:val="Heading3"/>
      </w:pPr>
      <w:r>
        <w:t xml:space="preserve">5.3 BADGES Instructor Foundation Certification Course Guide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the outcomes and criteria to certify a person as a BADGES Instructor.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Custodian / delivery:</w:t>
      </w:r>
      <w:r>
        <w:t xml:space="preserve"> </w:t>
      </w:r>
      <w:r>
        <w:t xml:space="preserve">BADGES System Master Trainer.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Contents:</w:t>
      </w:r>
      <w:r>
        <w:t xml:space="preserve"> </w:t>
      </w:r>
      <w:r>
        <w:t xml:space="preserve">entry requirements, module structure, hours/mode, theory + practical pass requirements, a</w:t>
      </w:r>
      <w:r>
        <w:t xml:space="preserve"> </w:t>
      </w:r>
      <w:r>
        <w:rPr>
          <w:bCs/>
          <w:b/>
        </w:rPr>
        <w:t xml:space="preserve">mandatory Portal module</w:t>
      </w:r>
      <w:r>
        <w:t xml:space="preserve"> </w:t>
      </w:r>
      <w:r>
        <w:t xml:space="preserve">(registering candidates, claim slips, booking, reading the syllabus), continuing-certification requirements, and the link into onboarding.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the Teaching System Handbook (its content) and the syllabus (its standard).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Portal hook:</w:t>
      </w:r>
      <w:r>
        <w:t xml:space="preserve"> </w:t>
      </w:r>
      <w:r>
        <w:t xml:space="preserve">on completion the Master Trainer marks attendees certified → triggers the existing</w:t>
      </w:r>
      <w:r>
        <w:t xml:space="preserve"> </w:t>
      </w:r>
      <w:r>
        <w:rPr>
          <w:bCs/>
          <w:b/>
        </w:rPr>
        <w:t xml:space="preserve">instructor-invitation onboarding</w:t>
      </w:r>
      <w:r>
        <w:t xml:space="preserve"> </w:t>
      </w:r>
      <w:r>
        <w:t xml:space="preserve">(email-keyed invite → self-signup matches invitation →</w:t>
      </w:r>
      <w:r>
        <w:t xml:space="preserve"> </w:t>
      </w:r>
      <w:r>
        <w:rPr>
          <w:rStyle w:val="VerbatimChar"/>
        </w:rPr>
        <w:t xml:space="preserve">instructor</w:t>
      </w:r>
      <w:r>
        <w:t xml:space="preserve"> </w:t>
      </w:r>
      <w:r>
        <w:t xml:space="preserve">role granted). The course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front door to the</w:t>
      </w:r>
      <w:r>
        <w:t xml:space="preserve"> </w:t>
      </w:r>
      <w:r>
        <w:rPr>
          <w:rStyle w:val="VerbatimChar"/>
        </w:rPr>
        <w:t xml:space="preserve">courses → certification → onboarding</w:t>
      </w:r>
      <w:r>
        <w:t xml:space="preserve"> </w:t>
      </w:r>
      <w:r>
        <w:t xml:space="preserve">loop already designed.</w:t>
      </w:r>
    </w:p>
    <w:bookmarkEnd w:id="30"/>
    <w:bookmarkStart w:id="31" w:name="Xaffb4cbcb16dfcd4a5c7ef6d1cf0c79fbcdb517"/>
    <w:p>
      <w:pPr>
        <w:pStyle w:val="Heading3"/>
      </w:pPr>
      <w:r>
        <w:t xml:space="preserve">5.4 BADGES Assessment System Handbook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how levels are assessed, recorded, certified, appealed, and audited.</w:t>
      </w:r>
      <w:r>
        <w:t xml:space="preserve"> </w:t>
      </w:r>
      <w:r>
        <w:rPr>
          <w:iCs/>
          <w:i/>
        </w:rPr>
        <w:t xml:space="preserve">This is the document the in-project SwimSafer CAMS handbook is the closest model for.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Custodian:</w:t>
      </w:r>
      <w:r>
        <w:t xml:space="preserve"> </w:t>
      </w:r>
      <w:r>
        <w:rPr>
          <w:bCs/>
          <w:b/>
        </w:rPr>
        <w:t xml:space="preserve">Chief Examiner</w:t>
      </w:r>
      <w:r>
        <w:t xml:space="preserve"> </w:t>
      </w:r>
      <w:r>
        <w:t xml:space="preserve">(explicit custody and maintenance).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Contents (CAMS-style):</w:t>
      </w:r>
      <w:r>
        <w:t xml:space="preserve"> </w:t>
      </w:r>
      <w:r>
        <w:t xml:space="preserve">the assessment portal &amp; registration; practical assessment conduct (pre-assessment safety check, briefing, positioning, observation, pass/refer, feedback); re-attempts; payments; results; appeals; certificates; medical conditions; large-group / multi-school testing; non-standard venues &amp; pool specs; the</w:t>
      </w:r>
      <w:r>
        <w:t xml:space="preserve"> </w:t>
      </w:r>
      <w:r>
        <w:rPr>
          <w:bCs/>
          <w:b/>
        </w:rPr>
        <w:t xml:space="preserve">Examiner Code of Conduct</w:t>
      </w:r>
      <w:r>
        <w:t xml:space="preserve"> </w:t>
      </w:r>
      <w:r>
        <w:t xml:space="preserve">(migrated from §10); assessor responsibilities; submission deadlines; disciplinary framework; FAQ.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the syllabus standard; the Manual's requirement of a credible, auditable, anonymized assessment.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Portal hook:</w:t>
      </w:r>
      <w:r>
        <w:t xml:space="preserve"> </w:t>
      </w:r>
      <w:r>
        <w:t xml:space="preserve">the session lifecycle (requested → examiner invited → scheduled → completed → invoiced → paid → certificates issued → closed), COI enforcement, and bulk certificate issuance are all Portal-executed; the Handbook documents the human procedure around those states.</w:t>
      </w:r>
    </w:p>
    <w:bookmarkEnd w:id="31"/>
    <w:bookmarkStart w:id="32" w:name="Xeb32ed73078780f89b835c92b907a4cab5365a2"/>
    <w:p>
      <w:pPr>
        <w:pStyle w:val="Heading3"/>
      </w:pPr>
      <w:r>
        <w:t xml:space="preserve">5.5 BADGES Examiner Certification Course Guide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the outcomes and criteria to certify a person as a BADGES Examiner.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Custodian / delivery:</w:t>
      </w:r>
      <w:r>
        <w:t xml:space="preserve"> </w:t>
      </w:r>
      <w:r>
        <w:t xml:space="preserve">Master Trainer, with the Chief Examiner.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Contents:</w:t>
      </w:r>
      <w:r>
        <w:t xml:space="preserve"> </w:t>
      </w:r>
      <w:r>
        <w:t xml:space="preserve">Appendix C migrated intact — 7 modules (Program &amp; Governance; L1–3 / L4–5 / L6–7 standards; Conduct of Assessment; Code of Conduct; Practical Independent Assessment "eye-level analysis"), pass requirements (80% theory, Competent practical, pilot certification target), continuing certification;</w:t>
      </w:r>
      <w:r>
        <w:t xml:space="preserve"> </w:t>
      </w:r>
      <w:r>
        <w:rPr>
          <w:bCs/>
          <w:b/>
        </w:rPr>
        <w:t xml:space="preserve">plus a mandatory Portal module</w:t>
      </w:r>
      <w:r>
        <w:t xml:space="preserve"> </w:t>
      </w:r>
      <w:r>
        <w:t xml:space="preserve">(accepting session invitations, recording outcomes, certificate issuance flow).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Inherits:</w:t>
      </w:r>
      <w:r>
        <w:t xml:space="preserve"> </w:t>
      </w:r>
      <w:r>
        <w:t xml:space="preserve">the Assessment System Handbook (its content) and the syllabus (its standard).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Portal hook:</w:t>
      </w:r>
      <w:r>
        <w:t xml:space="preserve"> </w:t>
      </w:r>
      <w:r>
        <w:t xml:space="preserve">the examiner's operating surface — session invitations, outcome recording.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39d73e3028147cc78cb170ae817ba94ffe57ac7"/>
    <w:p>
      <w:pPr>
        <w:pStyle w:val="Heading2"/>
      </w:pPr>
      <w:r>
        <w:t xml:space="preserve">6. The Portal as the hub — how every document points to it</w:t>
      </w:r>
    </w:p>
    <w:p>
      <w:pPr>
        <w:pStyle w:val="FirstParagraph"/>
      </w:pPr>
      <w:r>
        <w:t xml:space="preserve">The instruction "each System Handbook &amp; Certification Course refers to the Portal as the HUB that executes the policies" becomes a concrete, uniform pattern: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standard "On the BADGES Platform Portal" section</w:t>
      </w:r>
      <w:r>
        <w:t xml:space="preserve"> </w:t>
      </w:r>
      <w:r>
        <w:t xml:space="preserve">at the end of each Handbook, mapping that role's policies to the screens that execute them, and stating the doctrine:</w:t>
      </w:r>
      <w:r>
        <w:t xml:space="preserve"> </w:t>
      </w:r>
      <w:r>
        <w:rPr>
          <w:iCs/>
          <w:i/>
        </w:rPr>
        <w:t xml:space="preserve">the Portal's configured state is operationally authoritative; the Handbook documents the procedure, not the enforcement.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mandatory Portal competency module</w:t>
      </w:r>
      <w:r>
        <w:t xml:space="preserve"> </w:t>
      </w:r>
      <w:r>
        <w:t xml:space="preserve">in each Course Guide, so certification provably includes knowing how to operate the Portal for that role. No one is certified who can't use the system.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requirements → instrument → execution matrix</w:t>
      </w:r>
      <w:r>
        <w:t xml:space="preserve"> </w:t>
      </w:r>
      <w:r>
        <w:t xml:space="preserve">below is the connective tissue. The Manual carries this matrix (in §3 and §14); each downstream doc carries its own row in expanded form.</w:t>
      </w:r>
    </w:p>
    <w:bookmarkStart w:id="34" w:name="X84664bc312dacc2d3883afbd95d84954f69e17c"/>
    <w:p>
      <w:pPr>
        <w:pStyle w:val="Heading3"/>
      </w:pPr>
      <w:r>
        <w:t xml:space="preserve">Core requirements → method → execution (the Manual's central matrix)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Core requirement (Manual owns)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Specifics live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in the Portal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national 7-level proficiency standard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Syllabus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enums; pass/refer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Instruction meets that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System Handbook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registration; progress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certified instructors 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Instructor Foundation Course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invitation-gated</w:t>
            </w:r>
            <w:r>
              <w:t xml:space="preserve"> </w:t>
            </w:r>
            <w:r>
              <w:rPr>
                <w:rStyle w:val="VerbatimChar"/>
              </w:rPr>
              <w:t xml:space="preserve">instructor</w:t>
            </w:r>
            <w:r>
              <w:t xml:space="preserve"> </w:t>
            </w: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 is credible, independent, auditable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System Handbook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lifecycle; COI trigger; audit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certified examiners 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Examiner Certification Course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examiner role; assigned-session scoping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Certificates are issued only on a genuine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System Handbook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pass-gated, serialized, append-only issuance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Certificates are publicly verifiable without exposing a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§15 (hard 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anonymized</w:t>
            </w:r>
            <w:r>
              <w:t xml:space="preserve"> </w:t>
            </w:r>
            <w:r>
              <w:rPr>
                <w:rStyle w:val="VerbatimChar"/>
              </w:rPr>
              <w:t xml:space="preserve">verify_certificate()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Centres are recognized against published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 register; directory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Fees follow a single national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§16 (principle)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settings-editable</w:t>
            </w:r>
            <w:r>
              <w:t xml:space="preserve"> </w:t>
            </w:r>
            <w:r>
              <w:rPr>
                <w:rStyle w:val="VerbatimChar"/>
              </w:rPr>
              <w:t xml:space="preserve">fee_schedule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 &amp; child-safety obligations are signed and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§9 + Handbook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codes; status/blacklist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certifying authority trains both instructors and examiners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§8 (Master Trainer)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courses</w:t>
            </w:r>
            <w:r>
              <w:t xml:space="preserve"> </w:t>
            </w:r>
            <w:r>
              <w:t xml:space="preserve">→ certification → onboarding loop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X589248ae37c9c0aeb287cb6378033256b472b71"/>
    <w:p>
      <w:pPr>
        <w:pStyle w:val="Heading2"/>
      </w:pPr>
      <w:r>
        <w:t xml:space="preserve">7. Open decisions to resolve before drafting</w:t>
      </w:r>
    </w:p>
    <w:p>
      <w:pPr>
        <w:pStyle w:val="FirstParagraph"/>
      </w:pPr>
      <w:r>
        <w:t xml:space="preserve">These are forks where the source documents currently disagree or are silent — flagging them now avoids re-edits later.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OD-1 — Instructor certification lineage.</w:t>
      </w:r>
      <w:r>
        <w:t xml:space="preserve"> </w:t>
      </w:r>
      <w:r>
        <w:t xml:space="preserve">v1.4 §6.1 makes a generic</w:t>
      </w:r>
      <w:r>
        <w:t xml:space="preserve"> </w:t>
      </w:r>
      <w:r>
        <w:rPr>
          <w:iCs/>
          <w:i/>
        </w:rPr>
        <w:t xml:space="preserve">"MAS Instructor certification"</w:t>
      </w:r>
      <w:r>
        <w:t xml:space="preserve"> </w:t>
      </w:r>
      <w:r>
        <w:t xml:space="preserve">a hard prerequisite for examiners and treats it as pre-existing/external. The new</w:t>
      </w:r>
      <w:r>
        <w:t xml:space="preserve"> </w:t>
      </w:r>
      <w:r>
        <w:rPr>
          <w:bCs/>
          <w:b/>
        </w:rPr>
        <w:t xml:space="preserve">Instructor Foundation Course</w:t>
      </w:r>
      <w:r>
        <w:t xml:space="preserve"> </w:t>
      </w:r>
      <w:r>
        <w:t xml:space="preserve">brings instruction</w:t>
      </w:r>
      <w:r>
        <w:t xml:space="preserve"> </w:t>
      </w:r>
      <w:r>
        <w:rPr>
          <w:iCs/>
          <w:i/>
        </w:rPr>
        <w:t xml:space="preserve">into</w:t>
      </w:r>
      <w:r>
        <w:t xml:space="preserve"> </w:t>
      </w:r>
      <w:r>
        <w:t xml:space="preserve">the BADGES system. Decide: does the BADGES Instructor Foundation cert</w:t>
      </w:r>
      <w:r>
        <w:t xml:space="preserve"> </w:t>
      </w:r>
      <w:r>
        <w:rPr>
          <w:iCs/>
          <w:i/>
        </w:rPr>
        <w:t xml:space="preserve">replace</w:t>
      </w:r>
      <w:r>
        <w:t xml:space="preserve"> </w:t>
      </w:r>
      <w:r>
        <w:t xml:space="preserve">the old MAS Instructor Course,</w:t>
      </w:r>
      <w:r>
        <w:t xml:space="preserve"> </w:t>
      </w:r>
      <w:r>
        <w:rPr>
          <w:iCs/>
          <w:i/>
        </w:rPr>
        <w:t xml:space="preserve">sit above</w:t>
      </w:r>
      <w:r>
        <w:t xml:space="preserve"> </w:t>
      </w:r>
      <w:r>
        <w:t xml:space="preserve">it, or</w:t>
      </w:r>
      <w:r>
        <w:t xml:space="preserve"> </w:t>
      </w:r>
      <w:r>
        <w:rPr>
          <w:iCs/>
          <w:i/>
        </w:rPr>
        <w:t xml:space="preserve">recognize</w:t>
      </w:r>
      <w:r>
        <w:t xml:space="preserve"> </w:t>
      </w:r>
      <w:r>
        <w:t xml:space="preserve">it as equivalent? This changes the examiner prerequisite wording.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OD-2 — One Master Trainer or two trainer roles.</w:t>
      </w:r>
      <w:r>
        <w:t xml:space="preserve"> </w:t>
      </w:r>
      <w:r>
        <w:t xml:space="preserve">You describe a single</w:t>
      </w:r>
      <w:r>
        <w:t xml:space="preserve"> </w:t>
      </w:r>
      <w:r>
        <w:rPr>
          <w:iCs/>
          <w:i/>
        </w:rPr>
        <w:t xml:space="preserve">"BADGES System Master Trainer"</w:t>
      </w:r>
      <w:r>
        <w:t xml:space="preserve"> </w:t>
      </w:r>
      <w:r>
        <w:t xml:space="preserve">running both course guides; the operations design (D6) proposed a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-level split into</w:t>
      </w:r>
      <w:r>
        <w:t xml:space="preserve"> </w:t>
      </w:r>
      <w:r>
        <w:rPr>
          <w:rStyle w:val="VerbatimChar"/>
        </w:rPr>
        <w:t xml:space="preserve">instructor_trainer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examiner_trainer</w:t>
      </w:r>
      <w:r>
        <w:t xml:space="preserve">. Recommended reconciliation:</w:t>
      </w:r>
      <w:r>
        <w:t xml:space="preserve"> </w:t>
      </w:r>
      <w:r>
        <w:rPr>
          <w:bCs/>
          <w:b/>
        </w:rPr>
        <w:t xml:space="preserve">one Master Trainer role in governance</w:t>
      </w:r>
      <w:r>
        <w:t xml:space="preserve"> </w:t>
      </w:r>
      <w:r>
        <w:t xml:space="preserve">(the human authority, named in the Manual), with the Portal optionally retaining two narrower trainer</w:t>
      </w:r>
      <w:r>
        <w:t xml:space="preserve"> </w:t>
      </w:r>
      <w:r>
        <w:rPr>
          <w:iCs/>
          <w:i/>
        </w:rPr>
        <w:t xml:space="preserve">capabilities</w:t>
      </w:r>
      <w:r>
        <w:t xml:space="preserve"> </w:t>
      </w:r>
      <w:r>
        <w:t xml:space="preserve">for RLS scoping — documentation vs. enforcement, again.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OD-3 — Partner Centre handbook?</w:t>
      </w:r>
      <w:r>
        <w:t xml:space="preserve"> </w:t>
      </w:r>
      <w:r>
        <w:t xml:space="preserve">Centre obligations are currently split between Manual §8 and the Portal. Decide whether centres warrant their own thin handbook (recognition, renewal, the centre's Portal duties) or whether the Manual-requirement + Portal-execution split is enough. Given the existing centre model (record / instructor / point-of-comm / Chairperson-as-approver) and renewal migration, a short</w:t>
      </w:r>
      <w:r>
        <w:t xml:space="preserve"> </w:t>
      </w:r>
      <w:r>
        <w:rPr>
          <w:bCs/>
          <w:b/>
        </w:rPr>
        <w:t xml:space="preserve">Partner Centre Guide</w:t>
      </w:r>
      <w:r>
        <w:t xml:space="preserve"> </w:t>
      </w:r>
      <w:r>
        <w:t xml:space="preserve">is likely worth it but is not in your named set.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OD-4 — Edition vs. new identity.</w:t>
      </w:r>
      <w:r>
        <w:t xml:space="preserve"> </w:t>
      </w:r>
      <w:r>
        <w:t xml:space="preserve">Recommend the charter ships as</w:t>
      </w:r>
      <w:r>
        <w:t xml:space="preserve"> </w:t>
      </w:r>
      <w:r>
        <w:rPr>
          <w:bCs/>
          <w:b/>
        </w:rPr>
        <w:t xml:space="preserve">Manual Edition 2.0</w:t>
      </w:r>
      <w:r>
        <w:t xml:space="preserve"> </w:t>
      </w:r>
      <w:r>
        <w:t xml:space="preserve">and the set as a whole gets a one-page</w:t>
      </w:r>
      <w:r>
        <w:t xml:space="preserve"> </w:t>
      </w:r>
      <w:r>
        <w:rPr>
          <w:bCs/>
          <w:b/>
        </w:rPr>
        <w:t xml:space="preserve">"BADGES Document System"</w:t>
      </w:r>
      <w:r>
        <w:t xml:space="preserve"> </w:t>
      </w:r>
      <w:r>
        <w:t xml:space="preserve">cover note, so the board sees the architecture, not five disconnected files.</w:t>
      </w:r>
    </w:p>
    <w:p>
      <w:r>
        <w:pict>
          <v:rect style="width:0;height:1.5pt" o:hralign="center" o:hrstd="t" o:hr="t"/>
        </w:pict>
      </w:r>
    </w:p>
    <w:bookmarkEnd w:id="36"/>
    <w:bookmarkStart w:id="37" w:name="Xfb5bfee59c2dc43ee752c677672a682321ba738"/>
    <w:p>
      <w:pPr>
        <w:pStyle w:val="Heading2"/>
      </w:pPr>
      <w:r>
        <w:t xml:space="preserve">8. Suggested build order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Manual §3 architecture + the requirements matrix</w:t>
      </w:r>
      <w:r>
        <w:t xml:space="preserve"> </w:t>
      </w:r>
      <w:r>
        <w:t xml:space="preserve">(this plan, ratified) — lock the skeleton first.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Syllabus</w:t>
      </w:r>
      <w:r>
        <w:t xml:space="preserve"> </w:t>
      </w:r>
      <w:r>
        <w:t xml:space="preserve">— extract Appendix A + §12; it is the spine everything else references, and it changes least.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Assessment System Handbook</w:t>
      </w:r>
      <w:r>
        <w:t xml:space="preserve"> </w:t>
      </w:r>
      <w:r>
        <w:t xml:space="preserve">— highest operational value; CAMS handbook as the template; Chief Examiner as custodian.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Examiner Certification Course Guide</w:t>
      </w:r>
      <w:r>
        <w:t xml:space="preserve"> </w:t>
      </w:r>
      <w:r>
        <w:t xml:space="preserve">— Appendix C lifts in almost intact; add the Portal module.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Teaching System Handbook</w:t>
      </w:r>
      <w:r>
        <w:t xml:space="preserve">, then</w:t>
      </w:r>
      <w:r>
        <w:t xml:space="preserve"> </w:t>
      </w:r>
      <w:r>
        <w:rPr>
          <w:bCs/>
          <w:b/>
        </w:rPr>
        <w:t xml:space="preserve">Instructor Foundation Course Guide</w:t>
      </w:r>
      <w:r>
        <w:t xml:space="preserve"> </w:t>
      </w:r>
      <w:r>
        <w:t xml:space="preserve">— the teach side, newest material, aligns with the instructor-onboarding loop already built.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Manual Edition 2.0</w:t>
      </w:r>
      <w:r>
        <w:t xml:space="preserve"> </w:t>
      </w:r>
      <w:r>
        <w:t xml:space="preserve">— finalize once the downstream homes exist, so every deferral points at a real document.</w:t>
      </w:r>
    </w:p>
    <w:p>
      <w:pPr>
        <w:pStyle w:val="FirstParagraph"/>
      </w:pPr>
      <w:r>
        <w:t xml:space="preserve">Version-control rule for the whole set (Manual App. A/B): each document carries its own edition stamp and a change-control row naming who</w:t>
      </w:r>
      <w:r>
        <w:t xml:space="preserve"> </w:t>
      </w:r>
      <w:r>
        <w:rPr>
          <w:iCs/>
          <w:i/>
        </w:rPr>
        <w:t xml:space="preserve">proposes / approves / ratifies</w:t>
      </w:r>
      <w:r>
        <w:t xml:space="preserve"> </w:t>
      </w:r>
      <w:r>
        <w:t xml:space="preserve">it, following the existing decision-flow routing (technical → Coaching Panel; operational → Chairperson; both → Board). One fact, one home, one owner, one change route.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color w:val="1E2752"/>
      <w:rFonts w:ascii="Arial" w:cs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color w:val="1E2752"/>
      <w:rFonts w:ascii="Arial" w:cs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color w:val="1E2752"/>
      <w:rFonts w:ascii="Arial" w:cs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color w:val="1E2752"/>
      <w:rFonts w:ascii="Arial" w:cs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color w:val="1E2752"/>
      <w:rFonts w:ascii="Arial" w:cs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2026-06-25T02:28:29Z</dcterms:created>
  <dcterms:modified xsi:type="dcterms:W3CDTF">2026-06-25T02:28:29Z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