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1022d3d2785f42d5bae4cd5b29bb964c909c85"/>
    <w:p>
      <w:pPr>
        <w:pStyle w:val="Heading1"/>
      </w:pPr>
      <w:r>
        <w:t xml:space="preserve">BADGES Manual — Amendment Set (forced by Decisions R1, R2, R5)</w:t>
      </w:r>
    </w:p>
    <w:p>
      <w:pPr>
        <w:pStyle w:val="FirstParagraph"/>
      </w:pPr>
      <w:r>
        <w:rPr>
          <w:iCs/>
          <w:i/>
        </w:rPr>
        <w:t xml:space="preserve">Interim corrective edits so the BADGES Manual (Edition 1.4) stops contradicting the Assessment System Handbook (Edition 1.1). Each block is</w:t>
      </w:r>
      <w:r>
        <w:rPr>
          <w:iCs/>
          <w:i/>
        </w:rPr>
        <w:t xml:space="preserve"> </w:t>
      </w:r>
      <w:r>
        <w:rPr>
          <w:bCs/>
          <w:b/>
          <w:iCs/>
          <w:i/>
        </w:rPr>
        <w:t xml:space="preserve">complete replacement text</w:t>
      </w:r>
      <w:r>
        <w:rPr>
          <w:iCs/>
          <w:i/>
        </w:rPr>
        <w:t xml:space="preserve"> </w:t>
      </w:r>
      <w:r>
        <w:rPr>
          <w:iCs/>
          <w:i/>
        </w:rPr>
        <w:t xml:space="preserve">for the named section — drop-in, not a diff. All three will be absorbed into Manual Edition 2.0; apply now to remove the live contradictions.</w:t>
      </w:r>
    </w:p>
    <w:p>
      <w:pPr>
        <w:pStyle w:val="BodyText"/>
      </w:pPr>
      <w:r>
        <w:rPr>
          <w:bCs/>
          <w:b/>
        </w:rPr>
        <w:t xml:space="preserve">Triggered by:</w:t>
      </w:r>
    </w:p>
    <w:p>
      <w:pPr>
        <w:numPr>
          <w:ilvl w:val="0"/>
          <w:numId w:val="1001"/>
        </w:numPr>
        <w:pStyle w:val="Compact"/>
      </w:pPr>
      <w:r>
        <w:rPr>
          <w:bCs/>
          <w:b/>
        </w:rPr>
        <w:t xml:space="preserve">R1</w:t>
      </w:r>
      <w:r>
        <w:t xml:space="preserve"> </w:t>
      </w:r>
      <w:r>
        <w:t xml:space="preserve">— no result appeal → fix §11.5 (currently describes a re-assessment process).</w:t>
      </w:r>
    </w:p>
    <w:p>
      <w:pPr>
        <w:numPr>
          <w:ilvl w:val="0"/>
          <w:numId w:val="1001"/>
        </w:numPr>
        <w:pStyle w:val="Compact"/>
      </w:pPr>
      <w:r>
        <w:rPr>
          <w:bCs/>
          <w:b/>
        </w:rPr>
        <w:t xml:space="preserve">R2</w:t>
      </w:r>
      <w:r>
        <w:t xml:space="preserve"> </w:t>
      </w:r>
      <w:r>
        <w:t xml:space="preserve">— MAS is the payment intermediary; two-leg closing loop → revise §14.5 and add §14.6.</w:t>
      </w:r>
    </w:p>
    <w:p>
      <w:pPr>
        <w:numPr>
          <w:ilvl w:val="0"/>
          <w:numId w:val="1001"/>
        </w:numPr>
        <w:pStyle w:val="Compact"/>
      </w:pPr>
      <w:r>
        <w:rPr>
          <w:bCs/>
          <w:b/>
        </w:rPr>
        <w:t xml:space="preserve">R5</w:t>
      </w:r>
      <w:r>
        <w:t xml:space="preserve"> </w:t>
      </w:r>
      <w:r>
        <w:t xml:space="preserve">— operating Code of Conduct moves to the Handbook → reduce §10 to a requirement.</w:t>
      </w:r>
    </w:p>
    <w:p>
      <w:r>
        <w:pict>
          <v:rect style="width:0;height:1.5pt" o:hralign="center" o:hrstd="t" o:hr="t"/>
        </w:pict>
      </w:r>
    </w:p>
    <w:bookmarkStart w:id="21" w:name="replace-section-10-in-full"/>
    <w:p>
      <w:pPr>
        <w:pStyle w:val="Heading2"/>
      </w:pPr>
      <w:r>
        <w:t xml:space="preserve">Replace Section 10 in full</w:t>
      </w:r>
    </w:p>
    <w:p>
      <w:pPr>
        <w:pStyle w:val="Heading3"/>
      </w:pPr>
      <w:bookmarkStart w:id="20" w:name="Xa815ad276c3ab373d58a9a73153bf4fa5e32d87"/>
      <w:r>
        <w:t xml:space="preserve">10. Examiner Code of Conduct</w:t>
      </w:r>
      <w:bookmarkEnd w:id="20"/>
    </w:p>
    <w:p>
      <w:pPr>
        <w:pStyle w:val="BlockText"/>
      </w:pPr>
      <w:r>
        <w:t xml:space="preserve">Every appointed examiner must hold and sign the BADGES Examiner Code of Conduct on appointment and re-affirm it at each renewal. Signing the Code is a condition of appointment and of remaining in the examiner pool.</w:t>
      </w:r>
    </w:p>
    <w:p>
      <w:pPr>
        <w:pStyle w:val="BlockText"/>
      </w:pPr>
      <w:r>
        <w:t xml:space="preserve">The single non-negotiable principle is the</w:t>
      </w:r>
      <w:r>
        <w:t xml:space="preserve"> </w:t>
      </w:r>
      <w:r>
        <w:rPr>
          <w:bCs/>
          <w:b/>
        </w:rPr>
        <w:t xml:space="preserve">conflict-of-interest firewall</w:t>
      </w:r>
      <w:r>
        <w:t xml:space="preserve">:</w:t>
      </w:r>
      <w:r>
        <w:t xml:space="preserve"> </w:t>
      </w:r>
      <w:r>
        <w:rPr>
          <w:iCs/>
          <w:i/>
        </w:rPr>
        <w:t xml:space="preserve">an examiner may not assess any candidate whom they have personally taught, coached, or instructed in the relevant skills.</w:t>
      </w:r>
      <w:r>
        <w:t xml:space="preserve"> </w:t>
      </w:r>
      <w:r>
        <w:t xml:space="preserve">The integrity of every badge depends on independent assessment.</w:t>
      </w:r>
    </w:p>
    <w:p>
      <w:pPr>
        <w:pStyle w:val="BlockText"/>
      </w:pPr>
      <w:r>
        <w:t xml:space="preserve">The</w:t>
      </w:r>
      <w:r>
        <w:t xml:space="preserve"> </w:t>
      </w:r>
      <w:r>
        <w:rPr>
          <w:bCs/>
          <w:b/>
        </w:rPr>
        <w:t xml:space="preserve">full operating text</w:t>
      </w:r>
      <w:r>
        <w:t xml:space="preserve"> </w:t>
      </w:r>
      <w:r>
        <w:t xml:space="preserve">of the Code — its standards-discipline, no-gifts, confidentiality, safeguarding, and breach provisions — is maintained in the</w:t>
      </w:r>
      <w:r>
        <w:t xml:space="preserve"> </w:t>
      </w:r>
      <w:r>
        <w:rPr>
          <w:bCs/>
          <w:b/>
        </w:rPr>
        <w:t xml:space="preserve">Assessment System Handbook</w:t>
      </w:r>
      <w:r>
        <w:t xml:space="preserve"> </w:t>
      </w:r>
      <w:r>
        <w:t xml:space="preserve">(custodian: Chief Examiner), so that it can be kept current with assessment practice without re-ratifying this Manual. Suspected breaches are referred to the Chief Examiner, who investigates and reports to the Chairperson; the Coaching Panel decides sanction; removal from the pool requires MAS Board ratification.</w:t>
      </w:r>
    </w:p>
    <w:p>
      <w:pPr>
        <w:pStyle w:val="FirstParagraph"/>
      </w:pPr>
      <w:r>
        <w:rPr>
          <w:iCs/>
          <w:i/>
        </w:rPr>
        <w:t xml:space="preserve">Rationale (R5): the Manual states the requirement to hold and sign a code and names the core rule; the procedural text lives once, in the Handbook.</w:t>
      </w:r>
    </w:p>
    <w:p>
      <w:r>
        <w:pict>
          <v:rect style="width:0;height:1.5pt" o:hralign="center" o:hrstd="t" o:hr="t"/>
        </w:pict>
      </w:r>
    </w:p>
    <w:bookmarkEnd w:id="21"/>
    <w:bookmarkStart w:id="23" w:name="replace-section-115-in-full"/>
    <w:p>
      <w:pPr>
        <w:pStyle w:val="Heading2"/>
      </w:pPr>
      <w:r>
        <w:t xml:space="preserve">Replace Section 11.5 in full</w:t>
      </w:r>
    </w:p>
    <w:p>
      <w:pPr>
        <w:pStyle w:val="Heading3"/>
      </w:pPr>
      <w:bookmarkStart w:id="22" w:name="X7bbc363342046a5298506c9ddd5c663752884f6"/>
      <w:r>
        <w:t xml:space="preserve">11.5 Outcomes and Recourse</w:t>
      </w:r>
      <w:bookmarkEnd w:id="22"/>
    </w:p>
    <w:p>
      <w:pPr>
        <w:pStyle w:val="BlockText"/>
      </w:pPr>
      <w:r>
        <w:t xml:space="preserve">A Pass/Refer outcome is the examiner's on-the-water judgement, recorded against the published criteria. Because no result is announced at the poolside and no third party witnesses the assessment,</w:t>
      </w:r>
      <w:r>
        <w:t xml:space="preserve"> </w:t>
      </w:r>
      <w:r>
        <w:rPr>
          <w:bCs/>
          <w:b/>
        </w:rPr>
        <w:t xml:space="preserve">MAS does not operate a result-appeal process</w:t>
      </w:r>
      <w:r>
        <w:t xml:space="preserve"> </w:t>
      </w:r>
      <w:r>
        <w:t xml:space="preserve">— there is nothing to re-adjudicate.</w:t>
      </w:r>
    </w:p>
    <w:p>
      <w:pPr>
        <w:pStyle w:val="BlockText"/>
      </w:pPr>
      <w:r>
        <w:t xml:space="preserve">The recourse for a</w:t>
      </w:r>
      <w:r>
        <w:t xml:space="preserve"> </w:t>
      </w:r>
      <w:r>
        <w:rPr>
          <w:bCs/>
          <w:b/>
        </w:rPr>
        <w:t xml:space="preserve">Refer</w:t>
      </w:r>
      <w:r>
        <w:t xml:space="preserve"> </w:t>
      </w:r>
      <w:r>
        <w:t xml:space="preserve">is built into the pathway: the examiner records exactly which criteria were not met, the instructor targets that gap, and the candidate re-attempts the level at any future session — with no penalty and no limit.</w:t>
      </w:r>
    </w:p>
    <w:p>
      <w:pPr>
        <w:pStyle w:val="BlockText"/>
      </w:pPr>
      <w:r>
        <w:t xml:space="preserve">A concern about</w:t>
      </w:r>
      <w:r>
        <w:t xml:space="preserve"> </w:t>
      </w:r>
      <w:r>
        <w:rPr>
          <w:bCs/>
          <w:b/>
        </w:rPr>
        <w:t xml:space="preserve">how</w:t>
      </w:r>
      <w:r>
        <w:t xml:space="preserve"> </w:t>
      </w:r>
      <w:r>
        <w:t xml:space="preserve">an assessment was conducted — as distinct from the result itself (for example, an undeclared conflict of interest) — is a Code of Conduct matter and is referred in writing to the Chief Examiner. The procedure is set out in the Assessment System Handbook (§3.8, §7).</w:t>
      </w:r>
    </w:p>
    <w:p>
      <w:pPr>
        <w:pStyle w:val="FirstParagraph"/>
      </w:pPr>
      <w:r>
        <w:rPr>
          <w:iCs/>
          <w:i/>
        </w:rPr>
        <w:t xml:space="preserve">Rationale (R1): removes the prior re-assessment-by-a-different-examiner process, which contradicted the Handbook's reasoned no-appeal position. A formal evidence-based appeals pathway would be introduced only if MAS later adopts a second-assessor or recorded-assessment structure.</w:t>
      </w:r>
    </w:p>
    <w:p>
      <w:r>
        <w:pict>
          <v:rect style="width:0;height:1.5pt" o:hralign="center" o:hrstd="t" o:hr="t"/>
        </w:pict>
      </w:r>
    </w:p>
    <w:bookmarkEnd w:id="23"/>
    <w:bookmarkStart w:id="26" w:name="Xd17eb64733eba2f1e81974a2f20a154117de990"/>
    <w:p>
      <w:pPr>
        <w:pStyle w:val="Heading2"/>
      </w:pPr>
      <w:r>
        <w:t xml:space="preserve">Amend Section 14 — replace §14.5 and add §14.6</w:t>
      </w:r>
    </w:p>
    <w:p>
      <w:pPr>
        <w:pStyle w:val="Heading3"/>
      </w:pPr>
      <w:bookmarkStart w:id="24" w:name="Xe5ff557493be55f9d66ee6e3c43eaadfcca5ebe"/>
      <w:r>
        <w:t xml:space="preserve">14.5 Cross-State Deployment Allowance</w:t>
      </w:r>
      <w:bookmarkEnd w:id="24"/>
    </w:p>
    <w:p>
      <w:pPr>
        <w:pStyle w:val="BlockText"/>
      </w:pPr>
      <w:r>
        <w:t xml:space="preserve">Where an examiner is deployed across state lines (Section 9), the requesting party bears the deploying examiner's allowance for transport, meals, and accommodation where applicable, in accordance with the standard schedule maintained by the Chief Examiner, endorsed annually by the Chairperson, and approved by the MAS Board. The allowance is</w:t>
      </w:r>
      <w:r>
        <w:t xml:space="preserve"> </w:t>
      </w:r>
      <w:r>
        <w:rPr>
          <w:bCs/>
          <w:b/>
        </w:rPr>
        <w:t xml:space="preserve">administered through MAS</w:t>
      </w:r>
      <w:r>
        <w:t xml:space="preserve"> </w:t>
      </w:r>
      <w:r>
        <w:t xml:space="preserve">— paid by the requesting party to MAS and disbursed by MAS to the examiner — so that every deployment is recorded and auditable.</w:t>
      </w:r>
    </w:p>
    <w:p>
      <w:pPr>
        <w:pStyle w:val="Heading3"/>
      </w:pPr>
      <w:bookmarkStart w:id="25" w:name="X2d5daecb0faca07882eace62890d1337db476c0"/>
      <w:r>
        <w:t xml:space="preserve">14.6 Examiner Remuneration &amp; Session Settlement</w:t>
      </w:r>
      <w:bookmarkEnd w:id="25"/>
    </w:p>
    <w:p>
      <w:pPr>
        <w:pStyle w:val="BlockText"/>
      </w:pPr>
      <w:r>
        <w:t xml:space="preserve">MAS acts as the</w:t>
      </w:r>
      <w:r>
        <w:t xml:space="preserve"> </w:t>
      </w:r>
      <w:r>
        <w:rPr>
          <w:bCs/>
          <w:b/>
        </w:rPr>
        <w:t xml:space="preserve">payment intermediary</w:t>
      </w:r>
      <w:r>
        <w:t xml:space="preserve"> </w:t>
      </w:r>
      <w:r>
        <w:t xml:space="preserve">for all assessment payments. Assessment fees (§14.1) are collected by MAS from the requesting party; the examiner is remunerated from those fees per the payout schedule set by the Chairperson and approved by the MAS Board.</w:t>
      </w:r>
    </w:p>
    <w:p>
      <w:pPr>
        <w:pStyle w:val="BlockText"/>
      </w:pPr>
      <w:r>
        <w:t xml:space="preserve">Every assessment session carries</w:t>
      </w:r>
      <w:r>
        <w:t xml:space="preserve"> </w:t>
      </w:r>
      <w:r>
        <w:rPr>
          <w:bCs/>
          <w:b/>
        </w:rPr>
        <w:t xml:space="preserve">two settlement legs</w:t>
      </w:r>
      <w:r>
        <w:t xml:space="preserve"> </w:t>
      </w:r>
      <w:r>
        <w:t xml:space="preserve">— payment</w:t>
      </w:r>
      <w:r>
        <w:t xml:space="preserve"> </w:t>
      </w:r>
      <w:r>
        <w:rPr>
          <w:bCs/>
          <w:b/>
        </w:rPr>
        <w:t xml:space="preserve">in</w:t>
      </w:r>
      <w:r>
        <w:t xml:space="preserve"> </w:t>
      </w:r>
      <w:r>
        <w:t xml:space="preserve">from the requesting party, and payout</w:t>
      </w:r>
      <w:r>
        <w:t xml:space="preserve"> </w:t>
      </w:r>
      <w:r>
        <w:rPr>
          <w:bCs/>
          <w:b/>
        </w:rPr>
        <w:t xml:space="preserve">out</w:t>
      </w:r>
      <w:r>
        <w:t xml:space="preserve"> </w:t>
      </w:r>
      <w:r>
        <w:t xml:space="preserve">to the examiner — and is</w:t>
      </w:r>
      <w:r>
        <w:t xml:space="preserve"> </w:t>
      </w:r>
      <w:r>
        <w:rPr>
          <w:bCs/>
          <w:b/>
        </w:rPr>
        <w:t xml:space="preserve">not closed until both legs are settled and recorded against proof</w:t>
      </w:r>
      <w:r>
        <w:t xml:space="preserve">. Certificates for a session are issued once the requesting party's payment is received; the session closes once the examiner payout is also recorded. This closed-loop settlement is operated through the BADGES Platform Portal.</w:t>
      </w:r>
    </w:p>
    <w:p>
      <w:pPr>
        <w:pStyle w:val="FirstParagraph"/>
      </w:pPr>
      <w:r>
        <w:rPr>
          <w:iCs/>
          <w:i/>
        </w:rPr>
        <w:t xml:space="preserve">Rationale (R2): the prior §14.5 had cross-state allowances paid directly to the examiner, and the Manual had no clause for remunerating examiners from assessment fees. Both are now routed through MAS for auditability and a clean two-leg close.</w:t>
      </w:r>
    </w:p>
    <w:p>
      <w:r>
        <w:pict>
          <v:rect style="width:0;height:1.5pt" o:hralign="center" o:hrstd="t" o:hr="t"/>
        </w:pict>
      </w:r>
    </w:p>
    <w:bookmarkEnd w:id="26"/>
    <w:bookmarkStart w:id="27" w:name="cross-checks-after-applying"/>
    <w:p>
      <w:pPr>
        <w:pStyle w:val="Heading2"/>
      </w:pPr>
      <w:r>
        <w:t xml:space="preserve">Cross-checks after applying</w:t>
      </w:r>
    </w:p>
    <w:p>
      <w:pPr>
        <w:numPr>
          <w:ilvl w:val="0"/>
          <w:numId w:val="1002"/>
        </w:numPr>
        <w:pStyle w:val="Compact"/>
      </w:pPr>
      <w:r>
        <w:rPr>
          <w:bCs/>
          <w:b/>
        </w:rPr>
        <w:t xml:space="preserve">Assessment System Handbook §3.8 / §11.5</w:t>
      </w:r>
      <w:r>
        <w:t xml:space="preserve"> </w:t>
      </w:r>
      <w:r>
        <w:t xml:space="preserve">— now consistent (no appeal).</w:t>
      </w:r>
    </w:p>
    <w:p>
      <w:pPr>
        <w:numPr>
          <w:ilvl w:val="0"/>
          <w:numId w:val="1002"/>
        </w:numPr>
        <w:pStyle w:val="Compact"/>
      </w:pPr>
      <w:r>
        <w:rPr>
          <w:bCs/>
          <w:b/>
        </w:rPr>
        <w:t xml:space="preserve">Handbook §2.3 / §3.6 / §14.6</w:t>
      </w:r>
      <w:r>
        <w:t xml:space="preserve"> </w:t>
      </w:r>
      <w:r>
        <w:t xml:space="preserve">— now consistent (MAS intermediary, two-leg close).</w:t>
      </w:r>
    </w:p>
    <w:p>
      <w:pPr>
        <w:numPr>
          <w:ilvl w:val="0"/>
          <w:numId w:val="1002"/>
        </w:numPr>
        <w:pStyle w:val="Compact"/>
      </w:pPr>
      <w:r>
        <w:rPr>
          <w:bCs/>
          <w:b/>
        </w:rPr>
        <w:t xml:space="preserve">Manual §10 ↔ Handbook §7.1</w:t>
      </w:r>
      <w:r>
        <w:t xml:space="preserve"> </w:t>
      </w:r>
      <w:r>
        <w:t xml:space="preserve">— Code requirement in the Manual, full code in the Handbook; no duplication.</w:t>
      </w:r>
    </w:p>
    <w:p>
      <w:pPr>
        <w:numPr>
          <w:ilvl w:val="0"/>
          <w:numId w:val="1002"/>
        </w:numPr>
        <w:pStyle w:val="Compact"/>
      </w:pPr>
      <w:r>
        <w:rPr>
          <w:bCs/>
          <w:b/>
        </w:rPr>
        <w:t xml:space="preserve">Still pending, not in this set:</w:t>
      </w:r>
      <w:r>
        <w:t xml:space="preserve"> </w:t>
      </w:r>
      <w:r>
        <w:t xml:space="preserve">§14.4 "Examiner Workshop Fee" wording will change to "Examiner</w:t>
      </w:r>
      <w:r>
        <w:t xml:space="preserve"> </w:t>
      </w:r>
      <w:r>
        <w:rPr>
          <w:bCs/>
          <w:b/>
        </w:rPr>
        <w:t xml:space="preserve">Course</w:t>
      </w:r>
      <w:r>
        <w:t xml:space="preserve"> </w:t>
      </w:r>
      <w:r>
        <w:t xml:space="preserve">Fee" when the Examiner Certification Course Guide is adopted (rename, not a policy change); §11 in full migrates to the Handbook at Manual Edition 2.0.</w:t>
      </w:r>
    </w:p>
    <w:bookmarkEnd w:id="27"/>
    <w:bookmarkStart w:id="28" w:name="application-note"/>
    <w:p>
      <w:pPr>
        <w:pStyle w:val="Heading2"/>
      </w:pPr>
      <w:r>
        <w:t xml:space="preserve">Application note</w:t>
      </w:r>
    </w:p>
    <w:p>
      <w:pPr>
        <w:pStyle w:val="FirstParagraph"/>
      </w:pPr>
      <w:r>
        <w:t xml:space="preserve">These are interim edits against Edition 1.4 to remove live contradictions today. When Manual Edition 2.0 is produced (build-order step 6), §11 leaves the Manual entirely (its detail lives in the Handbook), §10 carries the reduced requirement above, and §14 carries the §14.5/§14.6 text above under the slimmed "Fees &amp; Commercial Framework" requirement section that defers quanta to the Portal fee schedule.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E2752"/>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E2752"/>
      <w:rFonts w:ascii="Arial" w:cs="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E2752"/>
      <w:rFonts w:ascii="Arial" w:cs="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1E2752"/>
      <w:rFonts w:ascii="Arial" w:cs="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1E2752"/>
      <w:rFonts w:ascii="Arial" w:cs="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2026-06-25T02:28:30Z</dcterms:created>
  <dcterms:modified xsi:type="dcterms:W3CDTF">2026-06-25T02:28:30Z</dcterms:modified>
</cp:coreProperties>
</file>

<file path=docProps/custom.xml><?xml version="1.0" encoding="utf-8"?>
<Properties xmlns="http://schemas.openxmlformats.org/officeDocument/2006/custom-properties" xmlns:vt="http://schemas.openxmlformats.org/officeDocument/2006/docPropsVTypes"/>
</file>