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mas-badges-manual"/>
    <w:p>
      <w:pPr>
        <w:pStyle w:val="Heading1"/>
      </w:pPr>
      <w:r>
        <w:t xml:space="preserve">MAS BADGES Manual</w:t>
      </w:r>
    </w:p>
    <w:p>
      <w:pPr>
        <w:pStyle w:val="FirstParagraph"/>
      </w:pPr>
      <w:r>
        <w:rPr>
          <w:bCs/>
          <w:b/>
        </w:rPr>
        <w:t xml:space="preserve">Malaysia Aquatics (MAS) · Akuatik Malaysia</w:t>
      </w:r>
      <w:r>
        <w:t xml:space="preserve"> </w:t>
      </w:r>
      <w:r>
        <w:rPr>
          <w:bCs/>
          <w:b/>
        </w:rPr>
        <w:t xml:space="preserve">Governance, Requirements &amp; the BADGES Document System</w:t>
      </w:r>
      <w:r>
        <w:t xml:space="preserve"> </w:t>
      </w:r>
      <w:r>
        <w:rPr>
          <w:iCs/>
          <w:i/>
        </w:rPr>
        <w:t xml:space="preserve">The national Learn-to-Swim certification framework — Levels 1 to 7</w:t>
      </w:r>
    </w:p>
    <w:p>
      <w:pPr>
        <w:pStyle w:val="BodyText"/>
      </w:pPr>
      <w:r>
        <w:rPr>
          <w:bCs/>
          <w:b/>
        </w:rPr>
        <w:t xml:space="preserve">Edition 2.0</w:t>
      </w:r>
      <w:r>
        <w:t xml:space="preserve"> </w:t>
      </w:r>
      <w:r>
        <w:t xml:space="preserve">Prepared for the MAS Board of Directors and the MAS Coaching &amp; Technical Board</w:t>
      </w:r>
    </w:p>
    <w:p>
      <w:pPr>
        <w:pStyle w:val="BlockText"/>
      </w:pPr>
      <w:r>
        <w:rPr>
          <w:bCs/>
          <w:b/>
        </w:rPr>
        <w:t xml:space="preserve">About Edition 2.0.</w:t>
      </w:r>
      <w:r>
        <w:t xml:space="preserve"> </w:t>
      </w:r>
      <w:r>
        <w:t xml:space="preserve">This edition restructures the Manual from an all-in-one operating handbook into a</w:t>
      </w:r>
      <w:r>
        <w:t xml:space="preserve"> </w:t>
      </w:r>
      <w:r>
        <w:rPr>
          <w:bCs/>
          <w:b/>
        </w:rPr>
        <w:t xml:space="preserve">charter of requirements</w:t>
      </w:r>
      <w:r>
        <w:t xml:space="preserve">. It states</w:t>
      </w:r>
      <w:r>
        <w:t xml:space="preserve"> </w:t>
      </w:r>
      <w:r>
        <w:rPr>
          <w:iCs/>
          <w:i/>
        </w:rPr>
        <w:t xml:space="preserve">what</w:t>
      </w:r>
      <w:r>
        <w:t xml:space="preserve"> </w:t>
      </w:r>
      <w:r>
        <w:t xml:space="preserve">the BADGES system requires and</w:t>
      </w:r>
      <w:r>
        <w:t xml:space="preserve"> </w:t>
      </w:r>
      <w:r>
        <w:rPr>
          <w:iCs/>
          <w:i/>
        </w:rPr>
        <w:t xml:space="preserve">who</w:t>
      </w:r>
      <w:r>
        <w:t xml:space="preserve"> </w:t>
      </w:r>
      <w:r>
        <w:t xml:space="preserve">is accountable, and defers every</w:t>
      </w:r>
      <w:r>
        <w:t xml:space="preserve"> </w:t>
      </w:r>
      <w:r>
        <w:rPr>
          <w:iCs/>
          <w:i/>
        </w:rPr>
        <w:t xml:space="preserve">how</w:t>
      </w:r>
      <w:r>
        <w:t xml:space="preserve"> </w:t>
      </w:r>
      <w:r>
        <w:t xml:space="preserve">to the specialist documents — the 7-Level Syllabus, the Teaching and Assessment System Handbooks, and the two Course Guides — and to the BADGES Platform Portal. Syllabus, workshop content, the assessment procedure, the examiner-certification modules, and the fee quanta that lived in v1.4 have moved to their proper homes; this Manual now points to them.</w:t>
      </w:r>
    </w:p>
    <w:p>
      <w:r>
        <w:pict>
          <v:rect style="width:0;height:1.5pt" o:hralign="center" o:hrstd="t" o:hr="t"/>
        </w:pict>
      </w:r>
    </w:p>
    <w:bookmarkEnd w:id="20"/>
    <w:bookmarkStart w:id="25" w:name="part-i--foundations"/>
    <w:p>
      <w:pPr>
        <w:pStyle w:val="Heading1"/>
      </w:pPr>
      <w:r>
        <w:t xml:space="preserve">PART I — FOUNDATIONS</w:t>
      </w:r>
    </w:p>
    <w:bookmarkStart w:id="21" w:name="Xdb1f575bd342065b58b91030a9e0ee5a85f0156"/>
    <w:p>
      <w:pPr>
        <w:pStyle w:val="Heading2"/>
      </w:pPr>
      <w:r>
        <w:t xml:space="preserve">1. Introduction &amp; scope</w:t>
      </w:r>
    </w:p>
    <w:p>
      <w:pPr>
        <w:pStyle w:val="FirstParagraph"/>
      </w:pPr>
      <w:r>
        <w:t xml:space="preserve">The BADGES Program is Malaysia Aquatics' national Learn-to-Swim certification framework, giving every Malaysian child a clear, standardized pathway from their first day in the water to competitive readiness, across seven progressive levels — Starfish, Sea Turtle, Guppy, Octopus, Frog, Swordfish, and Dolphin.</w:t>
      </w:r>
    </w:p>
    <w:p>
      <w:pPr>
        <w:pStyle w:val="BodyText"/>
      </w:pPr>
      <w:r>
        <w:t xml:space="preserve">This Manual is the program's</w:t>
      </w:r>
      <w:r>
        <w:t xml:space="preserve"> </w:t>
      </w:r>
      <w:r>
        <w:rPr>
          <w:bCs/>
          <w:b/>
        </w:rPr>
        <w:t xml:space="preserve">constitution</w:t>
      </w:r>
      <w:r>
        <w:t xml:space="preserve">. It describes how the program is governed, who is accountable, and what the system requires on each topic. It does</w:t>
      </w:r>
      <w:r>
        <w:t xml:space="preserve"> </w:t>
      </w:r>
      <w:r>
        <w:rPr>
          <w:bCs/>
          <w:b/>
        </w:rPr>
        <w:t xml:space="preserve">not</w:t>
      </w:r>
      <w:r>
        <w:t xml:space="preserve"> </w:t>
      </w:r>
      <w:r>
        <w:t xml:space="preserve">contain the teaching method, the assessment procedure, the level criteria, or the certification-course content — those are specified in the documents named in §3 and executed in the Portal. The framework is deliberately lean: a Program Chairperson and a Chief Examiner under the MAS Board, with the Coaching &amp; Technical Board as the standing technical authority, and clear written requirements that let any qualified instructor find their way into the system without constant central administration.</w:t>
      </w:r>
    </w:p>
    <w:bookmarkEnd w:id="21"/>
    <w:bookmarkStart w:id="22" w:name="Xaddd6081177b3d4672d509ba1122f449dad2bc4"/>
    <w:p>
      <w:pPr>
        <w:pStyle w:val="Heading2"/>
      </w:pPr>
      <w:r>
        <w:t xml:space="preserve">2. Vision, mission &amp; objectives</w:t>
      </w:r>
    </w:p>
    <w:p>
      <w:pPr>
        <w:pStyle w:val="FirstParagraph"/>
      </w:pPr>
      <w:r>
        <w:rPr>
          <w:bCs/>
          <w:b/>
        </w:rPr>
        <w:t xml:space="preserve">Vision.</w:t>
      </w:r>
      <w:r>
        <w:t xml:space="preserve"> </w:t>
      </w:r>
      <w:r>
        <w:t xml:space="preserve">To raise the national standard of Learn-to-Swim and give every Malaysian child a recognized, transferable record of their progress in the water.</w:t>
      </w:r>
    </w:p>
    <w:p>
      <w:pPr>
        <w:pStyle w:val="BodyText"/>
      </w:pPr>
      <w:r>
        <w:rPr>
          <w:bCs/>
          <w:b/>
        </w:rPr>
        <w:t xml:space="preserve">Objectives.</w:t>
      </w:r>
    </w:p>
    <w:p>
      <w:pPr>
        <w:numPr>
          <w:ilvl w:val="0"/>
          <w:numId w:val="1001"/>
        </w:numPr>
        <w:pStyle w:val="Compact"/>
      </w:pPr>
      <w:r>
        <w:t xml:space="preserve">Establish the BADGES 7-Level Certification as the national Learn-to-Swim benchmark.</w:t>
      </w:r>
    </w:p>
    <w:p>
      <w:pPr>
        <w:numPr>
          <w:ilvl w:val="0"/>
          <w:numId w:val="1001"/>
        </w:numPr>
        <w:pStyle w:val="Compact"/>
      </w:pPr>
      <w:r>
        <w:t xml:space="preserve">Build and maintain a small, well-trained, audited pool of certified Examiners across the states.</w:t>
      </w:r>
    </w:p>
    <w:p>
      <w:pPr>
        <w:numPr>
          <w:ilvl w:val="0"/>
          <w:numId w:val="1001"/>
        </w:numPr>
        <w:pStyle w:val="Compact"/>
      </w:pPr>
      <w:r>
        <w:t xml:space="preserve">Certify and support a pool of BADGES Instructors who prepare candidates to the standard.</w:t>
      </w:r>
    </w:p>
    <w:p>
      <w:pPr>
        <w:numPr>
          <w:ilvl w:val="0"/>
          <w:numId w:val="1001"/>
        </w:numPr>
        <w:pStyle w:val="Compact"/>
      </w:pPr>
      <w:r>
        <w:t xml:space="preserve">Recognize swim schools, clubs, and academies as Official BADGES Partner Centres.</w:t>
      </w:r>
    </w:p>
    <w:p>
      <w:pPr>
        <w:numPr>
          <w:ilvl w:val="0"/>
          <w:numId w:val="1001"/>
        </w:numPr>
        <w:pStyle w:val="Compact"/>
      </w:pPr>
      <w:r>
        <w:t xml:space="preserve">Deliver a credible, transparent assessment that schools, parents, and competition selectors can trust.</w:t>
      </w:r>
    </w:p>
    <w:p>
      <w:pPr>
        <w:numPr>
          <w:ilvl w:val="0"/>
          <w:numId w:val="1001"/>
        </w:numPr>
        <w:pStyle w:val="Compact"/>
      </w:pPr>
      <w:r>
        <w:t xml:space="preserve">Provide a clear progression bridge from Learn-to-Swim into competitive aquatics.</w:t>
      </w:r>
    </w:p>
    <w:bookmarkEnd w:id="22"/>
    <w:bookmarkStart w:id="23" w:name="Xcabfbadfef5323e61b6f511706984cccf2589be"/>
    <w:p>
      <w:pPr>
        <w:pStyle w:val="Heading2"/>
      </w:pPr>
      <w:r>
        <w:t xml:space="preserve">3. The governing document architecture</w:t>
      </w:r>
    </w:p>
    <w:p>
      <w:pPr>
        <w:pStyle w:val="FirstParagraph"/>
      </w:pPr>
      <w:r>
        <w:t xml:space="preserve">The BADGES system is governed by a layered set of documents and one execution hub. This Manual states requirements; the specialist documents carry the specifics; the Portal enforces.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Document</w:t>
            </w:r>
          </w:p>
        </w:tc>
        <w:tc>
          <w:tcPr/>
          <w:p>
            <w:pPr>
              <w:pStyle w:val="Compact"/>
              <w:jc w:val="left"/>
            </w:pPr>
            <w:r>
              <w:t xml:space="preserve">Owns</w:t>
            </w:r>
          </w:p>
        </w:tc>
        <w:tc>
          <w:tcPr/>
          <w:p>
            <w:pPr>
              <w:pStyle w:val="Compact"/>
              <w:jc w:val="left"/>
            </w:pPr>
            <w:r>
              <w:t xml:space="preserve">Custodian</w:t>
            </w:r>
          </w:p>
        </w:tc>
      </w:tr>
      <w:tr>
        <w:tc>
          <w:tcPr/>
          <w:p>
            <w:pPr>
              <w:pStyle w:val="Compact"/>
              <w:jc w:val="left"/>
            </w:pPr>
            <w:r>
              <w:rPr>
                <w:bCs/>
                <w:b/>
              </w:rPr>
              <w:t xml:space="preserve">This Manual</w:t>
            </w:r>
          </w:p>
        </w:tc>
        <w:tc>
          <w:tcPr/>
          <w:p>
            <w:pPr>
              <w:pStyle w:val="Compact"/>
              <w:jc w:val="left"/>
            </w:pPr>
            <w:r>
              <w:t xml:space="preserve">Vision, governance, accountability, and the</w:t>
            </w:r>
            <w:r>
              <w:t xml:space="preserve"> </w:t>
            </w:r>
            <w:r>
              <w:rPr>
                <w:iCs/>
                <w:i/>
              </w:rPr>
              <w:t xml:space="preserve">requirements</w:t>
            </w:r>
            <w:r>
              <w:t xml:space="preserve"> </w:t>
            </w:r>
            <w:r>
              <w:t xml:space="preserve">of the system</w:t>
            </w:r>
          </w:p>
        </w:tc>
        <w:tc>
          <w:tcPr/>
          <w:p>
            <w:pPr>
              <w:pStyle w:val="Compact"/>
              <w:jc w:val="left"/>
            </w:pPr>
            <w:r>
              <w:t xml:space="preserve">Chairperson (program owner); Coaching Panel co-owns technical clauses</w:t>
            </w:r>
          </w:p>
        </w:tc>
      </w:tr>
      <w:tr>
        <w:tc>
          <w:tcPr/>
          <w:p>
            <w:pPr>
              <w:pStyle w:val="Compact"/>
              <w:jc w:val="left"/>
            </w:pPr>
            <w:r>
              <w:rPr>
                <w:bCs/>
                <w:b/>
              </w:rPr>
              <w:t xml:space="preserve">7-Level Syllabus</w:t>
            </w:r>
          </w:p>
        </w:tc>
        <w:tc>
          <w:tcPr/>
          <w:p>
            <w:pPr>
              <w:pStyle w:val="Compact"/>
              <w:jc w:val="left"/>
            </w:pPr>
            <w:r>
              <w:t xml:space="preserve">The proficiency standard — criteria/outcomes L1–L7</w:t>
            </w:r>
          </w:p>
        </w:tc>
        <w:tc>
          <w:tcPr/>
          <w:p>
            <w:pPr>
              <w:pStyle w:val="Compact"/>
              <w:jc w:val="left"/>
            </w:pPr>
            <w:r>
              <w:t xml:space="preserve">Coaching &amp; Technical Board</w:t>
            </w:r>
          </w:p>
        </w:tc>
      </w:tr>
      <w:tr>
        <w:tc>
          <w:tcPr/>
          <w:p>
            <w:pPr>
              <w:pStyle w:val="Compact"/>
              <w:jc w:val="left"/>
            </w:pPr>
            <w:r>
              <w:rPr>
                <w:bCs/>
                <w:b/>
              </w:rPr>
              <w:t xml:space="preserve">Teaching System Handbook</w:t>
            </w:r>
          </w:p>
        </w:tc>
        <w:tc>
          <w:tcPr/>
          <w:p>
            <w:pPr>
              <w:pStyle w:val="Compact"/>
              <w:jc w:val="left"/>
            </w:pPr>
            <w:r>
              <w:t xml:space="preserve">How instruction is delivered to the standard</w:t>
            </w:r>
          </w:p>
        </w:tc>
        <w:tc>
          <w:tcPr/>
          <w:p>
            <w:pPr>
              <w:pStyle w:val="Compact"/>
              <w:jc w:val="left"/>
            </w:pPr>
            <w:r>
              <w:t xml:space="preserve">Coaching Panel + Master Trainer</w:t>
            </w:r>
          </w:p>
        </w:tc>
      </w:tr>
      <w:tr>
        <w:tc>
          <w:tcPr/>
          <w:p>
            <w:pPr>
              <w:pStyle w:val="Compact"/>
              <w:jc w:val="left"/>
            </w:pPr>
            <w:r>
              <w:rPr>
                <w:bCs/>
                <w:b/>
              </w:rPr>
              <w:t xml:space="preserve">Instructor Foundation Certification Course Guide</w:t>
            </w:r>
          </w:p>
        </w:tc>
        <w:tc>
          <w:tcPr/>
          <w:p>
            <w:pPr>
              <w:pStyle w:val="Compact"/>
              <w:jc w:val="left"/>
            </w:pPr>
            <w:r>
              <w:t xml:space="preserve">How a person is certified to instruct</w:t>
            </w:r>
          </w:p>
        </w:tc>
        <w:tc>
          <w:tcPr/>
          <w:p>
            <w:pPr>
              <w:pStyle w:val="Compact"/>
              <w:jc w:val="left"/>
            </w:pPr>
            <w:r>
              <w:t xml:space="preserve">BADGES System Master Trainer</w:t>
            </w:r>
          </w:p>
        </w:tc>
      </w:tr>
      <w:tr>
        <w:tc>
          <w:tcPr/>
          <w:p>
            <w:pPr>
              <w:pStyle w:val="Compact"/>
              <w:jc w:val="left"/>
            </w:pPr>
            <w:r>
              <w:rPr>
                <w:bCs/>
                <w:b/>
              </w:rPr>
              <w:t xml:space="preserve">Assessment System Handbook</w:t>
            </w:r>
          </w:p>
        </w:tc>
        <w:tc>
          <w:tcPr/>
          <w:p>
            <w:pPr>
              <w:pStyle w:val="Compact"/>
              <w:jc w:val="left"/>
            </w:pPr>
            <w:r>
              <w:t xml:space="preserve">How levels are assessed, recorded, certified</w:t>
            </w:r>
          </w:p>
        </w:tc>
        <w:tc>
          <w:tcPr/>
          <w:p>
            <w:pPr>
              <w:pStyle w:val="Compact"/>
              <w:jc w:val="left"/>
            </w:pPr>
            <w:r>
              <w:t xml:space="preserve">Chief Examiner</w:t>
            </w:r>
          </w:p>
        </w:tc>
      </w:tr>
      <w:tr>
        <w:tc>
          <w:tcPr/>
          <w:p>
            <w:pPr>
              <w:pStyle w:val="Compact"/>
              <w:jc w:val="left"/>
            </w:pPr>
            <w:r>
              <w:rPr>
                <w:bCs/>
                <w:b/>
              </w:rPr>
              <w:t xml:space="preserve">Examiner Certification Course Guide</w:t>
            </w:r>
          </w:p>
        </w:tc>
        <w:tc>
          <w:tcPr/>
          <w:p>
            <w:pPr>
              <w:pStyle w:val="Compact"/>
              <w:jc w:val="left"/>
            </w:pPr>
            <w:r>
              <w:t xml:space="preserve">How a person is certified to assess</w:t>
            </w:r>
          </w:p>
        </w:tc>
        <w:tc>
          <w:tcPr/>
          <w:p>
            <w:pPr>
              <w:pStyle w:val="Compact"/>
              <w:jc w:val="left"/>
            </w:pPr>
            <w:r>
              <w:t xml:space="preserve">Master Trainer, with the Chief Examiner</w:t>
            </w:r>
          </w:p>
        </w:tc>
      </w:tr>
      <w:tr>
        <w:tc>
          <w:tcPr/>
          <w:p>
            <w:pPr>
              <w:pStyle w:val="Compact"/>
              <w:jc w:val="left"/>
            </w:pPr>
            <w:r>
              <w:rPr>
                <w:bCs/>
                <w:b/>
              </w:rPr>
              <w:t xml:space="preserve">BADGES Platform Portal</w:t>
            </w:r>
          </w:p>
        </w:tc>
        <w:tc>
          <w:tcPr/>
          <w:p>
            <w:pPr>
              <w:pStyle w:val="Compact"/>
              <w:jc w:val="left"/>
            </w:pPr>
            <w:r>
              <w:t xml:space="preserve">The system of record that executes the policies</w:t>
            </w:r>
          </w:p>
        </w:tc>
        <w:tc>
          <w:tcPr/>
          <w:p>
            <w:pPr>
              <w:pStyle w:val="Compact"/>
              <w:jc w:val="left"/>
            </w:pPr>
            <w:r>
              <w:t xml:space="preserve">System administrator; governance via access controls</w:t>
            </w:r>
          </w:p>
        </w:tc>
      </w:tr>
    </w:tbl>
    <w:p>
      <w:pPr>
        <w:pStyle w:val="BodyText"/>
      </w:pPr>
      <w:r>
        <w:rPr>
          <w:bCs/>
          <w:b/>
        </w:rPr>
        <w:t xml:space="preserve">Precedence.</w:t>
      </w:r>
      <w:r>
        <w:t xml:space="preserve"> </w:t>
      </w:r>
      <w:r>
        <w:t xml:space="preserve">Where this Manual and a specialist document appear to differ on</w:t>
      </w:r>
      <w:r>
        <w:t xml:space="preserve"> </w:t>
      </w:r>
      <w:r>
        <w:rPr>
          <w:iCs/>
          <w:i/>
        </w:rPr>
        <w:t xml:space="preserve">policy</w:t>
      </w:r>
      <w:r>
        <w:t xml:space="preserve">, this Manual governs and the specialist document is corrected. Where a document and the</w:t>
      </w:r>
      <w:r>
        <w:t xml:space="preserve"> </w:t>
      </w:r>
      <w:r>
        <w:rPr>
          <w:bCs/>
          <w:b/>
        </w:rPr>
        <w:t xml:space="preserve">Portal</w:t>
      </w:r>
      <w:r>
        <w:t xml:space="preserve"> </w:t>
      </w:r>
      <w:r>
        <w:t xml:space="preserve">differ on an</w:t>
      </w:r>
      <w:r>
        <w:t xml:space="preserve"> </w:t>
      </w:r>
      <w:r>
        <w:rPr>
          <w:iCs/>
          <w:i/>
        </w:rPr>
        <w:t xml:space="preserve">operational value or state</w:t>
      </w:r>
      <w:r>
        <w:t xml:space="preserve"> </w:t>
      </w:r>
      <w:r>
        <w:t xml:space="preserve">(a fee, a threshold, a session status), the Portal's configured value is authoritative for operations and the document is corrected. One fact has one home.</w:t>
      </w:r>
    </w:p>
    <w:p>
      <w:pPr>
        <w:pStyle w:val="BodyText"/>
      </w:pPr>
      <w:r>
        <w:rPr>
          <w:bCs/>
          <w:b/>
        </w:rPr>
        <w:t xml:space="preserve">Change control.</w:t>
      </w:r>
      <w:r>
        <w:t xml:space="preserve"> </w:t>
      </w:r>
      <w:r>
        <w:t xml:space="preserve">Standard and technical changes (criteria, level definitions, examiner-syllabus design) are proposed by the Chief Examiner or Chairperson, approved by the Coaching Panel, and ratified by the Board. Operational details within a Handbook may be revised by its custodian with the Chairperson's endorsement</w:t>
      </w:r>
      <w:r>
        <w:t xml:space="preserve"> </w:t>
      </w:r>
      <w:r>
        <w:rPr>
          <w:bCs/>
          <w:b/>
        </w:rPr>
        <w:t xml:space="preserve">without re-ratifying this Manual</w:t>
      </w:r>
      <w:r>
        <w:t xml:space="preserve"> </w:t>
      </w:r>
      <w:r>
        <w:t xml:space="preserve">— this is what keeps the Manual stable and the Handbooks current.</w:t>
      </w:r>
    </w:p>
    <w:bookmarkEnd w:id="23"/>
    <w:bookmarkStart w:id="24" w:name="X6fa37b1937bbfff6925cb50eac6b005b1628580"/>
    <w:p>
      <w:pPr>
        <w:pStyle w:val="Heading2"/>
      </w:pPr>
      <w:r>
        <w:t xml:space="preserve">4. Definitions &amp; glossary</w:t>
      </w:r>
    </w:p>
    <w:p>
      <w:pPr>
        <w:pStyle w:val="FirstParagraph"/>
      </w:pPr>
      <w:r>
        <w:t xml:space="preserve">Key terms:</w:t>
      </w:r>
      <w:r>
        <w:t xml:space="preserve"> </w:t>
      </w:r>
      <w:r>
        <w:rPr>
          <w:bCs/>
          <w:b/>
        </w:rPr>
        <w:t xml:space="preserve">Candidate</w:t>
      </w:r>
      <w:r>
        <w:t xml:space="preserve"> </w:t>
      </w:r>
      <w:r>
        <w:t xml:space="preserve">(a swimmer being prepared for or assessed at a level);</w:t>
      </w:r>
      <w:r>
        <w:t xml:space="preserve"> </w:t>
      </w:r>
      <w:r>
        <w:rPr>
          <w:bCs/>
          <w:b/>
        </w:rPr>
        <w:t xml:space="preserve">Instructor</w:t>
      </w:r>
      <w:r>
        <w:t xml:space="preserve"> </w:t>
      </w:r>
      <w:r>
        <w:t xml:space="preserve">(a BADGES-certified teacher who prepares candidates);</w:t>
      </w:r>
      <w:r>
        <w:t xml:space="preserve"> </w:t>
      </w:r>
      <w:r>
        <w:rPr>
          <w:bCs/>
          <w:b/>
        </w:rPr>
        <w:t xml:space="preserve">Examiner</w:t>
      </w:r>
      <w:r>
        <w:t xml:space="preserve"> </w:t>
      </w:r>
      <w:r>
        <w:t xml:space="preserve">(a BADGES-certified assessor);</w:t>
      </w:r>
      <w:r>
        <w:t xml:space="preserve"> </w:t>
      </w:r>
      <w:r>
        <w:rPr>
          <w:bCs/>
          <w:b/>
        </w:rPr>
        <w:t xml:space="preserve">Master Trainer</w:t>
      </w:r>
      <w:r>
        <w:t xml:space="preserve"> </w:t>
      </w:r>
      <w:r>
        <w:t xml:space="preserve">(the authority who delivers the certification courses);</w:t>
      </w:r>
      <w:r>
        <w:t xml:space="preserve"> </w:t>
      </w:r>
      <w:r>
        <w:rPr>
          <w:bCs/>
          <w:b/>
        </w:rPr>
        <w:t xml:space="preserve">Partner Centre</w:t>
      </w:r>
      <w:r>
        <w:t xml:space="preserve"> </w:t>
      </w:r>
      <w:r>
        <w:t xml:space="preserve">(a recognized swim entity);</w:t>
      </w:r>
      <w:r>
        <w:t xml:space="preserve"> </w:t>
      </w:r>
      <w:r>
        <w:rPr>
          <w:bCs/>
          <w:b/>
        </w:rPr>
        <w:t xml:space="preserve">Pass / Refer</w:t>
      </w:r>
      <w:r>
        <w:t xml:space="preserve"> </w:t>
      </w:r>
      <w:r>
        <w:t xml:space="preserve">(the two assessment outcomes);</w:t>
      </w:r>
      <w:r>
        <w:t xml:space="preserve"> </w:t>
      </w:r>
      <w:r>
        <w:rPr>
          <w:bCs/>
          <w:b/>
        </w:rPr>
        <w:t xml:space="preserve">the Portal</w:t>
      </w:r>
      <w:r>
        <w:t xml:space="preserve"> </w:t>
      </w:r>
      <w:r>
        <w:t xml:space="preserve">(apps.masbadges.org). A fuller glossary is maintained as Appendix C.</w:t>
      </w:r>
    </w:p>
    <w:p>
      <w:r>
        <w:pict>
          <v:rect style="width:0;height:1.5pt" o:hralign="center" o:hrstd="t" o:hr="t"/>
        </w:pict>
      </w:r>
    </w:p>
    <w:bookmarkEnd w:id="24"/>
    <w:bookmarkEnd w:id="25"/>
    <w:bookmarkStart w:id="31" w:name="part-ii--governance--accountability"/>
    <w:p>
      <w:pPr>
        <w:pStyle w:val="Heading1"/>
      </w:pPr>
      <w:r>
        <w:t xml:space="preserve">PART II — GOVERNANCE &amp; ACCOUNTABILITY</w:t>
      </w:r>
    </w:p>
    <w:bookmarkStart w:id="26" w:name="Xb896fcd1625efec634f65836232191e88c553de"/>
    <w:p>
      <w:pPr>
        <w:pStyle w:val="Heading2"/>
      </w:pPr>
      <w:r>
        <w:t xml:space="preserve">5. Governance &amp; reporting structure</w:t>
      </w:r>
    </w:p>
    <w:p>
      <w:pPr>
        <w:pStyle w:val="FirstParagraph"/>
      </w:pPr>
      <w:r>
        <w:t xml:space="preserve">The program is governed by</w:t>
      </w:r>
      <w:r>
        <w:t xml:space="preserve"> </w:t>
      </w:r>
      <w:r>
        <w:rPr>
          <w:bCs/>
          <w:b/>
        </w:rPr>
        <w:t xml:space="preserve">two parallel authorities under the MAS Board</w:t>
      </w:r>
      <w:r>
        <w:t xml:space="preserve">, working in coordination:</w:t>
      </w:r>
    </w:p>
    <w:p>
      <w:pPr>
        <w:numPr>
          <w:ilvl w:val="0"/>
          <w:numId w:val="1002"/>
        </w:numPr>
        <w:pStyle w:val="Compact"/>
      </w:pPr>
      <w:r>
        <w:t xml:space="preserve">The</w:t>
      </w:r>
      <w:r>
        <w:t xml:space="preserve"> </w:t>
      </w:r>
      <w:r>
        <w:rPr>
          <w:bCs/>
          <w:b/>
        </w:rPr>
        <w:t xml:space="preserve">Coaching &amp; Technical Board (Coaching Panel)</w:t>
      </w:r>
      <w:r>
        <w:t xml:space="preserve"> </w:t>
      </w:r>
      <w:r>
        <w:t xml:space="preserve">— the standing technical authority. It owns the Syllabus and technical standards and ratifies examiner appointments.</w:t>
      </w:r>
    </w:p>
    <w:p>
      <w:pPr>
        <w:numPr>
          <w:ilvl w:val="0"/>
          <w:numId w:val="1002"/>
        </w:numPr>
        <w:pStyle w:val="Compact"/>
      </w:pPr>
      <w:r>
        <w:t xml:space="preserve">The</w:t>
      </w:r>
      <w:r>
        <w:t xml:space="preserve"> </w:t>
      </w:r>
      <w:r>
        <w:rPr>
          <w:bCs/>
          <w:b/>
        </w:rPr>
        <w:t xml:space="preserve">BADGES Chairperson</w:t>
      </w:r>
      <w:r>
        <w:t xml:space="preserve"> </w:t>
      </w:r>
      <w:r>
        <w:t xml:space="preserve">— the program owner. The Chairperson runs rollout, instructor liaison, the examiner pool, partnerships, and budget.</w:t>
      </w:r>
    </w:p>
    <w:p>
      <w:pPr>
        <w:pStyle w:val="FirstParagraph"/>
      </w:pPr>
      <w:r>
        <w:t xml:space="preserve">The two are</w:t>
      </w:r>
      <w:r>
        <w:t xml:space="preserve"> </w:t>
      </w:r>
      <w:r>
        <w:rPr>
          <w:bCs/>
          <w:b/>
        </w:rPr>
        <w:t xml:space="preserve">peers under the Board, not stacked</w:t>
      </w:r>
      <w:r>
        <w:t xml:space="preserve">: technical decisions flow through the Coaching Panel, operational decisions through the Chairperson, with the Board as final authority on either.</w:t>
      </w:r>
    </w:p>
    <w:p>
      <w:pPr>
        <w:pStyle w:val="BodyText"/>
      </w:pPr>
      <w:r>
        <w:rPr>
          <w:bCs/>
          <w:b/>
        </w:rPr>
        <w:t xml:space="preserve">Chain of accountability:</w:t>
      </w:r>
      <w:r>
        <w:t xml:space="preserve"> </w:t>
      </w:r>
      <w:r>
        <w:t xml:space="preserve">MAS Board → (Coaching &amp; Technical Board</w:t>
      </w:r>
      <w:r>
        <w:t xml:space="preserve"> </w:t>
      </w:r>
      <w:r>
        <w:rPr>
          <w:iCs/>
          <w:i/>
        </w:rPr>
        <w:t xml:space="preserve">and</w:t>
      </w:r>
      <w:r>
        <w:t xml:space="preserve"> </w:t>
      </w:r>
      <w:r>
        <w:t xml:space="preserve">BADGES Chairperson, as peers) → Chief Examiner (technical to the Coaching Panel; operational to the Chairperson) → Approved Examiners → Partner Centres and Certified Instructors.</w:t>
      </w:r>
    </w:p>
    <w:p>
      <w:pPr>
        <w:pStyle w:val="BodyText"/>
      </w:pPr>
      <w:r>
        <w:rPr>
          <w:bCs/>
          <w:b/>
        </w:rPr>
        <w:t xml:space="preserve">Decision routing (the working rulebook):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Decision</w:t>
            </w:r>
          </w:p>
        </w:tc>
        <w:tc>
          <w:tcPr/>
          <w:p>
            <w:pPr>
              <w:pStyle w:val="Compact"/>
              <w:jc w:val="left"/>
            </w:pPr>
            <w:r>
              <w:t xml:space="preserve">Routing</w:t>
            </w:r>
          </w:p>
        </w:tc>
      </w:tr>
      <w:tr>
        <w:tc>
          <w:tcPr/>
          <w:p>
            <w:pPr>
              <w:pStyle w:val="Compact"/>
              <w:jc w:val="left"/>
            </w:pPr>
            <w:r>
              <w:t xml:space="preserve">Syllabus / technical criteria change</w:t>
            </w:r>
          </w:p>
        </w:tc>
        <w:tc>
          <w:tcPr/>
          <w:p>
            <w:pPr>
              <w:pStyle w:val="Compact"/>
              <w:jc w:val="left"/>
            </w:pPr>
            <w:r>
              <w:t xml:space="preserve">CE or Chairperson proposes → Coaching Panel approves → Board ratifies</w:t>
            </w:r>
          </w:p>
        </w:tc>
      </w:tr>
      <w:tr>
        <w:tc>
          <w:tcPr/>
          <w:p>
            <w:pPr>
              <w:pStyle w:val="Compact"/>
              <w:jc w:val="left"/>
            </w:pPr>
            <w:r>
              <w:t xml:space="preserve">Certification-course syllabus design</w:t>
            </w:r>
          </w:p>
        </w:tc>
        <w:tc>
          <w:tcPr/>
          <w:p>
            <w:pPr>
              <w:pStyle w:val="Compact"/>
              <w:jc w:val="left"/>
            </w:pPr>
            <w:r>
              <w:t xml:space="preserve">Master Trainer + CE co-design → Coaching Panel approves → Board ratifies</w:t>
            </w:r>
          </w:p>
        </w:tc>
      </w:tr>
      <w:tr>
        <w:tc>
          <w:tcPr/>
          <w:p>
            <w:pPr>
              <w:pStyle w:val="Compact"/>
              <w:jc w:val="left"/>
            </w:pPr>
            <w:r>
              <w:t xml:space="preserve">Examiner appointment</w:t>
            </w:r>
          </w:p>
        </w:tc>
        <w:tc>
          <w:tcPr/>
          <w:p>
            <w:pPr>
              <w:pStyle w:val="Compact"/>
              <w:jc w:val="left"/>
            </w:pPr>
            <w:r>
              <w:t xml:space="preserve">CE recommends → Chairperson endorses → Coaching Panel ratifies → Board confirms</w:t>
            </w:r>
          </w:p>
        </w:tc>
      </w:tr>
      <w:tr>
        <w:tc>
          <w:tcPr/>
          <w:p>
            <w:pPr>
              <w:pStyle w:val="Compact"/>
              <w:jc w:val="left"/>
            </w:pPr>
            <w:r>
              <w:t xml:space="preserve">Chief Examiner appointment</w:t>
            </w:r>
          </w:p>
        </w:tc>
        <w:tc>
          <w:tcPr/>
          <w:p>
            <w:pPr>
              <w:pStyle w:val="Compact"/>
              <w:jc w:val="left"/>
            </w:pPr>
            <w:r>
              <w:t xml:space="preserve">Chairperson nominates with Coaching Panel → Board approves</w:t>
            </w:r>
          </w:p>
        </w:tc>
      </w:tr>
      <w:tr>
        <w:tc>
          <w:tcPr/>
          <w:p>
            <w:pPr>
              <w:pStyle w:val="Compact"/>
              <w:jc w:val="left"/>
            </w:pPr>
            <w:r>
              <w:t xml:space="preserve">Partner Centre recognition</w:t>
            </w:r>
          </w:p>
        </w:tc>
        <w:tc>
          <w:tcPr/>
          <w:p>
            <w:pPr>
              <w:pStyle w:val="Compact"/>
              <w:jc w:val="left"/>
            </w:pPr>
            <w:r>
              <w:t xml:space="preserve">Chairperson approves on application → notifies Board</w:t>
            </w:r>
          </w:p>
        </w:tc>
      </w:tr>
      <w:tr>
        <w:tc>
          <w:tcPr/>
          <w:p>
            <w:pPr>
              <w:pStyle w:val="Compact"/>
              <w:jc w:val="left"/>
            </w:pPr>
            <w:r>
              <w:t xml:space="preserve">Fees, allowance schedule, scheduling</w:t>
            </w:r>
          </w:p>
        </w:tc>
        <w:tc>
          <w:tcPr/>
          <w:p>
            <w:pPr>
              <w:pStyle w:val="Compact"/>
              <w:jc w:val="left"/>
            </w:pPr>
            <w:r>
              <w:t xml:space="preserve">Chairperson with CE → Board approves the schedule</w:t>
            </w:r>
          </w:p>
        </w:tc>
      </w:tr>
      <w:tr>
        <w:tc>
          <w:tcPr/>
          <w:p>
            <w:pPr>
              <w:pStyle w:val="Compact"/>
              <w:jc w:val="left"/>
            </w:pPr>
            <w:r>
              <w:t xml:space="preserve">Audit findings / technical disputes</w:t>
            </w:r>
          </w:p>
        </w:tc>
        <w:tc>
          <w:tcPr/>
          <w:p>
            <w:pPr>
              <w:pStyle w:val="Compact"/>
              <w:jc w:val="left"/>
            </w:pPr>
            <w:r>
              <w:t xml:space="preserve">CE → Coaching Panel</w:t>
            </w:r>
          </w:p>
        </w:tc>
      </w:tr>
      <w:tr>
        <w:tc>
          <w:tcPr/>
          <w:p>
            <w:pPr>
              <w:pStyle w:val="Compact"/>
              <w:jc w:val="left"/>
            </w:pPr>
            <w:r>
              <w:t xml:space="preserve">Operational disputes / Partner Centre issues</w:t>
            </w:r>
          </w:p>
        </w:tc>
        <w:tc>
          <w:tcPr/>
          <w:p>
            <w:pPr>
              <w:pStyle w:val="Compact"/>
              <w:jc w:val="left"/>
            </w:pPr>
            <w:r>
              <w:t xml:space="preserve">CE or partner → Chairperson</w:t>
            </w:r>
          </w:p>
        </w:tc>
      </w:tr>
      <w:tr>
        <w:tc>
          <w:tcPr/>
          <w:p>
            <w:pPr>
              <w:pStyle w:val="Compact"/>
              <w:jc w:val="left"/>
            </w:pPr>
            <w:r>
              <w:t xml:space="preserve">Examiner discipline or removal</w:t>
            </w:r>
          </w:p>
        </w:tc>
        <w:tc>
          <w:tcPr/>
          <w:p>
            <w:pPr>
              <w:pStyle w:val="Compact"/>
              <w:jc w:val="left"/>
            </w:pPr>
            <w:r>
              <w:t xml:space="preserve">CE reports → Chairperson endorses → Coaching Panel decides → Board ratifies removal</w:t>
            </w:r>
          </w:p>
        </w:tc>
      </w:tr>
      <w:tr>
        <w:tc>
          <w:tcPr/>
          <w:p>
            <w:pPr>
              <w:pStyle w:val="Compact"/>
              <w:jc w:val="left"/>
            </w:pPr>
            <w:r>
              <w:t xml:space="preserve">Bi-annual program report</w:t>
            </w:r>
          </w:p>
        </w:tc>
        <w:tc>
          <w:tcPr/>
          <w:p>
            <w:pPr>
              <w:pStyle w:val="Compact"/>
              <w:jc w:val="left"/>
            </w:pPr>
            <w:r>
              <w:t xml:space="preserve">CE submits to Chairperson (operational) and Coaching Panel (technical)</w:t>
            </w:r>
          </w:p>
        </w:tc>
      </w:tr>
    </w:tbl>
    <w:bookmarkEnd w:id="26"/>
    <w:bookmarkStart w:id="27" w:name="X0d17038ad8bb7023f01be8ec7c68b7bf57993b3"/>
    <w:p>
      <w:pPr>
        <w:pStyle w:val="Heading2"/>
      </w:pPr>
      <w:r>
        <w:t xml:space="preserve">6. The Chairperson</w:t>
      </w:r>
    </w:p>
    <w:p>
      <w:pPr>
        <w:pStyle w:val="FirstParagraph"/>
      </w:pPr>
      <w:r>
        <w:rPr>
          <w:bCs/>
          <w:b/>
        </w:rPr>
        <w:t xml:space="preserve">Requirement.</w:t>
      </w:r>
      <w:r>
        <w:t xml:space="preserve"> </w:t>
      </w:r>
      <w:r>
        <w:t xml:space="preserve">The program has a Chairperson, appointed by the Board in consultation with the Coaching Panel, who is the named accountable program owner: rollout and administration, instructor-pool liaison, the Partner Centre register, endorsement of examiner appointments, the program budget and proposed fee schedule, and the public-facing representation of the program. The Chairperson recommends — but does not unilaterally amend — syllabus content; technical content always goes to the Coaching Panel.</w:t>
      </w:r>
    </w:p>
    <w:p>
      <w:pPr>
        <w:pStyle w:val="BodyText"/>
      </w:pPr>
      <w:r>
        <w:rPr>
          <w:bCs/>
          <w:b/>
        </w:rPr>
        <w:t xml:space="preserve">Eligibility (in brief).</w:t>
      </w:r>
      <w:r>
        <w:t xml:space="preserve"> </w:t>
      </w:r>
      <w:r>
        <w:t xml:space="preserve">A senior MAS-affiliated practitioner or sitting Board/Coaching Panel member; administrative capacity; Good Standing; no compromising conflict with any single Partner Centre (recusal where personal involvement exists).</w:t>
      </w:r>
    </w:p>
    <w:p>
      <w:pPr>
        <w:pStyle w:val="BodyText"/>
      </w:pPr>
      <w:r>
        <w:rPr>
          <w:bCs/>
          <w:b/>
        </w:rPr>
        <w:t xml:space="preserve">Term.</w:t>
      </w:r>
      <w:r>
        <w:t xml:space="preserve"> </w:t>
      </w:r>
      <w:r>
        <w:t xml:space="preserve">Two years, aligned with the MAS governance term, renewable by the Board with the Coaching Panel.</w:t>
      </w:r>
      <w:r>
        <w:t xml:space="preserve"> </w:t>
      </w:r>
      <w:r>
        <w:rPr>
          <w:iCs/>
          <w:i/>
        </w:rPr>
        <w:t xml:space="preserve">Inaugural appointment: Ms. Nancy Yap (honorary).</w:t>
      </w:r>
    </w:p>
    <w:bookmarkEnd w:id="27"/>
    <w:bookmarkStart w:id="28" w:name="X0df1a4c9eed7cc240b03b370e752c1d4f6a4691"/>
    <w:p>
      <w:pPr>
        <w:pStyle w:val="Heading2"/>
      </w:pPr>
      <w:r>
        <w:t xml:space="preserve">7. The Chief Examiner</w:t>
      </w:r>
    </w:p>
    <w:p>
      <w:pPr>
        <w:pStyle w:val="FirstParagraph"/>
      </w:pPr>
      <w:r>
        <w:rPr>
          <w:bCs/>
          <w:b/>
        </w:rPr>
        <w:t xml:space="preserve">Requirement.</w:t>
      </w:r>
      <w:r>
        <w:t xml:space="preserve"> </w:t>
      </w:r>
      <w:r>
        <w:t xml:space="preserve">The program has a Chief Examiner, nominated by the Chairperson with the Coaching Panel and approved by the Board, who is the operational head of the examiner pool — query resolution, examiner welfare and scheduling, the national Examiner Register, quality audits, cross-state coordination, the bi-annual report, and appointment recommendations. The Chief Examiner reports operationally to the Chairperson and technically to the Coaching Panel,</w:t>
      </w:r>
      <w:r>
        <w:t xml:space="preserve"> </w:t>
      </w:r>
      <w:r>
        <w:rPr>
          <w:bCs/>
          <w:b/>
        </w:rPr>
        <w:t xml:space="preserve">holds custody of the Assessment System Handbook</w:t>
      </w:r>
      <w:r>
        <w:t xml:space="preserve">, and may serve as a working examiner.</w:t>
      </w:r>
    </w:p>
    <w:p>
      <w:pPr>
        <w:pStyle w:val="BodyText"/>
      </w:pPr>
      <w:r>
        <w:rPr>
          <w:bCs/>
          <w:b/>
        </w:rPr>
        <w:t xml:space="preserve">Eligibility (in brief).</w:t>
      </w:r>
      <w:r>
        <w:t xml:space="preserve"> </w:t>
      </w:r>
      <w:r>
        <w:t xml:space="preserve">A current Examiner with two years' experience, or a senior coach/instructor who has led the examiner course; current Instructor and Examiner certification; lifesaving certification; administrative competence; Good Standing; no compromising commercial conflict (does not examine candidates from their own school).</w:t>
      </w:r>
    </w:p>
    <w:p>
      <w:pPr>
        <w:pStyle w:val="BodyText"/>
      </w:pPr>
      <w:r>
        <w:rPr>
          <w:bCs/>
          <w:b/>
        </w:rPr>
        <w:t xml:space="preserve">Term.</w:t>
      </w:r>
      <w:r>
        <w:t xml:space="preserve"> </w:t>
      </w:r>
      <w:r>
        <w:t xml:space="preserve">Two years, renewable.</w:t>
      </w:r>
      <w:r>
        <w:t xml:space="preserve"> </w:t>
      </w:r>
      <w:r>
        <w:rPr>
          <w:iCs/>
          <w:i/>
        </w:rPr>
        <w:t xml:space="preserve">Inaugural appointment: Ms. Clara Chung (voluntary, founding phase), under the Founding Phase Provision in §18.</w:t>
      </w:r>
    </w:p>
    <w:bookmarkEnd w:id="28"/>
    <w:bookmarkStart w:id="29" w:name="X9cf0981ed67e488717697269ae61c6d94c6b26f"/>
    <w:p>
      <w:pPr>
        <w:pStyle w:val="Heading2"/>
      </w:pPr>
      <w:r>
        <w:t xml:space="preserve">8. The BADGES System Master Trainer</w:t>
      </w:r>
    </w:p>
    <w:p>
      <w:pPr>
        <w:pStyle w:val="FirstParagraph"/>
      </w:pPr>
      <w:r>
        <w:rPr>
          <w:bCs/>
          <w:b/>
        </w:rPr>
        <w:t xml:space="preserve">Requirement.</w:t>
      </w:r>
      <w:r>
        <w:t xml:space="preserve"> </w:t>
      </w:r>
      <w:r>
        <w:t xml:space="preserve">The program has a Master Trainer — a Coaching-Panel-designated authority who develops, with the Chief Examiner, the certification-course syllabi and delivers the</w:t>
      </w:r>
      <w:r>
        <w:t xml:space="preserve"> </w:t>
      </w:r>
      <w:r>
        <w:rPr>
          <w:bCs/>
          <w:b/>
        </w:rPr>
        <w:t xml:space="preserve">Instructor Foundation</w:t>
      </w:r>
      <w:r>
        <w:t xml:space="preserve"> </w:t>
      </w:r>
      <w:r>
        <w:t xml:space="preserve">and</w:t>
      </w:r>
      <w:r>
        <w:t xml:space="preserve"> </w:t>
      </w:r>
      <w:r>
        <w:rPr>
          <w:bCs/>
          <w:b/>
        </w:rPr>
        <w:t xml:space="preserve">Examiner Certification</w:t>
      </w:r>
      <w:r>
        <w:t xml:space="preserve"> </w:t>
      </w:r>
      <w:r>
        <w:t xml:space="preserve">courses. The role is functional, operating in cycles tied to course intakes, and includes procurement of certification kits and a course report to the Coaching Panel after each intake.</w:t>
      </w:r>
      <w:r>
        <w:t xml:space="preserve"> </w:t>
      </w:r>
      <w:r>
        <w:rPr>
          <w:iCs/>
          <w:i/>
        </w:rPr>
        <w:t xml:space="preserve">Inaugural Master Trainer (Examiner Course): Mr. Melvin Chua.</w:t>
      </w:r>
    </w:p>
    <w:p>
      <w:pPr>
        <w:pStyle w:val="BlockText"/>
      </w:pPr>
      <w:r>
        <w:t xml:space="preserve">▶</w:t>
      </w:r>
      <w:r>
        <w:t xml:space="preserve"> </w:t>
      </w:r>
      <w:r>
        <w:rPr>
          <w:bCs/>
          <w:b/>
        </w:rPr>
        <w:t xml:space="preserve">Decision OD-2.</w:t>
      </w:r>
      <w:r>
        <w:t xml:space="preserve"> </w:t>
      </w:r>
      <w:r>
        <w:t xml:space="preserve">This edition unifies v1.4's "Examiner Course Trainer" into a single Master Trainer covering both courses. Confirm the unified role and the inaugural trainer for the Instructor Course.</w:t>
      </w:r>
    </w:p>
    <w:bookmarkEnd w:id="29"/>
    <w:bookmarkStart w:id="30" w:name="X6a23ebb349def67771770fbe160b948e8e6677a"/>
    <w:p>
      <w:pPr>
        <w:pStyle w:val="Heading2"/>
      </w:pPr>
      <w:r>
        <w:t xml:space="preserve">9. Code of conduct &amp; child safety</w:t>
      </w:r>
    </w:p>
    <w:p>
      <w:pPr>
        <w:pStyle w:val="FirstParagraph"/>
      </w:pPr>
      <w:r>
        <w:rPr>
          <w:bCs/>
          <w:b/>
        </w:rPr>
        <w:t xml:space="preserve">Requirement.</w:t>
      </w:r>
      <w:r>
        <w:t xml:space="preserve"> </w:t>
      </w:r>
      <w:r>
        <w:t xml:space="preserve">Every examiner and instructor signs and upholds a code of conduct, of which the non-negotiable elements are: the</w:t>
      </w:r>
      <w:r>
        <w:t xml:space="preserve"> </w:t>
      </w:r>
      <w:r>
        <w:rPr>
          <w:bCs/>
          <w:b/>
        </w:rPr>
        <w:t xml:space="preserve">conflict-of-interest firewall</w:t>
      </w:r>
      <w:r>
        <w:t xml:space="preserve"> </w:t>
      </w:r>
      <w:r>
        <w:t xml:space="preserve">(no one assesses a candidate they instruct); no gifts or payments beyond official fees; standards discipline (an award is never lowered); confidentiality of candidate data; and</w:t>
      </w:r>
      <w:r>
        <w:t xml:space="preserve"> </w:t>
      </w:r>
      <w:r>
        <w:rPr>
          <w:bCs/>
          <w:b/>
        </w:rPr>
        <w:t xml:space="preserve">child safety / safeguarding</w:t>
      </w:r>
      <w:r>
        <w:t xml:space="preserve"> </w:t>
      </w:r>
      <w:r>
        <w:t xml:space="preserve">as a hard floor — parental consent before participation, no one-to-one isolation of a child out of sight, no public disclosure of a minor's identity, and immediate escalation of concerns.</w:t>
      </w:r>
    </w:p>
    <w:p>
      <w:pPr>
        <w:pStyle w:val="BodyText"/>
      </w:pPr>
      <w:r>
        <w:rPr>
          <w:bCs/>
          <w:b/>
        </w:rPr>
        <w:t xml:space="preserve">Specifics deferred.</w:t>
      </w:r>
      <w:r>
        <w:t xml:space="preserve"> </w:t>
      </w:r>
      <w:r>
        <w:t xml:space="preserve">The operating</w:t>
      </w:r>
      <w:r>
        <w:t xml:space="preserve"> </w:t>
      </w:r>
      <w:r>
        <w:rPr>
          <w:bCs/>
          <w:b/>
        </w:rPr>
        <w:t xml:space="preserve">Examiner Code of Conduct</w:t>
      </w:r>
      <w:r>
        <w:t xml:space="preserve"> </w:t>
      </w:r>
      <w:r>
        <w:t xml:space="preserve">is set out in the Assessment System Handbook (§7.1); the instructor conduct undertaking is in the Instructor Foundation Course Guide.</w:t>
      </w:r>
      <w:r>
        <w:t xml:space="preserve"> </w:t>
      </w:r>
      <w:r>
        <w:rPr>
          <w:iCs/>
          <w:i/>
        </w:rPr>
        <w:t xml:space="preserve">(Reconciliation R5: the full operating code now lives in the Handbook; this Manual retains only the requirement.)</w:t>
      </w:r>
    </w:p>
    <w:p>
      <w:r>
        <w:pict>
          <v:rect style="width:0;height:1.5pt" o:hralign="center" o:hrstd="t" o:hr="t"/>
        </w:pict>
      </w:r>
    </w:p>
    <w:bookmarkEnd w:id="30"/>
    <w:bookmarkEnd w:id="31"/>
    <w:bookmarkStart w:id="40" w:name="part-iii--system-requirements"/>
    <w:p>
      <w:pPr>
        <w:pStyle w:val="Heading1"/>
      </w:pPr>
      <w:r>
        <w:t xml:space="preserve">PART III — SYSTEM REQUIREMENTS</w:t>
      </w:r>
    </w:p>
    <w:p>
      <w:pPr>
        <w:pStyle w:val="FirstParagraph"/>
      </w:pPr>
      <w:r>
        <w:rPr>
          <w:iCs/>
          <w:i/>
        </w:rPr>
        <w:t xml:space="preserve">This Part states the requirement on each topic and the instrument that carries the specifics. The requirements-to-instrument matrix in §14 summarizes the whole.</w:t>
      </w:r>
    </w:p>
    <w:bookmarkStart w:id="32" w:name="X4fd7b2101a669d1705fa5c0e00ad9c9110104b5"/>
    <w:p>
      <w:pPr>
        <w:pStyle w:val="Heading2"/>
      </w:pPr>
      <w:r>
        <w:t xml:space="preserve">10. The 7-level certification</w:t>
      </w:r>
    </w:p>
    <w:p>
      <w:pPr>
        <w:pStyle w:val="FirstParagraph"/>
      </w:pPr>
      <w:r>
        <w:rPr>
          <w:bCs/>
          <w:b/>
        </w:rPr>
        <w:t xml:space="preserve">Requirement.</w:t>
      </w:r>
      <w:r>
        <w:t xml:space="preserve"> </w:t>
      </w:r>
      <w:r>
        <w:t xml:space="preserve">BADGES certification consists of seven progressive levels, each awarded on independent demonstration of a published standard, assessed by a certified examiner and recorded as Pass or Refer, with no partial pass and no skipping of levels.</w:t>
      </w:r>
      <w:r>
        <w:t xml:space="preserve"> </w:t>
      </w:r>
      <w:r>
        <w:rPr>
          <w:bCs/>
          <w:b/>
        </w:rPr>
        <w:t xml:space="preserve">Specifics deferred</w:t>
      </w:r>
      <w:r>
        <w:t xml:space="preserve"> </w:t>
      </w:r>
      <w:r>
        <w:t xml:space="preserve">to the</w:t>
      </w:r>
      <w:r>
        <w:t xml:space="preserve"> </w:t>
      </w:r>
      <w:r>
        <w:rPr>
          <w:bCs/>
          <w:b/>
        </w:rPr>
        <w:t xml:space="preserve">7-Level Syllabus</w:t>
      </w:r>
      <w:r>
        <w:t xml:space="preserve">, which owns all criteria and the progression pathway.</w:t>
      </w:r>
    </w:p>
    <w:bookmarkEnd w:id="32"/>
    <w:bookmarkStart w:id="33" w:name="X3bbc8df0019f9569ffc6df586f88332e3c00824"/>
    <w:p>
      <w:pPr>
        <w:pStyle w:val="Heading2"/>
      </w:pPr>
      <w:r>
        <w:t xml:space="preserve">11. Instruction &amp; instructor certification</w:t>
      </w:r>
    </w:p>
    <w:p>
      <w:pPr>
        <w:pStyle w:val="FirstParagraph"/>
      </w:pPr>
      <w:r>
        <w:rPr>
          <w:bCs/>
          <w:b/>
        </w:rPr>
        <w:t xml:space="preserve">Requirement.</w:t>
      </w:r>
      <w:r>
        <w:t xml:space="preserve"> </w:t>
      </w:r>
      <w:r>
        <w:t xml:space="preserve">Instruction is delivered only by</w:t>
      </w:r>
      <w:r>
        <w:t xml:space="preserve"> </w:t>
      </w:r>
      <w:r>
        <w:rPr>
          <w:bCs/>
          <w:b/>
        </w:rPr>
        <w:t xml:space="preserve">BADGES-certified instructors</w:t>
      </w:r>
      <w:r>
        <w:t xml:space="preserve">, using the published teaching system, to bring candidates genuinely to the Syllabus standard. Instructors prepare candidates and book assessments but never assess their own candidates.</w:t>
      </w:r>
      <w:r>
        <w:t xml:space="preserve"> </w:t>
      </w:r>
      <w:r>
        <w:rPr>
          <w:bCs/>
          <w:b/>
        </w:rPr>
        <w:t xml:space="preserve">Specifics deferred</w:t>
      </w:r>
      <w:r>
        <w:t xml:space="preserve"> </w:t>
      </w:r>
      <w:r>
        <w:t xml:space="preserve">to the</w:t>
      </w:r>
      <w:r>
        <w:t xml:space="preserve"> </w:t>
      </w:r>
      <w:r>
        <w:rPr>
          <w:bCs/>
          <w:b/>
        </w:rPr>
        <w:t xml:space="preserve">Teaching System Handbook</w:t>
      </w:r>
      <w:r>
        <w:t xml:space="preserve"> </w:t>
      </w:r>
      <w:r>
        <w:t xml:space="preserve">(method) and the</w:t>
      </w:r>
      <w:r>
        <w:t xml:space="preserve"> </w:t>
      </w:r>
      <w:r>
        <w:rPr>
          <w:bCs/>
          <w:b/>
        </w:rPr>
        <w:t xml:space="preserve">Instructor Foundation Certification Course Guide</w:t>
      </w:r>
      <w:r>
        <w:t xml:space="preserve"> </w:t>
      </w:r>
      <w:r>
        <w:t xml:space="preserve">(certification), executed through the Portal.</w:t>
      </w:r>
    </w:p>
    <w:p>
      <w:pPr>
        <w:pStyle w:val="BlockText"/>
      </w:pPr>
      <w:r>
        <w:t xml:space="preserve">▶</w:t>
      </w:r>
      <w:r>
        <w:t xml:space="preserve"> </w:t>
      </w:r>
      <w:r>
        <w:rPr>
          <w:bCs/>
          <w:b/>
        </w:rPr>
        <w:t xml:space="preserve">Decision OD-1.</w:t>
      </w:r>
      <w:r>
        <w:t xml:space="preserve"> </w:t>
      </w:r>
      <w:r>
        <w:t xml:space="preserve">Confirm whether the BADGES Instructor Foundation Certification replaces, sits above, or recognizes any prior general MAS Instructor Course. This fixes both the instructor entry route and the examiner prerequisite in §12.</w:t>
      </w:r>
    </w:p>
    <w:bookmarkEnd w:id="33"/>
    <w:bookmarkStart w:id="34" w:name="X6ffe72be79ad916d3f87b3b73a62b6c65d1a7c8"/>
    <w:p>
      <w:pPr>
        <w:pStyle w:val="Heading2"/>
      </w:pPr>
      <w:r>
        <w:t xml:space="preserve">12. Assessment &amp; examiner certification</w:t>
      </w:r>
    </w:p>
    <w:p>
      <w:pPr>
        <w:pStyle w:val="FirstParagraph"/>
      </w:pPr>
      <w:r>
        <w:rPr>
          <w:bCs/>
          <w:b/>
        </w:rPr>
        <w:t xml:space="preserve">Requirement.</w:t>
      </w:r>
      <w:r>
        <w:t xml:space="preserve"> </w:t>
      </w:r>
      <w:r>
        <w:t xml:space="preserve">Assessment is</w:t>
      </w:r>
      <w:r>
        <w:t xml:space="preserve"> </w:t>
      </w:r>
      <w:r>
        <w:rPr>
          <w:bCs/>
          <w:b/>
        </w:rPr>
        <w:t xml:space="preserve">credible, independent, auditable, and anonymized</w:t>
      </w:r>
      <w:r>
        <w:t xml:space="preserve">: conducted by a certified examiner who did not instruct the candidate, recorded contemporaneously, retained as progression history, and verifiable publicly without ever exposing a minor's identity. Examiners are certified before they assess and hold a current Instructor certification as a prerequisite.</w:t>
      </w:r>
      <w:r>
        <w:t xml:space="preserve"> </w:t>
      </w:r>
      <w:r>
        <w:rPr>
          <w:bCs/>
          <w:b/>
        </w:rPr>
        <w:t xml:space="preserve">Specifics deferred</w:t>
      </w:r>
      <w:r>
        <w:t xml:space="preserve"> </w:t>
      </w:r>
      <w:r>
        <w:t xml:space="preserve">to the</w:t>
      </w:r>
      <w:r>
        <w:t xml:space="preserve"> </w:t>
      </w:r>
      <w:r>
        <w:rPr>
          <w:bCs/>
          <w:b/>
        </w:rPr>
        <w:t xml:space="preserve">Assessment System Handbook</w:t>
      </w:r>
      <w:r>
        <w:t xml:space="preserve"> </w:t>
      </w:r>
      <w:r>
        <w:t xml:space="preserve">(procedure, custody: Chief Examiner) and the</w:t>
      </w:r>
      <w:r>
        <w:t xml:space="preserve"> </w:t>
      </w:r>
      <w:r>
        <w:rPr>
          <w:bCs/>
          <w:b/>
        </w:rPr>
        <w:t xml:space="preserve">Examiner Certification Course Guide</w:t>
      </w:r>
      <w:r>
        <w:t xml:space="preserve"> </w:t>
      </w:r>
      <w:r>
        <w:t xml:space="preserve">(certification), executed through the Portal.</w:t>
      </w:r>
    </w:p>
    <w:bookmarkEnd w:id="34"/>
    <w:bookmarkStart w:id="35" w:name="X99f3248aa14fa0df6d52468f0b090e472a4eb3f"/>
    <w:p>
      <w:pPr>
        <w:pStyle w:val="Heading2"/>
      </w:pPr>
      <w:r>
        <w:t xml:space="preserve">13. Partner Centres</w:t>
      </w:r>
    </w:p>
    <w:p>
      <w:pPr>
        <w:pStyle w:val="FirstParagraph"/>
      </w:pPr>
      <w:r>
        <w:rPr>
          <w:bCs/>
          <w:b/>
        </w:rPr>
        <w:t xml:space="preserve">Requirement.</w:t>
      </w:r>
      <w:r>
        <w:t xml:space="preserve"> </w:t>
      </w:r>
      <w:r>
        <w:t xml:space="preserve">Swim entities may be recognized as</w:t>
      </w:r>
      <w:r>
        <w:t xml:space="preserve"> </w:t>
      </w:r>
      <w:r>
        <w:rPr>
          <w:bCs/>
          <w:b/>
        </w:rPr>
        <w:t xml:space="preserve">Official BADGES Partner Centres</w:t>
      </w:r>
      <w:r>
        <w:t xml:space="preserve"> </w:t>
      </w:r>
      <w:r>
        <w:t xml:space="preserve">against published criteria — legal status, suitable pool access, at least one active MAS-certified instructor, a safety and child-protection baseline, current public-liability insurance, Good Standing, and a commitment to deliver the Syllabus and route assessments through the MAS process. Recognition confers privileges (the mark, the public directory listing, hosting rights) and obligations (route all assessments through MAS, cooperate with audits, maintain standards, submit the annual return). A swim entity need not be a Partner Centre to submit candidates — direct instructor submissions remain open.</w:t>
      </w:r>
    </w:p>
    <w:p>
      <w:pPr>
        <w:pStyle w:val="BodyText"/>
      </w:pPr>
      <w:r>
        <w:rPr>
          <w:bCs/>
          <w:b/>
        </w:rPr>
        <w:t xml:space="preserve">Requirements retained here:</w:t>
      </w:r>
      <w:r>
        <w:t xml:space="preserve"> </w:t>
      </w:r>
      <w:r>
        <w:t xml:space="preserve">recognition criteria, the privileges/obligations principle, suspension and removal grounds, the renewal principle (annual return; from 1 January 2027 a minimum 50-candidate annual threshold; founding-cohort grace per §18).</w:t>
      </w:r>
      <w:r>
        <w:t xml:space="preserve"> </w:t>
      </w:r>
      <w:r>
        <w:rPr>
          <w:bCs/>
          <w:b/>
        </w:rPr>
        <w:t xml:space="preserve">Operational specifics deferred</w:t>
      </w:r>
      <w:r>
        <w:t xml:space="preserve"> </w:t>
      </w:r>
      <w:r>
        <w:t xml:space="preserve">to the Portal (application, directory, annual-return mechanics, status lifecycle) and, if adopted, a dedicated Partner Centre Guide.</w:t>
      </w:r>
    </w:p>
    <w:p>
      <w:pPr>
        <w:pStyle w:val="BlockText"/>
      </w:pPr>
      <w:r>
        <w:t xml:space="preserve">▶</w:t>
      </w:r>
      <w:r>
        <w:t xml:space="preserve"> </w:t>
      </w:r>
      <w:r>
        <w:rPr>
          <w:bCs/>
          <w:b/>
        </w:rPr>
        <w:t xml:space="preserve">Decision OD-3.</w:t>
      </w:r>
      <w:r>
        <w:t xml:space="preserve"> </w:t>
      </w:r>
      <w:r>
        <w:t xml:space="preserve">Confirm whether centre operations warrant a dedicated</w:t>
      </w:r>
      <w:r>
        <w:t xml:space="preserve"> </w:t>
      </w:r>
      <w:r>
        <w:rPr>
          <w:bCs/>
          <w:b/>
        </w:rPr>
        <w:t xml:space="preserve">Partner Centre Guide</w:t>
      </w:r>
      <w:r>
        <w:t xml:space="preserve">, or remain split between this Manual's requirements and the Portal's execution.</w:t>
      </w:r>
    </w:p>
    <w:bookmarkEnd w:id="35"/>
    <w:bookmarkStart w:id="37" w:name="X30dd7d4f601563c6352c4d4bd6740d864291313"/>
    <w:p>
      <w:pPr>
        <w:pStyle w:val="Heading2"/>
      </w:pPr>
      <w:r>
        <w:t xml:space="preserve">14. The BADGES Platform Portal — system of record</w:t>
      </w:r>
    </w:p>
    <w:p>
      <w:pPr>
        <w:pStyle w:val="FirstParagraph"/>
      </w:pPr>
      <w:r>
        <w:rPr>
          <w:bCs/>
          <w:b/>
        </w:rPr>
        <w:t xml:space="preserve">Requirement.</w:t>
      </w:r>
      <w:r>
        <w:t xml:space="preserve"> </w:t>
      </w:r>
      <w:r>
        <w:t xml:space="preserve">The Portal (apps.masbadges.org) is the system of record and the execution hub. Registration, claim, booking, assessment recording, certification, public verification, billing, and the public directories are transacted through it. Its</w:t>
      </w:r>
      <w:r>
        <w:t xml:space="preserve"> </w:t>
      </w:r>
      <w:r>
        <w:rPr>
          <w:bCs/>
          <w:b/>
        </w:rPr>
        <w:t xml:space="preserve">configured operational values are authoritative</w:t>
      </w:r>
      <w:r>
        <w:t xml:space="preserve">. Public certificate verification is</w:t>
      </w:r>
      <w:r>
        <w:t xml:space="preserve"> </w:t>
      </w:r>
      <w:r>
        <w:rPr>
          <w:bCs/>
          <w:b/>
        </w:rPr>
        <w:t xml:space="preserve">anonymized and never exposes a minor's identity</w:t>
      </w:r>
      <w:r>
        <w:t xml:space="preserve"> </w:t>
      </w:r>
      <w:r>
        <w:t xml:space="preserve">— a hard child-safety requirement enforced in the Portal, not merely stated here. The public website (</w:t>
      </w:r>
      <w:hyperlink r:id="rId36">
        <w:r>
          <w:rPr>
            <w:rStyle w:val="Hyperlink"/>
          </w:rPr>
          <w:t xml:space="preserve">www.masbadges.org</w:t>
        </w:r>
      </w:hyperlink>
      <w:r>
        <w:t xml:space="preserve">) consumes only curated, read-only published views; the portal/website boundary is never crossed.</w:t>
      </w:r>
    </w:p>
    <w:p>
      <w:pPr>
        <w:pStyle w:val="BodyText"/>
      </w:pPr>
      <w:r>
        <w:rPr>
          <w:bCs/>
          <w:b/>
        </w:rPr>
        <w:t xml:space="preserve">The requirements → instrument → execution matrix:</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Requirement (this Manual)</w:t>
            </w:r>
          </w:p>
        </w:tc>
        <w:tc>
          <w:tcPr/>
          <w:p>
            <w:pPr>
              <w:pStyle w:val="Compact"/>
              <w:jc w:val="left"/>
            </w:pPr>
            <w:r>
              <w:t xml:space="preserve">Specifics in</w:t>
            </w:r>
          </w:p>
        </w:tc>
        <w:tc>
          <w:tcPr/>
          <w:p>
            <w:pPr>
              <w:pStyle w:val="Compact"/>
              <w:jc w:val="left"/>
            </w:pPr>
            <w:r>
              <w:t xml:space="preserve">Executed in the Portal as</w:t>
            </w:r>
          </w:p>
        </w:tc>
      </w:tr>
      <w:tr>
        <w:tc>
          <w:tcPr/>
          <w:p>
            <w:pPr>
              <w:pStyle w:val="Compact"/>
              <w:jc w:val="left"/>
            </w:pPr>
            <w:r>
              <w:t xml:space="preserve">A national 7-level standard exists</w:t>
            </w:r>
          </w:p>
        </w:tc>
        <w:tc>
          <w:tcPr/>
          <w:p>
            <w:pPr>
              <w:pStyle w:val="Compact"/>
              <w:jc w:val="left"/>
            </w:pPr>
            <w:r>
              <w:t xml:space="preserve">Syllabus</w:t>
            </w:r>
          </w:p>
        </w:tc>
        <w:tc>
          <w:tcPr/>
          <w:p>
            <w:pPr>
              <w:pStyle w:val="Compact"/>
              <w:jc w:val="left"/>
            </w:pPr>
            <w:r>
              <w:t xml:space="preserve">level definitions; pass/refer</w:t>
            </w:r>
          </w:p>
        </w:tc>
      </w:tr>
      <w:tr>
        <w:tc>
          <w:tcPr/>
          <w:p>
            <w:pPr>
              <w:pStyle w:val="Compact"/>
              <w:jc w:val="left"/>
            </w:pPr>
            <w:r>
              <w:t xml:space="preserve">Instruction meets the standard</w:t>
            </w:r>
          </w:p>
        </w:tc>
        <w:tc>
          <w:tcPr/>
          <w:p>
            <w:pPr>
              <w:pStyle w:val="Compact"/>
              <w:jc w:val="left"/>
            </w:pPr>
            <w:r>
              <w:t xml:space="preserve">Teaching System Handbook</w:t>
            </w:r>
          </w:p>
        </w:tc>
        <w:tc>
          <w:tcPr/>
          <w:p>
            <w:pPr>
              <w:pStyle w:val="Compact"/>
              <w:jc w:val="left"/>
            </w:pPr>
            <w:r>
              <w:t xml:space="preserve">candidate registration; readiness</w:t>
            </w:r>
          </w:p>
        </w:tc>
      </w:tr>
      <w:tr>
        <w:tc>
          <w:tcPr/>
          <w:p>
            <w:pPr>
              <w:pStyle w:val="Compact"/>
              <w:jc w:val="left"/>
            </w:pPr>
            <w:r>
              <w:t xml:space="preserve">Only certified instructors instruct</w:t>
            </w:r>
          </w:p>
        </w:tc>
        <w:tc>
          <w:tcPr/>
          <w:p>
            <w:pPr>
              <w:pStyle w:val="Compact"/>
              <w:jc w:val="left"/>
            </w:pPr>
            <w:r>
              <w:t xml:space="preserve">Instructor Foundation Course Guide</w:t>
            </w:r>
          </w:p>
        </w:tc>
        <w:tc>
          <w:tcPr/>
          <w:p>
            <w:pPr>
              <w:pStyle w:val="Compact"/>
              <w:jc w:val="left"/>
            </w:pPr>
            <w:r>
              <w:t xml:space="preserve">invitation-gated instructor role</w:t>
            </w:r>
          </w:p>
        </w:tc>
      </w:tr>
      <w:tr>
        <w:tc>
          <w:tcPr/>
          <w:p>
            <w:pPr>
              <w:pStyle w:val="Compact"/>
              <w:jc w:val="left"/>
            </w:pPr>
            <w:r>
              <w:t xml:space="preserve">Assessment is credible &amp; independent</w:t>
            </w:r>
          </w:p>
        </w:tc>
        <w:tc>
          <w:tcPr/>
          <w:p>
            <w:pPr>
              <w:pStyle w:val="Compact"/>
              <w:jc w:val="left"/>
            </w:pPr>
            <w:r>
              <w:t xml:space="preserve">Assessment System Handbook</w:t>
            </w:r>
          </w:p>
        </w:tc>
        <w:tc>
          <w:tcPr/>
          <w:p>
            <w:pPr>
              <w:pStyle w:val="Compact"/>
              <w:jc w:val="left"/>
            </w:pPr>
            <w:r>
              <w:t xml:space="preserve">session lifecycle; COI trigger; audit trail</w:t>
            </w:r>
          </w:p>
        </w:tc>
      </w:tr>
      <w:tr>
        <w:tc>
          <w:tcPr/>
          <w:p>
            <w:pPr>
              <w:pStyle w:val="Compact"/>
              <w:jc w:val="left"/>
            </w:pPr>
            <w:r>
              <w:t xml:space="preserve">Only certified examiners assess</w:t>
            </w:r>
          </w:p>
        </w:tc>
        <w:tc>
          <w:tcPr/>
          <w:p>
            <w:pPr>
              <w:pStyle w:val="Compact"/>
              <w:jc w:val="left"/>
            </w:pPr>
            <w:r>
              <w:t xml:space="preserve">Examiner Certification Course Guide</w:t>
            </w:r>
          </w:p>
        </w:tc>
        <w:tc>
          <w:tcPr/>
          <w:p>
            <w:pPr>
              <w:pStyle w:val="Compact"/>
              <w:jc w:val="left"/>
            </w:pPr>
            <w:r>
              <w:t xml:space="preserve">examiner role; assigned-session scoping</w:t>
            </w:r>
          </w:p>
        </w:tc>
      </w:tr>
      <w:tr>
        <w:tc>
          <w:tcPr/>
          <w:p>
            <w:pPr>
              <w:pStyle w:val="Compact"/>
              <w:jc w:val="left"/>
            </w:pPr>
            <w:r>
              <w:t xml:space="preserve">Certificates issue only on a genuine pass</w:t>
            </w:r>
          </w:p>
        </w:tc>
        <w:tc>
          <w:tcPr/>
          <w:p>
            <w:pPr>
              <w:pStyle w:val="Compact"/>
              <w:jc w:val="left"/>
            </w:pPr>
            <w:r>
              <w:t xml:space="preserve">Assessment System Handbook</w:t>
            </w:r>
          </w:p>
        </w:tc>
        <w:tc>
          <w:tcPr/>
          <w:p>
            <w:pPr>
              <w:pStyle w:val="Compact"/>
              <w:jc w:val="left"/>
            </w:pPr>
            <w:r>
              <w:t xml:space="preserve">pass-gated, serialized, append-only issuance</w:t>
            </w:r>
          </w:p>
        </w:tc>
      </w:tr>
      <w:tr>
        <w:tc>
          <w:tcPr/>
          <w:p>
            <w:pPr>
              <w:pStyle w:val="Compact"/>
              <w:jc w:val="left"/>
            </w:pPr>
            <w:r>
              <w:t xml:space="preserve">Verification never exposes a minor</w:t>
            </w:r>
          </w:p>
        </w:tc>
        <w:tc>
          <w:tcPr/>
          <w:p>
            <w:pPr>
              <w:pStyle w:val="Compact"/>
              <w:jc w:val="left"/>
            </w:pPr>
            <w:r>
              <w:t xml:space="preserve">§9, §14 (hard rule)</w:t>
            </w:r>
          </w:p>
        </w:tc>
        <w:tc>
          <w:tcPr/>
          <w:p>
            <w:pPr>
              <w:pStyle w:val="Compact"/>
              <w:jc w:val="left"/>
            </w:pPr>
            <w:r>
              <w:t xml:space="preserve">anonymized verification</w:t>
            </w:r>
          </w:p>
        </w:tc>
      </w:tr>
      <w:tr>
        <w:tc>
          <w:tcPr/>
          <w:p>
            <w:pPr>
              <w:pStyle w:val="Compact"/>
              <w:jc w:val="left"/>
            </w:pPr>
            <w:r>
              <w:t xml:space="preserve">Centres recognized against criteria</w:t>
            </w:r>
          </w:p>
        </w:tc>
        <w:tc>
          <w:tcPr/>
          <w:p>
            <w:pPr>
              <w:pStyle w:val="Compact"/>
              <w:jc w:val="left"/>
            </w:pPr>
            <w:r>
              <w:t xml:space="preserve">§13</w:t>
            </w:r>
          </w:p>
        </w:tc>
        <w:tc>
          <w:tcPr/>
          <w:p>
            <w:pPr>
              <w:pStyle w:val="Compact"/>
              <w:jc w:val="left"/>
            </w:pPr>
            <w:r>
              <w:t xml:space="preserve">recognition register; directory</w:t>
            </w:r>
          </w:p>
        </w:tc>
      </w:tr>
      <w:tr>
        <w:tc>
          <w:tcPr/>
          <w:p>
            <w:pPr>
              <w:pStyle w:val="Compact"/>
              <w:jc w:val="left"/>
            </w:pPr>
            <w:r>
              <w:t xml:space="preserve">Fees follow one national schedule</w:t>
            </w:r>
          </w:p>
        </w:tc>
        <w:tc>
          <w:tcPr/>
          <w:p>
            <w:pPr>
              <w:pStyle w:val="Compact"/>
              <w:jc w:val="left"/>
            </w:pPr>
            <w:r>
              <w:t xml:space="preserve">§16 (principle)</w:t>
            </w:r>
          </w:p>
        </w:tc>
        <w:tc>
          <w:tcPr/>
          <w:p>
            <w:pPr>
              <w:pStyle w:val="Compact"/>
              <w:jc w:val="left"/>
            </w:pPr>
            <w:r>
              <w:t xml:space="preserve">settings-editable fee schedule</w:t>
            </w:r>
          </w:p>
        </w:tc>
      </w:tr>
      <w:tr>
        <w:tc>
          <w:tcPr/>
          <w:p>
            <w:pPr>
              <w:pStyle w:val="Compact"/>
              <w:jc w:val="left"/>
            </w:pPr>
            <w:r>
              <w:t xml:space="preserve">Conduct &amp; safeguarding signed &amp; enforced</w:t>
            </w:r>
          </w:p>
        </w:tc>
        <w:tc>
          <w:tcPr/>
          <w:p>
            <w:pPr>
              <w:pStyle w:val="Compact"/>
              <w:jc w:val="left"/>
            </w:pPr>
            <w:r>
              <w:t xml:space="preserve">§9 + Handbook codes</w:t>
            </w:r>
          </w:p>
        </w:tc>
        <w:tc>
          <w:tcPr/>
          <w:p>
            <w:pPr>
              <w:pStyle w:val="Compact"/>
              <w:jc w:val="left"/>
            </w:pPr>
            <w:r>
              <w:t xml:space="preserve">signed codes; status controls</w:t>
            </w:r>
          </w:p>
        </w:tc>
      </w:tr>
      <w:tr>
        <w:tc>
          <w:tcPr/>
          <w:p>
            <w:pPr>
              <w:pStyle w:val="Compact"/>
              <w:jc w:val="left"/>
            </w:pPr>
            <w:r>
              <w:t xml:space="preserve">One Master Trainer certifies both streams</w:t>
            </w:r>
          </w:p>
        </w:tc>
        <w:tc>
          <w:tcPr/>
          <w:p>
            <w:pPr>
              <w:pStyle w:val="Compact"/>
              <w:jc w:val="left"/>
            </w:pPr>
            <w:r>
              <w:t xml:space="preserve">§8</w:t>
            </w:r>
          </w:p>
        </w:tc>
        <w:tc>
          <w:tcPr/>
          <w:p>
            <w:pPr>
              <w:pStyle w:val="Compact"/>
              <w:jc w:val="left"/>
            </w:pPr>
            <w:r>
              <w:t xml:space="preserve">course → certification → onboarding</w:t>
            </w:r>
          </w:p>
        </w:tc>
      </w:tr>
    </w:tbl>
    <w:bookmarkEnd w:id="37"/>
    <w:bookmarkStart w:id="38" w:name="X1724edc913b14a67279001bbba7eaa5c101040f"/>
    <w:p>
      <w:pPr>
        <w:pStyle w:val="Heading2"/>
      </w:pPr>
      <w:r>
        <w:t xml:space="preserve">15. Records, data protection &amp; child safety</w:t>
      </w:r>
    </w:p>
    <w:p>
      <w:pPr>
        <w:pStyle w:val="FirstParagraph"/>
      </w:pPr>
      <w:r>
        <w:rPr>
          <w:bCs/>
          <w:b/>
        </w:rPr>
        <w:t xml:space="preserve">Requirement.</w:t>
      </w:r>
      <w:r>
        <w:t xml:space="preserve"> </w:t>
      </w:r>
      <w:r>
        <w:t xml:space="preserve">Candidate records are confidential and used only for MAS certification purposes.</w:t>
      </w:r>
      <w:r>
        <w:t xml:space="preserve"> </w:t>
      </w:r>
      <w:r>
        <w:rPr>
          <w:bCs/>
          <w:b/>
        </w:rPr>
        <w:t xml:space="preserve">Malaysia Aquatics is the data controller; Partner Centres act as processors</w:t>
      </w:r>
      <w:r>
        <w:t xml:space="preserve"> </w:t>
      </w:r>
      <w:r>
        <w:rPr>
          <w:iCs/>
          <w:i/>
        </w:rPr>
        <w:t xml:space="preserve">(governance wording subject to legal counsel)</w:t>
      </w:r>
      <w:r>
        <w:t xml:space="preserve">. A minor's name and identifying information are never exposed in public verification or any public listing. Progression history is retained to support accurate certification and readiness judgements.</w:t>
      </w:r>
    </w:p>
    <w:bookmarkEnd w:id="38"/>
    <w:bookmarkStart w:id="39" w:name="Xd8fb1fdff8c21007e73e1ceee257d38ec7b8002"/>
    <w:p>
      <w:pPr>
        <w:pStyle w:val="Heading2"/>
      </w:pPr>
      <w:r>
        <w:t xml:space="preserve">16. Fees &amp; commercial framework</w:t>
      </w:r>
    </w:p>
    <w:p>
      <w:pPr>
        <w:pStyle w:val="FirstParagraph"/>
      </w:pPr>
      <w:r>
        <w:rPr>
          <w:bCs/>
          <w:b/>
        </w:rPr>
        <w:t xml:space="preserve">Requirement.</w:t>
      </w:r>
      <w:r>
        <w:t xml:space="preserve"> </w:t>
      </w:r>
      <w:r>
        <w:t xml:space="preserve">The program operates a</w:t>
      </w:r>
      <w:r>
        <w:t xml:space="preserve"> </w:t>
      </w:r>
      <w:r>
        <w:rPr>
          <w:bCs/>
          <w:b/>
        </w:rPr>
        <w:t xml:space="preserve">single national fee schedule</w:t>
      </w:r>
      <w:r>
        <w:t xml:space="preserve"> </w:t>
      </w:r>
      <w:r>
        <w:t xml:space="preserve">covering student assessment fees, the Partner Centre application and annual recognition fees, the certification-course registration fee, and the cross-state deployment allowance. Fees are proposed by the Chairperson and</w:t>
      </w:r>
      <w:r>
        <w:t xml:space="preserve"> </w:t>
      </w:r>
      <w:r>
        <w:rPr>
          <w:bCs/>
          <w:b/>
        </w:rPr>
        <w:t xml:space="preserve">approved by the Board</w:t>
      </w:r>
      <w:r>
        <w:t xml:space="preserve">, reviewed annually.</w:t>
      </w:r>
      <w:r>
        <w:t xml:space="preserve"> </w:t>
      </w:r>
      <w:r>
        <w:rPr>
          <w:bCs/>
          <w:b/>
        </w:rPr>
        <w:t xml:space="preserve">Quanta deferred</w:t>
      </w:r>
      <w:r>
        <w:t xml:space="preserve"> </w:t>
      </w:r>
      <w:r>
        <w:t xml:space="preserve">to the Portal fee schedule, which is authoritative</w:t>
      </w:r>
      <w:r>
        <w:t xml:space="preserve"> </w:t>
      </w:r>
      <w:r>
        <w:rPr>
          <w:iCs/>
          <w:i/>
        </w:rPr>
        <w:t xml:space="preserve">(seeded from the v1.4 figures; reconciliation R3)</w:t>
      </w:r>
      <w:r>
        <w:t xml:space="preserve">.</w:t>
      </w:r>
    </w:p>
    <w:p>
      <w:pPr>
        <w:pStyle w:val="BodyText"/>
      </w:pPr>
      <w:r>
        <w:rPr>
          <w:bCs/>
          <w:b/>
        </w:rPr>
        <w:t xml:space="preserve">MAS as payment intermediary (R2, confirmed).</w:t>
      </w:r>
      <w:r>
        <w:t xml:space="preserve"> </w:t>
      </w:r>
      <w:r>
        <w:t xml:space="preserve">MAS collects assessment fees from the requesting party and remunerates examiners from those fees per the Board-approved payout schedule. Every assessment session carries two settlement legs — payment in from the requesting party and payout out to the examiner — and does not close until both are settled and recorded. Cross-state deployment allowances likewise route through MAS for auditability. The mechanics are set out in the Assessment System Handbook (§2.3, §3.6) and Manual §14.5–§14.6.</w:t>
      </w:r>
    </w:p>
    <w:p>
      <w:r>
        <w:pict>
          <v:rect style="width:0;height:1.5pt" o:hralign="center" o:hrstd="t" o:hr="t"/>
        </w:pict>
      </w:r>
    </w:p>
    <w:bookmarkEnd w:id="39"/>
    <w:bookmarkEnd w:id="40"/>
    <w:bookmarkStart w:id="44" w:name="part-iv--program-lifecycle"/>
    <w:p>
      <w:pPr>
        <w:pStyle w:val="Heading1"/>
      </w:pPr>
      <w:r>
        <w:t xml:space="preserve">PART IV — PROGRAM LIFECYCLE</w:t>
      </w:r>
    </w:p>
    <w:bookmarkStart w:id="41" w:name="X10b6ebb1a947202600e08e512b5c569a9293c4f"/>
    <w:p>
      <w:pPr>
        <w:pStyle w:val="Heading2"/>
      </w:pPr>
      <w:r>
        <w:t xml:space="preserve">17. Pilot phase &amp; national rollout</w:t>
      </w:r>
    </w:p>
    <w:p>
      <w:pPr>
        <w:pStyle w:val="FirstParagraph"/>
      </w:pPr>
      <w:r>
        <w:t xml:space="preserve">The program rolls out in two phases. The</w:t>
      </w:r>
      <w:r>
        <w:t xml:space="preserve"> </w:t>
      </w:r>
      <w:r>
        <w:rPr>
          <w:bCs/>
          <w:b/>
        </w:rPr>
        <w:t xml:space="preserve">pilot</w:t>
      </w:r>
      <w:r>
        <w:t xml:space="preserve"> </w:t>
      </w:r>
      <w:r>
        <w:t xml:space="preserve">appoints the inaugural Chairperson and Chief Examiner under the Founding Phase Provisions, publishes the certification syllabi, certifies the first cohorts of instructors and examiners, conducts the first assessments across all seven levels, recognizes the first Partner Centres, and validates the criteria, course content, procedures, and audit process. On the Coaching Panel's and Board's satisfaction, the program moves to</w:t>
      </w:r>
      <w:r>
        <w:t xml:space="preserve"> </w:t>
      </w:r>
      <w:r>
        <w:rPr>
          <w:bCs/>
          <w:b/>
        </w:rPr>
        <w:t xml:space="preserve">national rollout</w:t>
      </w:r>
      <w:r>
        <w:t xml:space="preserve">: the framework is unchanged; what scales is volume — more courses, more state examiners up to the published quotas, more Partner Centres, a larger pipeline. The Founding Phase Provisions then sunset.</w:t>
      </w:r>
    </w:p>
    <w:bookmarkEnd w:id="41"/>
    <w:bookmarkStart w:id="42" w:name="X5d6c7c4237ae8003403622eea3cc49dc17821a6"/>
    <w:p>
      <w:pPr>
        <w:pStyle w:val="Heading2"/>
      </w:pPr>
      <w:r>
        <w:t xml:space="preserve">18. State allocation &amp; founding provisions</w:t>
      </w:r>
    </w:p>
    <w:p>
      <w:pPr>
        <w:pStyle w:val="FirstParagraph"/>
      </w:pPr>
      <w:r>
        <w:rPr>
          <w:bCs/>
          <w:b/>
        </w:rPr>
        <w:t xml:space="preserve">Requirement.</w:t>
      </w:r>
      <w:r>
        <w:t xml:space="preserve"> </w:t>
      </w:r>
      <w:r>
        <w:t xml:space="preserve">Examiners are appointed against</w:t>
      </w:r>
      <w:r>
        <w:t xml:space="preserve"> </w:t>
      </w:r>
      <w:r>
        <w:rPr>
          <w:bCs/>
          <w:b/>
        </w:rPr>
        <w:t xml:space="preserve">state quotas</w:t>
      </w:r>
      <w:r>
        <w:t xml:space="preserve"> </w:t>
      </w:r>
      <w:r>
        <w:t xml:space="preserve">to balance demand-density with national coverage; the pilot fixes a national cohort, adjustable by the Coaching Panel on the Chief Examiner's recommendation and Chairperson's endorsement. Where a state is short, the</w:t>
      </w:r>
      <w:r>
        <w:t xml:space="preserve"> </w:t>
      </w:r>
      <w:r>
        <w:rPr>
          <w:bCs/>
          <w:b/>
        </w:rPr>
        <w:t xml:space="preserve">cross-state deployment</w:t>
      </w:r>
      <w:r>
        <w:t xml:space="preserve"> </w:t>
      </w:r>
      <w:r>
        <w:t xml:space="preserve">mechanism applies.</w:t>
      </w:r>
      <w:r>
        <w:t xml:space="preserve"> </w:t>
      </w:r>
      <w:r>
        <w:rPr>
          <w:bCs/>
          <w:b/>
        </w:rPr>
        <w:t xml:space="preserve">The quota schedule and allowance quanta are deferred</w:t>
      </w:r>
      <w:r>
        <w:t xml:space="preserve"> </w:t>
      </w:r>
      <w:r>
        <w:t xml:space="preserve">to the Portal/governance schedule; the cross-state procedure is in the Assessment System Handbook (§15).</w:t>
      </w:r>
    </w:p>
    <w:p>
      <w:pPr>
        <w:pStyle w:val="BodyText"/>
      </w:pPr>
      <w:r>
        <w:rPr>
          <w:bCs/>
          <w:b/>
        </w:rPr>
        <w:t xml:space="preserve">Founding Phase Provisions (summary).</w:t>
      </w:r>
      <w:r>
        <w:t xml:space="preserve"> </w:t>
      </w:r>
      <w:r>
        <w:t xml:space="preserve">The inaugural Chief Examiner's prior-examining and Examiner-certification requirements are waived (co-developer of, and first to qualify under, the examiner syllabus); the founding examiner cohort is certified through the inaugural course; Partner Centre founding-cohort applications are fast-tracked (documentary review only), the recognition fee is set at 50% prorated to 31 December 2026, and the 50-candidate renewal threshold takes effect only from 1 January 2027. Each provision sunsets when the Coaching Panel determines a stable pool is established.</w:t>
      </w:r>
    </w:p>
    <w:bookmarkEnd w:id="42"/>
    <w:bookmarkStart w:id="43" w:name="X47361c3a5f89ed7f55ea9d12ece851e34092cdc"/>
    <w:p>
      <w:pPr>
        <w:pStyle w:val="Heading2"/>
      </w:pPr>
      <w:r>
        <w:t xml:space="preserve">19. Expected outcomes &amp; review</w:t>
      </w:r>
    </w:p>
    <w:p>
      <w:pPr>
        <w:pStyle w:val="FirstParagraph"/>
      </w:pPr>
      <w:r>
        <w:t xml:space="preserve">On successful pilot and rollout, the program delivers: coordinated Chairperson/Chief Examiner leadership; a trained, audited national examiner pool; a network of Partner Centres; a first generation of certified swimmers progressing through the levels; a working Learn-to-Swim-to-competition bridge; a documented, repeatable process needing only modest central administration; and feedback loops that let the Syllabus and procedures evolve under the Coaching Panel. The Coaching Panel reviews the program — including the renewal threshold and the Founding Phase Provisions — at the end of the founding period.</w:t>
      </w:r>
    </w:p>
    <w:p>
      <w:r>
        <w:pict>
          <v:rect style="width:0;height:1.5pt" o:hralign="center" o:hrstd="t" o:hr="t"/>
        </w:pict>
      </w:r>
    </w:p>
    <w:bookmarkEnd w:id="43"/>
    <w:bookmarkEnd w:id="44"/>
    <w:bookmarkStart w:id="47" w:name="appendices"/>
    <w:p>
      <w:pPr>
        <w:pStyle w:val="Heading1"/>
      </w:pPr>
      <w:r>
        <w:t xml:space="preserve">APPENDICES</w:t>
      </w:r>
    </w:p>
    <w:p>
      <w:pPr>
        <w:numPr>
          <w:ilvl w:val="0"/>
          <w:numId w:val="1003"/>
        </w:numPr>
        <w:pStyle w:val="Compact"/>
      </w:pPr>
      <w:r>
        <w:rPr>
          <w:bCs/>
          <w:b/>
        </w:rPr>
        <w:t xml:space="preserve">Appendix A — Document Register &amp; Version Control.</w:t>
      </w:r>
      <w:r>
        <w:t xml:space="preserve"> </w:t>
      </w:r>
      <w:r>
        <w:t xml:space="preserve">The current edition and custodian of each document in the set (this Manual, Syllabus, both Handbooks, both Course Guides), with the Portal as the live system of record.</w:t>
      </w:r>
    </w:p>
    <w:p>
      <w:pPr>
        <w:numPr>
          <w:ilvl w:val="0"/>
          <w:numId w:val="1003"/>
        </w:numPr>
        <w:pStyle w:val="Compact"/>
      </w:pPr>
      <w:r>
        <w:rPr>
          <w:bCs/>
          <w:b/>
        </w:rPr>
        <w:t xml:space="preserve">Appendix B — Change-Control Routing.</w:t>
      </w:r>
      <w:r>
        <w:t xml:space="preserve"> </w:t>
      </w:r>
      <w:r>
        <w:t xml:space="preserve">Who proposes / approves / ratifies each document, per §3 and §5.</w:t>
      </w:r>
    </w:p>
    <w:p>
      <w:pPr>
        <w:numPr>
          <w:ilvl w:val="0"/>
          <w:numId w:val="1003"/>
        </w:numPr>
        <w:pStyle w:val="Compact"/>
      </w:pPr>
      <w:r>
        <w:rPr>
          <w:bCs/>
          <w:b/>
        </w:rPr>
        <w:t xml:space="preserve">Appendix C — Glossary.</w:t>
      </w:r>
      <w:r>
        <w:t xml:space="preserve"> </w:t>
      </w:r>
      <w:r>
        <w:t xml:space="preserve">Full definitions.</w:t>
      </w:r>
    </w:p>
    <w:p>
      <w:pPr>
        <w:numPr>
          <w:ilvl w:val="0"/>
          <w:numId w:val="1003"/>
        </w:numPr>
        <w:pStyle w:val="Compact"/>
      </w:pPr>
      <w:r>
        <w:rPr>
          <w:bCs/>
          <w:b/>
        </w:rPr>
        <w:t xml:space="preserve">Register of Required Records.</w:t>
      </w:r>
      <w:r>
        <w:t xml:space="preserve"> </w:t>
      </w:r>
      <w:r>
        <w:t xml:space="preserve">The records the system must hold and who holds them (candidate progression history, examiner register, Partner Centre register, signed codes, audit records, assessment records) —</w:t>
      </w:r>
      <w:r>
        <w:t xml:space="preserve"> </w:t>
      </w:r>
      <w:r>
        <w:rPr>
          <w:iCs/>
          <w:i/>
        </w:rPr>
        <w:t xml:space="preserve">replacing v1.4 Appendix B's form layouts, which are now Portal artifacts.</w:t>
      </w:r>
    </w:p>
    <w:p>
      <w:r>
        <w:pict>
          <v:rect style="width:0;height:1.5pt" o:hralign="center" o:hrstd="t" o:hr="t"/>
        </w:pict>
      </w:r>
    </w:p>
    <w:bookmarkStart w:id="45" w:name="edition-20-change-log-from-v14"/>
    <w:p>
      <w:pPr>
        <w:pStyle w:val="Heading2"/>
      </w:pPr>
      <w:r>
        <w:t xml:space="preserve">Edition 2.0 change log (from v1.4)</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Change</w:t>
            </w:r>
          </w:p>
        </w:tc>
        <w:tc>
          <w:tcPr/>
          <w:p>
            <w:pPr>
              <w:pStyle w:val="Compact"/>
              <w:jc w:val="left"/>
            </w:pPr>
            <w:r>
              <w:t xml:space="preserve">Detail</w:t>
            </w:r>
          </w:p>
        </w:tc>
      </w:tr>
      <w:tr>
        <w:tc>
          <w:tcPr/>
          <w:p>
            <w:pPr>
              <w:pStyle w:val="Compact"/>
              <w:jc w:val="left"/>
            </w:pPr>
            <w:r>
              <w:t xml:space="preserve">New Part I §3</w:t>
            </w:r>
          </w:p>
        </w:tc>
        <w:tc>
          <w:tcPr/>
          <w:p>
            <w:pPr>
              <w:pStyle w:val="Compact"/>
              <w:jc w:val="left"/>
            </w:pPr>
            <w:r>
              <w:t xml:space="preserve">Added the</w:t>
            </w:r>
            <w:r>
              <w:t xml:space="preserve"> </w:t>
            </w:r>
            <w:r>
              <w:rPr>
                <w:bCs/>
                <w:b/>
              </w:rPr>
              <w:t xml:space="preserve">governing document architecture</w:t>
            </w:r>
            <w:r>
              <w:t xml:space="preserve">, precedence, and change control</w:t>
            </w:r>
          </w:p>
        </w:tc>
      </w:tr>
      <w:tr>
        <w:tc>
          <w:tcPr/>
          <w:p>
            <w:pPr>
              <w:pStyle w:val="Compact"/>
              <w:jc w:val="left"/>
            </w:pPr>
            <w:r>
              <w:t xml:space="preserve">Restructured into a charter</w:t>
            </w:r>
          </w:p>
        </w:tc>
        <w:tc>
          <w:tcPr/>
          <w:p>
            <w:pPr>
              <w:pStyle w:val="Compact"/>
              <w:jc w:val="left"/>
            </w:pPr>
            <w:r>
              <w:t xml:space="preserve">Requirements-by-topic; specifics deferred to the document set</w:t>
            </w:r>
          </w:p>
        </w:tc>
      </w:tr>
      <w:tr>
        <w:tc>
          <w:tcPr/>
          <w:p>
            <w:pPr>
              <w:pStyle w:val="Compact"/>
              <w:jc w:val="left"/>
            </w:pPr>
            <w:r>
              <w:t xml:space="preserve">Syllabus removed</w:t>
            </w:r>
          </w:p>
        </w:tc>
        <w:tc>
          <w:tcPr/>
          <w:p>
            <w:pPr>
              <w:pStyle w:val="Compact"/>
              <w:jc w:val="left"/>
            </w:pPr>
            <w:r>
              <w:t xml:space="preserve">v1.4 Appendix A + §12 →</w:t>
            </w:r>
            <w:r>
              <w:t xml:space="preserve"> </w:t>
            </w:r>
            <w:r>
              <w:rPr>
                <w:bCs/>
                <w:b/>
              </w:rPr>
              <w:t xml:space="preserve">7-Level Syllabus</w:t>
            </w:r>
          </w:p>
        </w:tc>
      </w:tr>
      <w:tr>
        <w:tc>
          <w:tcPr/>
          <w:p>
            <w:pPr>
              <w:pStyle w:val="Compact"/>
              <w:jc w:val="left"/>
            </w:pPr>
            <w:r>
              <w:t xml:space="preserve">Assessment procedure removed</w:t>
            </w:r>
          </w:p>
        </w:tc>
        <w:tc>
          <w:tcPr/>
          <w:p>
            <w:pPr>
              <w:pStyle w:val="Compact"/>
              <w:jc w:val="left"/>
            </w:pPr>
            <w:r>
              <w:t xml:space="preserve">v1.4 §11 →</w:t>
            </w:r>
            <w:r>
              <w:t xml:space="preserve"> </w:t>
            </w:r>
            <w:r>
              <w:rPr>
                <w:bCs/>
                <w:b/>
              </w:rPr>
              <w:t xml:space="preserve">Assessment System Handbook</w:t>
            </w:r>
          </w:p>
        </w:tc>
      </w:tr>
      <w:tr>
        <w:tc>
          <w:tcPr/>
          <w:p>
            <w:pPr>
              <w:pStyle w:val="Compact"/>
              <w:jc w:val="left"/>
            </w:pPr>
            <w:r>
              <w:t xml:space="preserve">Examiner workshop &amp; cert syllabus removed</w:t>
            </w:r>
          </w:p>
        </w:tc>
        <w:tc>
          <w:tcPr/>
          <w:p>
            <w:pPr>
              <w:pStyle w:val="Compact"/>
              <w:jc w:val="left"/>
            </w:pPr>
            <w:r>
              <w:t xml:space="preserve">v1.4 §7 + Appendix C →</w:t>
            </w:r>
            <w:r>
              <w:t xml:space="preserve"> </w:t>
            </w:r>
            <w:r>
              <w:rPr>
                <w:bCs/>
                <w:b/>
              </w:rPr>
              <w:t xml:space="preserve">Examiner Certification Course Guide</w:t>
            </w:r>
          </w:p>
        </w:tc>
      </w:tr>
      <w:tr>
        <w:tc>
          <w:tcPr/>
          <w:p>
            <w:pPr>
              <w:pStyle w:val="Compact"/>
              <w:jc w:val="left"/>
            </w:pPr>
            <w:r>
              <w:t xml:space="preserve">Instruction added</w:t>
            </w:r>
          </w:p>
        </w:tc>
        <w:tc>
          <w:tcPr/>
          <w:p>
            <w:pPr>
              <w:pStyle w:val="Compact"/>
              <w:jc w:val="left"/>
            </w:pPr>
            <w:r>
              <w:t xml:space="preserve">New</w:t>
            </w:r>
            <w:r>
              <w:t xml:space="preserve"> </w:t>
            </w:r>
            <w:r>
              <w:rPr>
                <w:bCs/>
                <w:b/>
              </w:rPr>
              <w:t xml:space="preserve">Teaching System Handbook</w:t>
            </w:r>
            <w:r>
              <w:t xml:space="preserve"> </w:t>
            </w:r>
            <w:r>
              <w:t xml:space="preserve">+</w:t>
            </w:r>
            <w:r>
              <w:t xml:space="preserve"> </w:t>
            </w:r>
            <w:r>
              <w:rPr>
                <w:bCs/>
                <w:b/>
              </w:rPr>
              <w:t xml:space="preserve">Instructor Foundation Course Guide</w:t>
            </w:r>
          </w:p>
        </w:tc>
      </w:tr>
      <w:tr>
        <w:tc>
          <w:tcPr/>
          <w:p>
            <w:pPr>
              <w:pStyle w:val="Compact"/>
              <w:jc w:val="left"/>
            </w:pPr>
            <w:r>
              <w:t xml:space="preserve">Trainer renamed</w:t>
            </w:r>
          </w:p>
        </w:tc>
        <w:tc>
          <w:tcPr/>
          <w:p>
            <w:pPr>
              <w:pStyle w:val="Compact"/>
              <w:jc w:val="left"/>
            </w:pPr>
            <w:r>
              <w:t xml:space="preserve">"Examiner Course Trainer" →</w:t>
            </w:r>
            <w:r>
              <w:t xml:space="preserve"> </w:t>
            </w:r>
            <w:r>
              <w:rPr>
                <w:bCs/>
                <w:b/>
              </w:rPr>
              <w:t xml:space="preserve">BADGES System Master Trainer</w:t>
            </w:r>
            <w:r>
              <w:t xml:space="preserve"> </w:t>
            </w:r>
            <w:r>
              <w:t xml:space="preserve">(OD-2)</w:t>
            </w:r>
          </w:p>
        </w:tc>
      </w:tr>
      <w:tr>
        <w:tc>
          <w:tcPr/>
          <w:p>
            <w:pPr>
              <w:pStyle w:val="Compact"/>
              <w:jc w:val="left"/>
            </w:pPr>
            <w:r>
              <w:t xml:space="preserve">Portal promoted</w:t>
            </w:r>
          </w:p>
        </w:tc>
        <w:tc>
          <w:tcPr/>
          <w:p>
            <w:pPr>
              <w:pStyle w:val="Compact"/>
              <w:jc w:val="left"/>
            </w:pPr>
            <w:r>
              <w:t xml:space="preserve">New §14 system-of-record section + requirements matrix</w:t>
            </w:r>
          </w:p>
        </w:tc>
      </w:tr>
      <w:tr>
        <w:tc>
          <w:tcPr/>
          <w:p>
            <w:pPr>
              <w:pStyle w:val="Compact"/>
              <w:jc w:val="left"/>
            </w:pPr>
            <w:r>
              <w:t xml:space="preserve">Data protection added</w:t>
            </w:r>
          </w:p>
        </w:tc>
        <w:tc>
          <w:tcPr/>
          <w:p>
            <w:pPr>
              <w:pStyle w:val="Compact"/>
              <w:jc w:val="left"/>
            </w:pPr>
            <w:r>
              <w:t xml:space="preserve">New §15 (controller/processor; minors never named)</w:t>
            </w:r>
          </w:p>
        </w:tc>
      </w:tr>
      <w:tr>
        <w:tc>
          <w:tcPr/>
          <w:p>
            <w:pPr>
              <w:pStyle w:val="Compact"/>
              <w:jc w:val="left"/>
            </w:pPr>
            <w:r>
              <w:t xml:space="preserve">Fees</w:t>
            </w:r>
          </w:p>
        </w:tc>
        <w:tc>
          <w:tcPr/>
          <w:p>
            <w:pPr>
              <w:pStyle w:val="Compact"/>
              <w:jc w:val="left"/>
            </w:pPr>
            <w:r>
              <w:t xml:space="preserve">Quanta moved to Portal schedule; principle retained (R3)</w:t>
            </w:r>
          </w:p>
        </w:tc>
      </w:tr>
      <w:tr>
        <w:tc>
          <w:tcPr/>
          <w:p>
            <w:pPr>
              <w:pStyle w:val="Compact"/>
              <w:jc w:val="left"/>
            </w:pPr>
            <w:r>
              <w:t xml:space="preserve">Code of conduct</w:t>
            </w:r>
          </w:p>
        </w:tc>
        <w:tc>
          <w:tcPr/>
          <w:p>
            <w:pPr>
              <w:pStyle w:val="Compact"/>
              <w:jc w:val="left"/>
            </w:pPr>
            <w:r>
              <w:t xml:space="preserve">Reduced to a requirement; operating code → Assessment Handbook (R5)</w:t>
            </w:r>
          </w:p>
        </w:tc>
      </w:tr>
      <w:tr>
        <w:tc>
          <w:tcPr/>
          <w:p>
            <w:pPr>
              <w:pStyle w:val="Compact"/>
              <w:jc w:val="left"/>
            </w:pPr>
            <w:r>
              <w:t xml:space="preserve">Appeals</w:t>
            </w:r>
          </w:p>
        </w:tc>
        <w:tc>
          <w:tcPr/>
          <w:p>
            <w:pPr>
              <w:pStyle w:val="Compact"/>
              <w:jc w:val="left"/>
            </w:pPr>
            <w:r>
              <w:t xml:space="preserve">§11.5 dispute process</w:t>
            </w:r>
            <w:r>
              <w:t xml:space="preserve"> </w:t>
            </w:r>
            <w:r>
              <w:rPr>
                <w:bCs/>
                <w:b/>
              </w:rPr>
              <w:t xml:space="preserve">removed</w:t>
            </w:r>
            <w:r>
              <w:t xml:space="preserve">; recourse is re-attempt + conduct complaint, per the Assessment System Handbook §3.8 (R1)</w:t>
            </w:r>
          </w:p>
        </w:tc>
      </w:tr>
      <w:tr>
        <w:tc>
          <w:tcPr/>
          <w:p>
            <w:pPr>
              <w:pStyle w:val="Compact"/>
              <w:jc w:val="left"/>
            </w:pPr>
            <w:r>
              <w:t xml:space="preserve">Forms appendix</w:t>
            </w:r>
          </w:p>
        </w:tc>
        <w:tc>
          <w:tcPr/>
          <w:p>
            <w:pPr>
              <w:pStyle w:val="Compact"/>
              <w:jc w:val="left"/>
            </w:pPr>
            <w:r>
              <w:t xml:space="preserve">Replaced with a Register of Required Records</w:t>
            </w:r>
          </w:p>
        </w:tc>
      </w:tr>
    </w:tbl>
    <w:bookmarkEnd w:id="45"/>
    <w:bookmarkStart w:id="46" w:name="version-control"/>
    <w:p>
      <w:pPr>
        <w:pStyle w:val="Heading2"/>
      </w:pPr>
      <w:r>
        <w:t xml:space="preserve">Version control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w:t>
            </w:r>
          </w:p>
        </w:tc>
        <w:tc>
          <w:tcPr/>
          <w:p>
            <w:pPr>
              <w:pStyle w:val="Compact"/>
              <w:jc w:val="left"/>
            </w:pPr>
            <w:r>
              <w:t xml:space="preserve">BADGES Manual</w:t>
            </w:r>
          </w:p>
        </w:tc>
      </w:tr>
      <w:tr>
        <w:tc>
          <w:tcPr/>
          <w:p>
            <w:pPr>
              <w:pStyle w:val="Compact"/>
              <w:jc w:val="left"/>
            </w:pPr>
            <w:r>
              <w:t xml:space="preserve">Edition</w:t>
            </w:r>
          </w:p>
        </w:tc>
        <w:tc>
          <w:tcPr/>
          <w:p>
            <w:pPr>
              <w:pStyle w:val="Compact"/>
              <w:jc w:val="left"/>
            </w:pPr>
            <w:r>
              <w:t xml:space="preserve">2.0 (charter restructure of Swim Badges Program Manual v1.4)</w:t>
            </w:r>
          </w:p>
        </w:tc>
      </w:tr>
      <w:tr>
        <w:tc>
          <w:tcPr/>
          <w:p>
            <w:pPr>
              <w:pStyle w:val="Compact"/>
              <w:jc w:val="left"/>
            </w:pPr>
            <w:r>
              <w:t xml:space="preserve">Owner</w:t>
            </w:r>
          </w:p>
        </w:tc>
        <w:tc>
          <w:tcPr/>
          <w:p>
            <w:pPr>
              <w:pStyle w:val="Compact"/>
              <w:jc w:val="left"/>
            </w:pPr>
            <w:r>
              <w:t xml:space="preserve">BADGES Chairperson (technical clauses co-owned by the Coaching Panel)</w:t>
            </w:r>
          </w:p>
        </w:tc>
      </w:tr>
      <w:tr>
        <w:tc>
          <w:tcPr/>
          <w:p>
            <w:pPr>
              <w:pStyle w:val="Compact"/>
              <w:jc w:val="left"/>
            </w:pPr>
            <w:r>
              <w:t xml:space="preserve">Governs</w:t>
            </w:r>
          </w:p>
        </w:tc>
        <w:tc>
          <w:tcPr/>
          <w:p>
            <w:pPr>
              <w:pStyle w:val="Compact"/>
              <w:jc w:val="left"/>
            </w:pPr>
            <w:r>
              <w:t xml:space="preserve">The BADGES document system (precedence per §3)</w:t>
            </w:r>
          </w:p>
        </w:tc>
      </w:tr>
      <w:tr>
        <w:tc>
          <w:tcPr/>
          <w:p>
            <w:pPr>
              <w:pStyle w:val="Compact"/>
              <w:jc w:val="left"/>
            </w:pPr>
            <w:r>
              <w:t xml:space="preserve">Open decisions</w:t>
            </w:r>
          </w:p>
        </w:tc>
        <w:tc>
          <w:tcPr/>
          <w:p>
            <w:pPr>
              <w:pStyle w:val="Compact"/>
              <w:jc w:val="left"/>
            </w:pPr>
            <w:r>
              <w:t xml:space="preserve">OD-1 (instructor lineage) · OD-2 (Master Trainer) · OD-3 (Partner Centre Guide) · data-controller wording (counsel)</w:t>
            </w:r>
          </w:p>
        </w:tc>
      </w:tr>
    </w:tbl>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hAnsi="Arial"/>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color w:val="1E2752"/>
      <w:rFonts w:ascii="Arial" w:cs="Arial" w:hAnsi="Arial"/>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color w:val="1E2752"/>
      <w:rFonts w:ascii="Arial" w:cs="Arial" w:hAnsi="Arial"/>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color w:val="1E2752"/>
      <w:rFonts w:ascii="Arial" w:cs="Arial" w:hAnsi="Arial"/>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color w:val="1E2752"/>
      <w:rFonts w:ascii="Arial" w:cs="Arial" w:hAnsi="Arial"/>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color w:val="1E2752"/>
      <w:rFonts w:ascii="Arial" w:cs="Arial" w:hAnsi="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cs="Arial" w:hAnsi="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cs="Arial" w:hAnsi="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cs="Arial" w:hAnsi="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cs="Arial" w:hAnsi="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cs="Arial" w:hAnsi="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Arial" w:cs="Arial" w:hAnsi="Arial"/>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cs="Arial" w:hAnsi="Arial"/>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6" Target="http://www.masbadges.org" TargetMode="External" /></Relationships>
</file>

<file path=word/_rels/footnotes.xml.rels><?xml version="1.0" encoding="UTF-8"?><Relationships xmlns="http://schemas.openxmlformats.org/package/2006/relationships"><Relationship Type="http://schemas.openxmlformats.org/officeDocument/2006/relationships/hyperlink" Id="rId36" Target="http://www.masbadge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2026-06-25T02:28:30Z</dcterms:created>
  <dcterms:modified xsi:type="dcterms:W3CDTF">2026-06-25T02:28:30Z</dcterms:modified>
</cp:coreProperties>
</file>

<file path=docProps/custom.xml><?xml version="1.0" encoding="utf-8"?>
<Properties xmlns="http://schemas.openxmlformats.org/officeDocument/2006/custom-properties" xmlns:vt="http://schemas.openxmlformats.org/officeDocument/2006/docPropsVTypes"/>
</file>