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as-badges--teaching-system-handbook"/>
    <w:p>
      <w:pPr>
        <w:pStyle w:val="Heading1"/>
      </w:pPr>
      <w:r>
        <w:t xml:space="preserve">MAS BADGES — Teaching System Handbook</w:t>
      </w:r>
    </w:p>
    <w:p>
      <w:pPr>
        <w:pStyle w:val="FirstParagraph"/>
      </w:pPr>
      <w:r>
        <w:rPr>
          <w:bCs/>
          <w:b/>
        </w:rPr>
        <w:t xml:space="preserve">Malaysia Aquatics · Akuatik Malaysia</w:t>
      </w:r>
      <w:r>
        <w:t xml:space="preserve"> </w:t>
      </w:r>
      <w:r>
        <w:rPr>
          <w:iCs/>
          <w:i/>
        </w:rPr>
        <w:t xml:space="preserve">How BADGES instruction is delivered to meet the 7-Level Syllabus</w:t>
      </w:r>
    </w:p>
    <w:p>
      <w:pPr>
        <w:pStyle w:val="BodyText"/>
      </w:pPr>
      <w:r>
        <w:rPr>
          <w:bCs/>
          <w:b/>
        </w:rPr>
        <w:t xml:space="preserve">Edition 1.0</w:t>
      </w:r>
      <w:r>
        <w:t xml:space="preserve"> </w:t>
      </w:r>
      <w:r>
        <w:t xml:space="preserve">· Companion to the BADGES Manual and the 7-Level Syllabus</w:t>
      </w:r>
      <w:r>
        <w:t xml:space="preserve"> </w:t>
      </w:r>
      <w:r>
        <w:rPr>
          <w:bCs/>
          <w:b/>
        </w:rPr>
        <w:t xml:space="preserve">Custodian:</w:t>
      </w:r>
      <w:r>
        <w:t xml:space="preserve"> </w:t>
      </w:r>
      <w:r>
        <w:t xml:space="preserve">Coaching &amp; Technical Board, with the BADGES System Master Trainer</w:t>
      </w:r>
      <w:r>
        <w:t xml:space="preserve"> </w:t>
      </w:r>
      <w:r>
        <w:rPr>
          <w:bCs/>
          <w:b/>
        </w:rPr>
        <w:t xml:space="preserve">Audience:</w:t>
      </w:r>
      <w:r>
        <w:t xml:space="preserve"> </w:t>
      </w:r>
      <w:r>
        <w:t xml:space="preserve">MAS Certified Instructors and partner centres</w:t>
      </w:r>
    </w:p>
    <w:p>
      <w:r>
        <w:pict>
          <v:rect style="width:0;height:1.5pt" o:hralign="center" o:hrstd="t" o:hr="t"/>
        </w:pict>
      </w:r>
    </w:p>
    <w:bookmarkStart w:id="20" w:name="about-this-handbook"/>
    <w:p>
      <w:pPr>
        <w:pStyle w:val="Heading2"/>
      </w:pPr>
      <w:r>
        <w:t xml:space="preserve">About this Handbook</w:t>
      </w:r>
    </w:p>
    <w:p>
      <w:pPr>
        <w:pStyle w:val="FirstParagraph"/>
      </w:pPr>
      <w:r>
        <w:t xml:space="preserve">This Handbook is the</w:t>
      </w:r>
      <w:r>
        <w:t xml:space="preserve"> </w:t>
      </w:r>
      <w:r>
        <w:rPr>
          <w:bCs/>
          <w:b/>
        </w:rPr>
        <w:t xml:space="preserve">teaching doctrine</w:t>
      </w:r>
      <w:r>
        <w:t xml:space="preserve"> </w:t>
      </w:r>
      <w:r>
        <w:t xml:space="preserve">of the BADGES system — how a certified instructor prepares a swimmer to meet the Syllabus. It is the content that the</w:t>
      </w:r>
      <w:r>
        <w:t xml:space="preserve"> </w:t>
      </w:r>
      <w:r>
        <w:rPr>
          <w:bCs/>
          <w:b/>
        </w:rPr>
        <w:t xml:space="preserve">Instructor Foundation Certification Course Guide</w:t>
      </w:r>
      <w:r>
        <w:t xml:space="preserve"> </w:t>
      </w:r>
      <w:r>
        <w:t xml:space="preserve">trains against, the practice partner to the</w:t>
      </w:r>
      <w:r>
        <w:t xml:space="preserve"> </w:t>
      </w:r>
      <w:r>
        <w:rPr>
          <w:bCs/>
          <w:b/>
        </w:rPr>
        <w:t xml:space="preserve">Assessment System Handbook</w:t>
      </w:r>
      <w:r>
        <w:t xml:space="preserve">, and is required by the</w:t>
      </w:r>
      <w:r>
        <w:t xml:space="preserve"> </w:t>
      </w:r>
      <w:r>
        <w:rPr>
          <w:bCs/>
          <w:b/>
        </w:rPr>
        <w:t xml:space="preserve">BADGES Manual</w:t>
      </w:r>
      <w:r>
        <w:t xml:space="preserve">, which states only</w:t>
      </w:r>
      <w:r>
        <w:t xml:space="preserve"> </w:t>
      </w:r>
      <w:r>
        <w:rPr>
          <w:iCs/>
          <w:i/>
        </w:rPr>
        <w:t xml:space="preserve">that</w:t>
      </w:r>
      <w:r>
        <w:t xml:space="preserve"> </w:t>
      </w:r>
      <w:r>
        <w:t xml:space="preserve">instruction must follow a published teaching system.</w:t>
      </w:r>
    </w:p>
    <w:p>
      <w:pPr>
        <w:pStyle w:val="BodyText"/>
      </w:pPr>
      <w:r>
        <w:t xml:space="preserve">Its relationship to the other documents is precise:</w:t>
      </w:r>
    </w:p>
    <w:p>
      <w:pPr>
        <w:numPr>
          <w:ilvl w:val="0"/>
          <w:numId w:val="1001"/>
        </w:numPr>
        <w:pStyle w:val="Compact"/>
      </w:pPr>
      <w:r>
        <w:t xml:space="preserve">It</w:t>
      </w:r>
      <w:r>
        <w:t xml:space="preserve"> </w:t>
      </w:r>
      <w:r>
        <w:rPr>
          <w:bCs/>
          <w:b/>
        </w:rPr>
        <w:t xml:space="preserve">teaches toward</w:t>
      </w:r>
      <w:r>
        <w:t xml:space="preserve"> </w:t>
      </w:r>
      <w:r>
        <w:t xml:space="preserve">the</w:t>
      </w:r>
      <w:r>
        <w:t xml:space="preserve"> </w:t>
      </w:r>
      <w:r>
        <w:rPr>
          <w:bCs/>
          <w:b/>
        </w:rPr>
        <w:t xml:space="preserve">7-Level Syllabus</w:t>
      </w:r>
      <w:r>
        <w:t xml:space="preserve"> </w:t>
      </w:r>
      <w:r>
        <w:t xml:space="preserve">standard — and never restates the assessment criteria. The Syllabus owns the criteria; this Handbook owns the</w:t>
      </w:r>
      <w:r>
        <w:t xml:space="preserve"> </w:t>
      </w:r>
      <w:r>
        <w:rPr>
          <w:iCs/>
          <w:i/>
        </w:rPr>
        <w:t xml:space="preserve">method</w:t>
      </w:r>
      <w:r>
        <w:t xml:space="preserve"> </w:t>
      </w:r>
      <w:r>
        <w:t xml:space="preserve">of getting a swimmer there.</w:t>
      </w:r>
    </w:p>
    <w:p>
      <w:pPr>
        <w:numPr>
          <w:ilvl w:val="0"/>
          <w:numId w:val="1001"/>
        </w:numPr>
        <w:pStyle w:val="Compact"/>
      </w:pPr>
      <w:r>
        <w:t xml:space="preserve">It is the basis of the</w:t>
      </w:r>
      <w:r>
        <w:t xml:space="preserve"> </w:t>
      </w:r>
      <w:r>
        <w:rPr>
          <w:bCs/>
          <w:b/>
        </w:rPr>
        <w:t xml:space="preserve">Instructor Foundation Certification Course</w:t>
      </w:r>
      <w:r>
        <w:t xml:space="preserve">.</w:t>
      </w:r>
    </w:p>
    <w:p>
      <w:pPr>
        <w:numPr>
          <w:ilvl w:val="0"/>
          <w:numId w:val="1001"/>
        </w:numPr>
        <w:pStyle w:val="Compact"/>
      </w:pPr>
      <w:r>
        <w:t xml:space="preserve">It runs alongside, but is firewalled from, assessment: an instructor prepares; a different, independent examiner judges (the conflict-of-interest firewall).</w:t>
      </w:r>
    </w:p>
    <w:p>
      <w:pPr>
        <w:numPr>
          <w:ilvl w:val="0"/>
          <w:numId w:val="1001"/>
        </w:numPr>
        <w:pStyle w:val="Compact"/>
      </w:pPr>
      <w:r>
        <w:t xml:space="preserve">The instructor's administrative work is</w:t>
      </w:r>
      <w:r>
        <w:t xml:space="preserve"> </w:t>
      </w:r>
      <w:r>
        <w:rPr>
          <w:bCs/>
          <w:b/>
        </w:rPr>
        <w:t xml:space="preserve">executed in the BADGES Platform Portal</w:t>
      </w:r>
      <w:r>
        <w:t xml:space="preserve">.</w:t>
      </w:r>
    </w:p>
    <w:p>
      <w:pPr>
        <w:pStyle w:val="FirstParagraph"/>
      </w:pPr>
      <w:r>
        <w:rPr>
          <w:bCs/>
          <w:b/>
        </w:rPr>
        <w:t xml:space="preserve">Custody.</w:t>
      </w:r>
      <w:r>
        <w:t xml:space="preserve"> </w:t>
      </w:r>
      <w:r>
        <w:t xml:space="preserve">The Coaching &amp; Technical Board owns the teaching doctrine; the Master Trainer maintains the delivery materials. Changes to method follow the Coaching Panel route; changes to the underlying standard are Syllabus changes and are made there.</w:t>
      </w:r>
    </w:p>
    <w:p>
      <w:pPr>
        <w:pStyle w:val="BlockText"/>
      </w:pPr>
      <w:r>
        <w:t xml:space="preserve">▶</w:t>
      </w:r>
      <w:r>
        <w:t xml:space="preserve"> </w:t>
      </w:r>
      <w:r>
        <w:rPr>
          <w:bCs/>
          <w:b/>
        </w:rPr>
        <w:t xml:space="preserve">Authorship note (for the Coaching Panel / Master Trainer).</w:t>
      </w:r>
      <w:r>
        <w:t xml:space="preserve"> </w:t>
      </w:r>
      <w:r>
        <w:t xml:space="preserve">This Edition 1.0 establishes the teaching</w:t>
      </w:r>
      <w:r>
        <w:t xml:space="preserve"> </w:t>
      </w:r>
      <w:r>
        <w:rPr>
          <w:iCs/>
          <w:i/>
        </w:rPr>
        <w:t xml:space="preserve">framework and requirements</w:t>
      </w:r>
      <w:r>
        <w:t xml:space="preserve"> </w:t>
      </w:r>
      <w:r>
        <w:t xml:space="preserve">and seeds the per-level teaching focus from the Syllabus's Introduce/Reinforce/Develop objectives (Annex A). The</w:t>
      </w:r>
      <w:r>
        <w:t xml:space="preserve"> </w:t>
      </w:r>
      <w:r>
        <w:rPr>
          <w:bCs/>
          <w:b/>
        </w:rPr>
        <w:t xml:space="preserve">detailed drill libraries, stroke-correction progressions, and lesson-plan banks</w:t>
      </w:r>
      <w:r>
        <w:t xml:space="preserve"> </w:t>
      </w:r>
      <w:r>
        <w:t xml:space="preserve">are subject-matter curriculum that must be authored by the Coaching Panel and Master Trainer; they are marked as living annexes, not invented here.</w:t>
      </w:r>
    </w:p>
    <w:p>
      <w:r>
        <w:pict>
          <v:rect style="width:0;height:1.5pt" o:hralign="center" o:hrstd="t" o:hr="t"/>
        </w:pict>
      </w:r>
    </w:p>
    <w:bookmarkEnd w:id="20"/>
    <w:bookmarkStart w:id="21" w:name="X5a737be42c3c5e4eed73c22e9d8a63beb05b479"/>
    <w:p>
      <w:pPr>
        <w:pStyle w:val="Heading2"/>
      </w:pPr>
      <w:r>
        <w:t xml:space="preserve">1. Teaching philosophy</w:t>
      </w:r>
    </w:p>
    <w:p>
      <w:pPr>
        <w:pStyle w:val="FirstParagraph"/>
      </w:pPr>
      <w:r>
        <w:t xml:space="preserve">BADGES teaching produces swimmers who are</w:t>
      </w:r>
      <w:r>
        <w:t xml:space="preserve"> </w:t>
      </w:r>
      <w:r>
        <w:rPr>
          <w:bCs/>
          <w:b/>
        </w:rPr>
        <w:t xml:space="preserve">safe, competent, and confident</w:t>
      </w:r>
      <w:r>
        <w:t xml:space="preserve">, in that order of priority, along a single continuous pathway from a child's first day in the water to competitive readiness. The teaching system rests on four commitments:</w:t>
      </w:r>
    </w:p>
    <w:p>
      <w:pPr>
        <w:numPr>
          <w:ilvl w:val="0"/>
          <w:numId w:val="1002"/>
        </w:numPr>
        <w:pStyle w:val="Compact"/>
      </w:pPr>
      <w:r>
        <w:rPr>
          <w:bCs/>
          <w:b/>
        </w:rPr>
        <w:t xml:space="preserve">Safety is the foundation, not a topic.</w:t>
      </w:r>
      <w:r>
        <w:t xml:space="preserve"> </w:t>
      </w:r>
      <w:r>
        <w:t xml:space="preserve">Water safety and self-rescue are woven through every level, not taught once.</w:t>
      </w:r>
    </w:p>
    <w:p>
      <w:pPr>
        <w:numPr>
          <w:ilvl w:val="0"/>
          <w:numId w:val="1002"/>
        </w:numPr>
        <w:pStyle w:val="Compact"/>
      </w:pPr>
      <w:r>
        <w:rPr>
          <w:bCs/>
          <w:b/>
        </w:rPr>
        <w:t xml:space="preserve">Competency over time-in-program.</w:t>
      </w:r>
      <w:r>
        <w:t xml:space="preserve"> </w:t>
      </w:r>
      <w:r>
        <w:t xml:space="preserve">A swimmer advances when they consistently meet a level's outcomes — at their own pace — never by attendance or age alone.</w:t>
      </w:r>
    </w:p>
    <w:p>
      <w:pPr>
        <w:numPr>
          <w:ilvl w:val="0"/>
          <w:numId w:val="1002"/>
        </w:numPr>
        <w:pStyle w:val="Compact"/>
      </w:pPr>
      <w:r>
        <w:rPr>
          <w:bCs/>
          <w:b/>
        </w:rPr>
        <w:t xml:space="preserve">Teach to the skill, not to the test.</w:t>
      </w:r>
      <w:r>
        <w:t xml:space="preserve"> </w:t>
      </w:r>
      <w:r>
        <w:t xml:space="preserve">Instructors develop genuine, transferable technique; passing the assessment is the by-product of real competence, never the goal in itself.</w:t>
      </w:r>
    </w:p>
    <w:p>
      <w:pPr>
        <w:numPr>
          <w:ilvl w:val="0"/>
          <w:numId w:val="1002"/>
        </w:numPr>
        <w:pStyle w:val="Compact"/>
      </w:pPr>
      <w:r>
        <w:rPr>
          <w:bCs/>
          <w:b/>
        </w:rPr>
        <w:t xml:space="preserve">The instructor prepares; an independent examiner judges.</w:t>
      </w:r>
      <w:r>
        <w:t xml:space="preserve"> </w:t>
      </w:r>
      <w:r>
        <w:t xml:space="preserve">This separation is what makes the badge credible, and instructors uphold it actively.</w:t>
      </w:r>
    </w:p>
    <w:p>
      <w:r>
        <w:pict>
          <v:rect style="width:0;height:1.5pt" o:hralign="center" o:hrstd="t" o:hr="t"/>
        </w:pict>
      </w:r>
    </w:p>
    <w:bookmarkEnd w:id="21"/>
    <w:bookmarkStart w:id="22" w:name="Xf41746f2bec1c48b3e8dd697e3ea8c05e0ba1eb"/>
    <w:p>
      <w:pPr>
        <w:pStyle w:val="Heading2"/>
      </w:pPr>
      <w:r>
        <w:t xml:space="preserve">2. The Introduce → Reinforce → Develop (IRD) model</w:t>
      </w:r>
    </w:p>
    <w:p>
      <w:pPr>
        <w:pStyle w:val="FirstParagraph"/>
      </w:pPr>
      <w:r>
        <w:t xml:space="preserve">Every BADGES level is taught through the same three-phase cycle, which is the structure already embedded in the Syllabus's teaching objectives:</w:t>
      </w:r>
    </w:p>
    <w:p>
      <w:pPr>
        <w:numPr>
          <w:ilvl w:val="0"/>
          <w:numId w:val="1003"/>
        </w:numPr>
        <w:pStyle w:val="Compact"/>
      </w:pPr>
      <w:r>
        <w:rPr>
          <w:bCs/>
          <w:b/>
        </w:rPr>
        <w:t xml:space="preserve">Introduce</w:t>
      </w:r>
      <w:r>
        <w:t xml:space="preserve"> </w:t>
      </w:r>
      <w:r>
        <w:t xml:space="preserve">— present a new skill in its simplest safe form; build familiarity and confidence; accept rough execution.</w:t>
      </w:r>
    </w:p>
    <w:p>
      <w:pPr>
        <w:numPr>
          <w:ilvl w:val="0"/>
          <w:numId w:val="1003"/>
        </w:numPr>
        <w:pStyle w:val="Compact"/>
      </w:pPr>
      <w:r>
        <w:rPr>
          <w:bCs/>
          <w:b/>
        </w:rPr>
        <w:t xml:space="preserve">Reinforce</w:t>
      </w:r>
      <w:r>
        <w:t xml:space="preserve"> </w:t>
      </w:r>
      <w:r>
        <w:t xml:space="preserve">— repeat and stabilize the skill across sessions until it is consistent and unprompted.</w:t>
      </w:r>
    </w:p>
    <w:p>
      <w:pPr>
        <w:numPr>
          <w:ilvl w:val="0"/>
          <w:numId w:val="1003"/>
        </w:numPr>
        <w:pStyle w:val="Compact"/>
      </w:pPr>
      <w:r>
        <w:rPr>
          <w:bCs/>
          <w:b/>
        </w:rPr>
        <w:t xml:space="preserve">Develop</w:t>
      </w:r>
      <w:r>
        <w:t xml:space="preserve"> </w:t>
      </w:r>
      <w:r>
        <w:t xml:space="preserve">— extend the skill toward the Syllabus standard for the level: add distance, efficiency, independence, and combination with other skills.</w:t>
      </w:r>
    </w:p>
    <w:p>
      <w:pPr>
        <w:pStyle w:val="FirstParagraph"/>
      </w:pPr>
      <w:r>
        <w:t xml:space="preserve">A swimmer is ready to be put forward for assessment only when every skill at the level has moved through</w:t>
      </w:r>
      <w:r>
        <w:t xml:space="preserve"> </w:t>
      </w:r>
      <w:r>
        <w:rPr>
          <w:bCs/>
          <w:b/>
        </w:rPr>
        <w:t xml:space="preserve">Develop</w:t>
      </w:r>
      <w:r>
        <w:t xml:space="preserve"> </w:t>
      </w:r>
      <w:r>
        <w:t xml:space="preserve">and is performed</w:t>
      </w:r>
      <w:r>
        <w:t xml:space="preserve"> </w:t>
      </w:r>
      <w:r>
        <w:rPr>
          <w:bCs/>
          <w:b/>
        </w:rPr>
        <w:t xml:space="preserve">independently</w:t>
      </w:r>
      <w:r>
        <w:t xml:space="preserve"> </w:t>
      </w:r>
      <w:r>
        <w:t xml:space="preserve">to the Syllabus criteria. Annex A sets out the Introduce/Reinforce/Develop focus per level.</w:t>
      </w:r>
    </w:p>
    <w:p>
      <w:r>
        <w:pict>
          <v:rect style="width:0;height:1.5pt" o:hralign="center" o:hrstd="t" o:hr="t"/>
        </w:pict>
      </w:r>
    </w:p>
    <w:bookmarkEnd w:id="22"/>
    <w:bookmarkStart w:id="23" w:name="X1d26c65c8fa74799bd5320c365e71d85b6a3eee"/>
    <w:p>
      <w:pPr>
        <w:pStyle w:val="Heading2"/>
      </w:pPr>
      <w:r>
        <w:t xml:space="preserve">3. Lesson structure and class management</w:t>
      </w:r>
    </w:p>
    <w:p>
      <w:pPr>
        <w:pStyle w:val="FirstParagraph"/>
      </w:pPr>
      <w:r>
        <w:t xml:space="preserve">Every lesson follows a consistent shape so that swimmers know what to expect and instructors can manage the water safely:</w:t>
      </w:r>
    </w:p>
    <w:p>
      <w:pPr>
        <w:numPr>
          <w:ilvl w:val="0"/>
          <w:numId w:val="1004"/>
        </w:numPr>
        <w:pStyle w:val="Compact"/>
      </w:pPr>
      <w:r>
        <w:rPr>
          <w:bCs/>
          <w:b/>
        </w:rPr>
        <w:t xml:space="preserve">Entry and safety check</w:t>
      </w:r>
      <w:r>
        <w:t xml:space="preserve"> </w:t>
      </w:r>
      <w:r>
        <w:t xml:space="preserve">— controlled entry; headcount; conditions check.</w:t>
      </w:r>
    </w:p>
    <w:p>
      <w:pPr>
        <w:numPr>
          <w:ilvl w:val="0"/>
          <w:numId w:val="1004"/>
        </w:numPr>
        <w:pStyle w:val="Compact"/>
      </w:pPr>
      <w:r>
        <w:rPr>
          <w:bCs/>
          <w:b/>
        </w:rPr>
        <w:t xml:space="preserve">Warm-up and review</w:t>
      </w:r>
      <w:r>
        <w:t xml:space="preserve"> </w:t>
      </w:r>
      <w:r>
        <w:t xml:space="preserve">— revisit the prior session's reinforced skills.</w:t>
      </w:r>
    </w:p>
    <w:p>
      <w:pPr>
        <w:numPr>
          <w:ilvl w:val="0"/>
          <w:numId w:val="1004"/>
        </w:numPr>
        <w:pStyle w:val="Compact"/>
      </w:pPr>
      <w:r>
        <w:rPr>
          <w:bCs/>
          <w:b/>
        </w:rPr>
        <w:t xml:space="preserve">Skill focus</w:t>
      </w:r>
      <w:r>
        <w:t xml:space="preserve"> </w:t>
      </w:r>
      <w:r>
        <w:t xml:space="preserve">— the session's Introduce or Reinforce target, taught in short, high-repetition blocks.</w:t>
      </w:r>
    </w:p>
    <w:p>
      <w:pPr>
        <w:numPr>
          <w:ilvl w:val="0"/>
          <w:numId w:val="1004"/>
        </w:numPr>
        <w:pStyle w:val="Compact"/>
      </w:pPr>
      <w:r>
        <w:rPr>
          <w:bCs/>
          <w:b/>
        </w:rPr>
        <w:t xml:space="preserve">Application</w:t>
      </w:r>
      <w:r>
        <w:t xml:space="preserve"> </w:t>
      </w:r>
      <w:r>
        <w:t xml:space="preserve">— combine the focus skill with established skills (the Develop phase).</w:t>
      </w:r>
    </w:p>
    <w:p>
      <w:pPr>
        <w:numPr>
          <w:ilvl w:val="0"/>
          <w:numId w:val="1004"/>
        </w:numPr>
        <w:pStyle w:val="Compact"/>
      </w:pPr>
      <w:r>
        <w:rPr>
          <w:bCs/>
          <w:b/>
        </w:rPr>
        <w:t xml:space="preserve">Cool-down, recap, and exit</w:t>
      </w:r>
      <w:r>
        <w:t xml:space="preserve"> </w:t>
      </w:r>
      <w:r>
        <w:t xml:space="preserve">— controlled exit; headcount; brief feedback to each swimmer.</w:t>
      </w:r>
    </w:p>
    <w:p>
      <w:pPr>
        <w:pStyle w:val="FirstParagraph"/>
      </w:pPr>
      <w:r>
        <w:t xml:space="preserve">Class-management requirements: maintain constant visual supervision of every swimmer in the water; keep instructor-to-swimmer ratios appropriate to level and ability (lower ratios at higher, deeper levels); never leave the waterside while swimmers are in the water; use clear, age-appropriate language and demonstration.</w:t>
      </w:r>
    </w:p>
    <w:p>
      <w:pPr>
        <w:pStyle w:val="BlockText"/>
      </w:pPr>
      <w:r>
        <w:rPr>
          <w:iCs/>
          <w:i/>
        </w:rPr>
        <w:t xml:space="preserve">Recommended teaching ratios and group sizes by level are a living annex to be confirmed by the Coaching Panel, consistent with the assessment-day staffing model in the Assessment System Handbook (Annex B).</w:t>
      </w:r>
    </w:p>
    <w:p>
      <w:r>
        <w:pict>
          <v:rect style="width:0;height:1.5pt" o:hralign="center" o:hrstd="t" o:hr="t"/>
        </w:pict>
      </w:r>
    </w:p>
    <w:bookmarkEnd w:id="23"/>
    <w:bookmarkStart w:id="24" w:name="X42635d6155a045de9d32540fa9bfc921a27ee3d"/>
    <w:p>
      <w:pPr>
        <w:pStyle w:val="Heading2"/>
      </w:pPr>
      <w:r>
        <w:t xml:space="preserve">4. Teaching to the criteria — the discipline</w:t>
      </w:r>
    </w:p>
    <w:p>
      <w:pPr>
        <w:pStyle w:val="FirstParagraph"/>
      </w:pPr>
      <w:r>
        <w:t xml:space="preserve">The Syllabus's right-hand column is the standard the swimmer must reach; the instructor's job is to build the underlying competence so that meeting the criteria is natural. Two disciplines protect this:</w:t>
      </w:r>
    </w:p>
    <w:p>
      <w:pPr>
        <w:numPr>
          <w:ilvl w:val="0"/>
          <w:numId w:val="1005"/>
        </w:numPr>
        <w:pStyle w:val="Compact"/>
      </w:pPr>
      <w:r>
        <w:rPr>
          <w:bCs/>
          <w:b/>
        </w:rPr>
        <w:t xml:space="preserve">No teaching to the test.</w:t>
      </w:r>
      <w:r>
        <w:t xml:space="preserve"> </w:t>
      </w:r>
      <w:r>
        <w:t xml:space="preserve">Instructors do not drill the exact assessment task in isolation to manufacture a pass; they build the skill so the task is comfortably within reach.</w:t>
      </w:r>
    </w:p>
    <w:p>
      <w:pPr>
        <w:numPr>
          <w:ilvl w:val="0"/>
          <w:numId w:val="1005"/>
        </w:numPr>
        <w:pStyle w:val="Compact"/>
      </w:pPr>
      <w:r>
        <w:rPr>
          <w:bCs/>
          <w:b/>
        </w:rPr>
        <w:t xml:space="preserve">Honest readiness.</w:t>
      </w:r>
      <w:r>
        <w:t xml:space="preserve"> </w:t>
      </w:r>
      <w:r>
        <w:t xml:space="preserve">An instructor puts a swimmer forward only when genuinely ready. A Refer is a normal, useful outcome — it names a gap to close — and is never treated as a failure of the instructor or a reason to pressure an examiner.</w:t>
      </w:r>
    </w:p>
    <w:p>
      <w:r>
        <w:pict>
          <v:rect style="width:0;height:1.5pt" o:hralign="center" o:hrstd="t" o:hr="t"/>
        </w:pict>
      </w:r>
    </w:p>
    <w:bookmarkEnd w:id="24"/>
    <w:bookmarkStart w:id="25" w:name="X7586fc8373d4af2760572f07277118a6750b884"/>
    <w:p>
      <w:pPr>
        <w:pStyle w:val="Heading2"/>
      </w:pPr>
      <w:r>
        <w:t xml:space="preserve">5. Water safety and child safety in delivery</w:t>
      </w:r>
    </w:p>
    <w:p>
      <w:pPr>
        <w:numPr>
          <w:ilvl w:val="0"/>
          <w:numId w:val="1006"/>
        </w:numPr>
        <w:pStyle w:val="Compact"/>
      </w:pPr>
      <w:r>
        <w:rPr>
          <w:bCs/>
          <w:b/>
        </w:rPr>
        <w:t xml:space="preserve">Water safety</w:t>
      </w:r>
      <w:r>
        <w:t xml:space="preserve"> </w:t>
      </w:r>
      <w:r>
        <w:t xml:space="preserve">is integral: safe entry/exit, breath control, floating, and self-rescue are taught from Level 1 and revisited at every level, consistent with the survival-skill strand running through the Syllabus.</w:t>
      </w:r>
    </w:p>
    <w:p>
      <w:pPr>
        <w:numPr>
          <w:ilvl w:val="0"/>
          <w:numId w:val="1006"/>
        </w:numPr>
        <w:pStyle w:val="Compact"/>
      </w:pPr>
      <w:r>
        <w:rPr>
          <w:bCs/>
          <w:b/>
        </w:rPr>
        <w:t xml:space="preserve">Child safety / safeguarding</w:t>
      </w:r>
      <w:r>
        <w:t xml:space="preserve"> </w:t>
      </w:r>
      <w:r>
        <w:t xml:space="preserve">is a hard requirement of the BADGES Manual and binds every instructor: parental consent before participation; a child is never isolated one-to-one out of sight; a child's information is never disclosed publicly; concerns are escalated immediately. Instructors uphold these in lessons exactly as examiners do on assessment day.</w:t>
      </w:r>
    </w:p>
    <w:p>
      <w:r>
        <w:pict>
          <v:rect style="width:0;height:1.5pt" o:hralign="center" o:hrstd="t" o:hr="t"/>
        </w:pict>
      </w:r>
    </w:p>
    <w:bookmarkEnd w:id="25"/>
    <w:bookmarkStart w:id="26" w:name="X419923ef6d4f4283c8a8f2b7414899719605a6b"/>
    <w:p>
      <w:pPr>
        <w:pStyle w:val="Heading2"/>
      </w:pPr>
      <w:r>
        <w:t xml:space="preserve">6. Tracking progress and readiness</w:t>
      </w:r>
    </w:p>
    <w:p>
      <w:pPr>
        <w:numPr>
          <w:ilvl w:val="0"/>
          <w:numId w:val="1007"/>
        </w:numPr>
        <w:pStyle w:val="Compact"/>
      </w:pPr>
      <w:r>
        <w:t xml:space="preserve">Instructors track each swimmer's progress through the IRD phases per skill, so that readiness for assessment is an evidenced judgement, not a guess.</w:t>
      </w:r>
    </w:p>
    <w:p>
      <w:pPr>
        <w:numPr>
          <w:ilvl w:val="0"/>
          <w:numId w:val="1007"/>
        </w:numPr>
        <w:pStyle w:val="Compact"/>
      </w:pPr>
      <w:r>
        <w:t xml:space="preserve">The instructor</w:t>
      </w:r>
      <w:r>
        <w:t xml:space="preserve"> </w:t>
      </w:r>
      <w:r>
        <w:rPr>
          <w:bCs/>
          <w:b/>
        </w:rPr>
        <w:t xml:space="preserve">validates readiness</w:t>
      </w:r>
      <w:r>
        <w:t xml:space="preserve"> </w:t>
      </w:r>
      <w:r>
        <w:t xml:space="preserve">before booking an assessment — confirming, candidate by candidate, that every criterion at the target level is met independently.</w:t>
      </w:r>
    </w:p>
    <w:p>
      <w:pPr>
        <w:numPr>
          <w:ilvl w:val="0"/>
          <w:numId w:val="1007"/>
        </w:numPr>
        <w:pStyle w:val="Compact"/>
      </w:pPr>
      <w:r>
        <w:t xml:space="preserve">Progress records support the conversation with families about what the next step is and when an assessment is appropriate.</w:t>
      </w:r>
    </w:p>
    <w:p>
      <w:r>
        <w:pict>
          <v:rect style="width:0;height:1.5pt" o:hralign="center" o:hrstd="t" o:hr="t"/>
        </w:pict>
      </w:r>
    </w:p>
    <w:bookmarkEnd w:id="26"/>
    <w:bookmarkStart w:id="27" w:name="X1e05bc9429d80a5e51f1663f735a17020b35c3f"/>
    <w:p>
      <w:pPr>
        <w:pStyle w:val="Heading2"/>
      </w:pPr>
      <w:r>
        <w:t xml:space="preserve">7. The instructor's role in the system</w:t>
      </w:r>
    </w:p>
    <w:p>
      <w:pPr>
        <w:pStyle w:val="FirstParagraph"/>
      </w:pPr>
      <w:r>
        <w:t xml:space="preserve">An instructor's administrative work runs through the BADGES Portal:</w:t>
      </w:r>
    </w:p>
    <w:p>
      <w:pPr>
        <w:numPr>
          <w:ilvl w:val="0"/>
          <w:numId w:val="1008"/>
        </w:numPr>
        <w:pStyle w:val="Compact"/>
      </w:pPr>
      <w:r>
        <w:rPr>
          <w:bCs/>
          <w:b/>
        </w:rPr>
        <w:t xml:space="preserve">Register candidates</w:t>
      </w:r>
      <w:r>
        <w:t xml:space="preserve"> </w:t>
      </w:r>
      <w:r>
        <w:t xml:space="preserve">— a candidate is registered by their instructor or centre (never directly by a parent); an unregistered candidate cannot be assessed.</w:t>
      </w:r>
    </w:p>
    <w:p>
      <w:pPr>
        <w:numPr>
          <w:ilvl w:val="0"/>
          <w:numId w:val="1008"/>
        </w:numPr>
        <w:pStyle w:val="Compact"/>
      </w:pPr>
      <w:r>
        <w:rPr>
          <w:bCs/>
          <w:b/>
        </w:rPr>
        <w:t xml:space="preserve">Issue the claim slip</w:t>
      </w:r>
      <w:r>
        <w:t xml:space="preserve"> </w:t>
      </w:r>
      <w:r>
        <w:t xml:space="preserve">— the Portal generates a claim slip for the family to link to their child's record; the instructor hands this over. The claim code is never printed on a certificate.</w:t>
      </w:r>
    </w:p>
    <w:p>
      <w:pPr>
        <w:numPr>
          <w:ilvl w:val="0"/>
          <w:numId w:val="1008"/>
        </w:numPr>
        <w:pStyle w:val="Compact"/>
      </w:pPr>
      <w:r>
        <w:rPr>
          <w:bCs/>
          <w:b/>
        </w:rPr>
        <w:t xml:space="preserve">Confirm readiness and book the assessment</w:t>
      </w:r>
      <w:r>
        <w:t xml:space="preserve"> </w:t>
      </w:r>
      <w:r>
        <w:t xml:space="preserve">— the instructor validates each candidate's readiness and submits the booking, at least one month before the date, per the Assessment System Handbook.</w:t>
      </w:r>
    </w:p>
    <w:p>
      <w:pPr>
        <w:numPr>
          <w:ilvl w:val="0"/>
          <w:numId w:val="1008"/>
        </w:numPr>
        <w:pStyle w:val="Compact"/>
      </w:pPr>
      <w:r>
        <w:rPr>
          <w:bCs/>
          <w:b/>
        </w:rPr>
        <w:t xml:space="preserve">Stay firewalled from judgement</w:t>
      </w:r>
      <w:r>
        <w:t xml:space="preserve"> </w:t>
      </w:r>
      <w:r>
        <w:t xml:space="preserve">— the instructor prepares and books; the assigned examiner (never the candidate's own instructor) assesses.</w:t>
      </w:r>
    </w:p>
    <w:p>
      <w:r>
        <w:pict>
          <v:rect style="width:0;height:1.5pt" o:hralign="center" o:hrstd="t" o:hr="t"/>
        </w:pict>
      </w:r>
    </w:p>
    <w:bookmarkEnd w:id="27"/>
    <w:bookmarkStart w:id="28" w:name="Xcb5284693b9ab96476a389fce2c865e76854c43"/>
    <w:p>
      <w:pPr>
        <w:pStyle w:val="Heading2"/>
      </w:pPr>
      <w:r>
        <w:t xml:space="preserve">8. Inclusion and adapting for needs</w:t>
      </w:r>
    </w:p>
    <w:p>
      <w:pPr>
        <w:pStyle w:val="FirstParagraph"/>
      </w:pPr>
      <w:r>
        <w:t xml:space="preserve">Instruction is adapted to a swimmer's needs without lowering the standard: pace, support, and communication are adjusted; the</w:t>
      </w:r>
      <w:r>
        <w:t xml:space="preserve"> </w:t>
      </w:r>
      <w:r>
        <w:rPr>
          <w:iCs/>
          <w:i/>
        </w:rPr>
        <w:t xml:space="preserve">competency</w:t>
      </w:r>
      <w:r>
        <w:t xml:space="preserve"> </w:t>
      </w:r>
      <w:r>
        <w:t xml:space="preserve">required at each level is not. Significant or permanent conditions affecting participation are declared and, where they bear on assessment, flagged in advance per the Assessment System Handbook §3.10.</w:t>
      </w:r>
    </w:p>
    <w:p>
      <w:r>
        <w:pict>
          <v:rect style="width:0;height:1.5pt" o:hralign="center" o:hrstd="t" o:hr="t"/>
        </w:pict>
      </w:r>
    </w:p>
    <w:bookmarkEnd w:id="28"/>
    <w:bookmarkStart w:id="29" w:name="X39ee11b5f544615c9851c21d1cff2cce468e931"/>
    <w:p>
      <w:pPr>
        <w:pStyle w:val="Heading2"/>
      </w:pPr>
      <w:r>
        <w:t xml:space="preserve">Annex A — Per-level teaching focus (seeded from the Syllabus)</w:t>
      </w:r>
    </w:p>
    <w:p>
      <w:pPr>
        <w:pStyle w:val="FirstParagraph"/>
      </w:pPr>
      <w:r>
        <w:rPr>
          <w:iCs/>
          <w:i/>
        </w:rPr>
        <w:t xml:space="preserve">This annex restates the Syllabus's Introduce/Reinforce/Develop teaching objectives as the teaching focus for each level. It is the seed; detailed drill libraries and correction progressions are to be authored by the Coaching Panel and Master Trainer.</w:t>
      </w:r>
    </w:p>
    <w:p>
      <w:pPr>
        <w:numPr>
          <w:ilvl w:val="0"/>
          <w:numId w:val="1009"/>
        </w:numPr>
        <w:pStyle w:val="Compact"/>
      </w:pPr>
      <w:r>
        <w:rPr>
          <w:bCs/>
          <w:b/>
        </w:rPr>
        <w:t xml:space="preserve">Level 1 — Starfish.</w:t>
      </w:r>
      <w:r>
        <w:t xml:space="preserve"> </w:t>
      </w:r>
      <w:r>
        <w:rPr>
          <w:iCs/>
          <w:i/>
        </w:rPr>
        <w:t xml:space="preserve">Introduce:</w:t>
      </w:r>
      <w:r>
        <w:t xml:space="preserve"> </w:t>
      </w:r>
      <w:r>
        <w:t xml:space="preserve">pool rules; safe entries/exits; breath control; basic flotation; basic mobility; basic stationary survival.</w:t>
      </w:r>
      <w:r>
        <w:t xml:space="preserve"> </w:t>
      </w:r>
      <w:r>
        <w:rPr>
          <w:iCs/>
          <w:i/>
        </w:rPr>
        <w:t xml:space="preserve">Develop:</w:t>
      </w:r>
      <w:r>
        <w:t xml:space="preserve"> </w:t>
      </w:r>
      <w:r>
        <w:t xml:space="preserve">confidence in water; basic mobility; survival skill.</w:t>
      </w:r>
    </w:p>
    <w:p>
      <w:pPr>
        <w:numPr>
          <w:ilvl w:val="0"/>
          <w:numId w:val="1009"/>
        </w:numPr>
        <w:pStyle w:val="Compact"/>
      </w:pPr>
      <w:r>
        <w:rPr>
          <w:bCs/>
          <w:b/>
        </w:rPr>
        <w:t xml:space="preserve">Level 2 — Sea Turtle.</w:t>
      </w:r>
      <w:r>
        <w:t xml:space="preserve"> </w:t>
      </w:r>
      <w:r>
        <w:rPr>
          <w:iCs/>
          <w:i/>
        </w:rPr>
        <w:t xml:space="preserve">Introduce:</w:t>
      </w:r>
      <w:r>
        <w:t xml:space="preserve"> </w:t>
      </w:r>
      <w:r>
        <w:t xml:space="preserve">self-survival to the wall; basic front and back mobility; basic mobility survival.</w:t>
      </w:r>
      <w:r>
        <w:t xml:space="preserve"> </w:t>
      </w:r>
      <w:r>
        <w:rPr>
          <w:iCs/>
          <w:i/>
        </w:rPr>
        <w:t xml:space="preserve">Reinforce:</w:t>
      </w:r>
      <w:r>
        <w:t xml:space="preserve"> </w:t>
      </w:r>
      <w:r>
        <w:t xml:space="preserve">safe entry/exit; prone/supine body position; streamlined front flutter kick; lateral rotation.</w:t>
      </w:r>
      <w:r>
        <w:t xml:space="preserve"> </w:t>
      </w:r>
      <w:r>
        <w:rPr>
          <w:iCs/>
          <w:i/>
        </w:rPr>
        <w:t xml:space="preserve">Develop:</w:t>
      </w:r>
      <w:r>
        <w:t xml:space="preserve"> </w:t>
      </w:r>
      <w:r>
        <w:t xml:space="preserve">fall-in-turn-grab; basic front crawl and backstroke arms; back flutter kick; reach-and-pull survival.</w:t>
      </w:r>
    </w:p>
    <w:p>
      <w:pPr>
        <w:numPr>
          <w:ilvl w:val="0"/>
          <w:numId w:val="1009"/>
        </w:numPr>
        <w:pStyle w:val="Compact"/>
      </w:pPr>
      <w:r>
        <w:rPr>
          <w:bCs/>
          <w:b/>
        </w:rPr>
        <w:t xml:space="preserve">Level 3 — Guppy.</w:t>
      </w:r>
      <w:r>
        <w:t xml:space="preserve"> </w:t>
      </w:r>
      <w:r>
        <w:rPr>
          <w:iCs/>
          <w:i/>
        </w:rPr>
        <w:t xml:space="preserve">Introduce:</w:t>
      </w:r>
      <w:r>
        <w:t xml:space="preserve"> </w:t>
      </w:r>
      <w:r>
        <w:t xml:space="preserve">front crawl with breathing; underwater mobility; deep-water stationary survival.</w:t>
      </w:r>
      <w:r>
        <w:t xml:space="preserve"> </w:t>
      </w:r>
      <w:r>
        <w:rPr>
          <w:iCs/>
          <w:i/>
        </w:rPr>
        <w:t xml:space="preserve">Reinforce:</w:t>
      </w:r>
      <w:r>
        <w:t xml:space="preserve"> </w:t>
      </w:r>
      <w:r>
        <w:t xml:space="preserve">consistent front crawl and backstroke; efficient survival.</w:t>
      </w:r>
      <w:r>
        <w:t xml:space="preserve"> </w:t>
      </w:r>
      <w:r>
        <w:rPr>
          <w:iCs/>
          <w:i/>
        </w:rPr>
        <w:t xml:space="preserve">Develop:</w:t>
      </w:r>
      <w:r>
        <w:t xml:space="preserve"> </w:t>
      </w:r>
      <w:r>
        <w:t xml:space="preserve">unilateral-breathing front crawl; efficient backstroke; underwater push-off; survival mobility.</w:t>
      </w:r>
    </w:p>
    <w:p>
      <w:pPr>
        <w:numPr>
          <w:ilvl w:val="0"/>
          <w:numId w:val="1009"/>
        </w:numPr>
        <w:pStyle w:val="Compact"/>
      </w:pPr>
      <w:r>
        <w:rPr>
          <w:bCs/>
          <w:b/>
        </w:rPr>
        <w:t xml:space="preserve">Level 4 — Octopus.</w:t>
      </w:r>
      <w:r>
        <w:t xml:space="preserve"> </w:t>
      </w:r>
      <w:r>
        <w:rPr>
          <w:iCs/>
          <w:i/>
        </w:rPr>
        <w:t xml:space="preserve">Introduce:</w:t>
      </w:r>
      <w:r>
        <w:t xml:space="preserve"> </w:t>
      </w:r>
      <w:r>
        <w:t xml:space="preserve">bilateral-breathing front crawl; breaststroke whip kick; sit dive with underwater skill; intermediate mobility survival.</w:t>
      </w:r>
      <w:r>
        <w:t xml:space="preserve"> </w:t>
      </w:r>
      <w:r>
        <w:rPr>
          <w:iCs/>
          <w:i/>
        </w:rPr>
        <w:t xml:space="preserve">Reinforce:</w:t>
      </w:r>
      <w:r>
        <w:t xml:space="preserve"> </w:t>
      </w:r>
      <w:r>
        <w:t xml:space="preserve">efficient front crawl and backstroke; streamlined underwater; survival.</w:t>
      </w:r>
      <w:r>
        <w:t xml:space="preserve"> </w:t>
      </w:r>
      <w:r>
        <w:rPr>
          <w:iCs/>
          <w:i/>
        </w:rPr>
        <w:t xml:space="preserve">Develop:</w:t>
      </w:r>
      <w:r>
        <w:t xml:space="preserve"> </w:t>
      </w:r>
      <w:r>
        <w:t xml:space="preserve">breathing-and-distance front crawl; backstroke distance; sit-dive progression; survival mobility.</w:t>
      </w:r>
    </w:p>
    <w:p>
      <w:pPr>
        <w:numPr>
          <w:ilvl w:val="0"/>
          <w:numId w:val="1009"/>
        </w:numPr>
        <w:pStyle w:val="Compact"/>
      </w:pPr>
      <w:r>
        <w:rPr>
          <w:bCs/>
          <w:b/>
        </w:rPr>
        <w:t xml:space="preserve">Level 5 — Frog.</w:t>
      </w:r>
      <w:r>
        <w:t xml:space="preserve"> </w:t>
      </w:r>
      <w:r>
        <w:rPr>
          <w:iCs/>
          <w:i/>
        </w:rPr>
        <w:t xml:space="preserve">Introduce:</w:t>
      </w:r>
      <w:r>
        <w:t xml:space="preserve"> </w:t>
      </w:r>
      <w:r>
        <w:t xml:space="preserve">breaststroke; dolphin kick; sculling; basic flip turn; squat dive.</w:t>
      </w:r>
      <w:r>
        <w:t xml:space="preserve"> </w:t>
      </w:r>
      <w:r>
        <w:rPr>
          <w:iCs/>
          <w:i/>
        </w:rPr>
        <w:t xml:space="preserve">Reinforce:</w:t>
      </w:r>
      <w:r>
        <w:t xml:space="preserve"> </w:t>
      </w:r>
      <w:r>
        <w:t xml:space="preserve">efficient front crawl and backstroke; dive; streamlined underwater; survival.</w:t>
      </w:r>
      <w:r>
        <w:t xml:space="preserve"> </w:t>
      </w:r>
      <w:r>
        <w:rPr>
          <w:iCs/>
          <w:i/>
        </w:rPr>
        <w:t xml:space="preserve">Develop:</w:t>
      </w:r>
      <w:r>
        <w:t xml:space="preserve"> </w:t>
      </w:r>
      <w:r>
        <w:t xml:space="preserve">front crawl and backstroke distance; full breaststroke; efficient dive/underwater; survival mobility.</w:t>
      </w:r>
    </w:p>
    <w:p>
      <w:pPr>
        <w:numPr>
          <w:ilvl w:val="0"/>
          <w:numId w:val="1009"/>
        </w:numPr>
        <w:pStyle w:val="Compact"/>
      </w:pPr>
      <w:r>
        <w:rPr>
          <w:bCs/>
          <w:b/>
        </w:rPr>
        <w:t xml:space="preserve">Level 6 — Swordfish.</w:t>
      </w:r>
      <w:r>
        <w:t xml:space="preserve"> </w:t>
      </w:r>
      <w:r>
        <w:rPr>
          <w:iCs/>
          <w:i/>
        </w:rPr>
        <w:t xml:space="preserve">Introduce:</w:t>
      </w:r>
      <w:r>
        <w:t xml:space="preserve"> </w:t>
      </w:r>
      <w:r>
        <w:t xml:space="preserve">breaststroke pullout; butterfly; tumble turn; open turn; stand dive; sidestroke.</w:t>
      </w:r>
      <w:r>
        <w:t xml:space="preserve"> </w:t>
      </w:r>
      <w:r>
        <w:rPr>
          <w:iCs/>
          <w:i/>
        </w:rPr>
        <w:t xml:space="preserve">Reinforce:</w:t>
      </w:r>
      <w:r>
        <w:t xml:space="preserve"> </w:t>
      </w:r>
      <w:r>
        <w:t xml:space="preserve">efficient first three strokes; flip turn; dive; sculling; underwater.</w:t>
      </w:r>
      <w:r>
        <w:t xml:space="preserve"> </w:t>
      </w:r>
      <w:r>
        <w:rPr>
          <w:iCs/>
          <w:i/>
        </w:rPr>
        <w:t xml:space="preserve">Develop:</w:t>
      </w:r>
      <w:r>
        <w:t xml:space="preserve"> </w:t>
      </w:r>
      <w:r>
        <w:t xml:space="preserve">stroke distance; full butterfly; turns out of the wall; dive/underwater.</w:t>
      </w:r>
    </w:p>
    <w:p>
      <w:pPr>
        <w:numPr>
          <w:ilvl w:val="0"/>
          <w:numId w:val="1009"/>
        </w:numPr>
        <w:pStyle w:val="Compact"/>
      </w:pPr>
      <w:r>
        <w:rPr>
          <w:bCs/>
          <w:b/>
        </w:rPr>
        <w:t xml:space="preserve">Level 7 — Dolphin.</w:t>
      </w:r>
      <w:r>
        <w:t xml:space="preserve"> </w:t>
      </w:r>
      <w:r>
        <w:rPr>
          <w:iCs/>
          <w:i/>
        </w:rPr>
        <w:t xml:space="preserve">Introduce:</w:t>
      </w:r>
      <w:r>
        <w:t xml:space="preserve"> </w:t>
      </w:r>
      <w:r>
        <w:t xml:space="preserve">high-elbow front crawl; competitive backstroke pull; backstroke dive; Individual Medley; time qualification.</w:t>
      </w:r>
      <w:r>
        <w:t xml:space="preserve"> </w:t>
      </w:r>
      <w:r>
        <w:rPr>
          <w:iCs/>
          <w:i/>
        </w:rPr>
        <w:t xml:space="preserve">Reinforce:</w:t>
      </w:r>
      <w:r>
        <w:t xml:space="preserve"> </w:t>
      </w:r>
      <w:r>
        <w:t xml:space="preserve">efficient four strokes; tumble/open turns; dives; underwater.</w:t>
      </w:r>
      <w:r>
        <w:t xml:space="preserve"> </w:t>
      </w:r>
      <w:r>
        <w:rPr>
          <w:iCs/>
          <w:i/>
        </w:rPr>
        <w:t xml:space="preserve">Develop:</w:t>
      </w:r>
      <w:r>
        <w:t xml:space="preserve"> </w:t>
      </w:r>
      <w:r>
        <w:t xml:space="preserve">four-stroke distance; IM sequence; dive/underwater.</w:t>
      </w:r>
    </w:p>
    <w:bookmarkEnd w:id="29"/>
    <w:bookmarkStart w:id="30" w:name="annex-b--living-annexes-to-be-authored"/>
    <w:p>
      <w:pPr>
        <w:pStyle w:val="Heading2"/>
      </w:pPr>
      <w:r>
        <w:t xml:space="preserve">Annex B — Living annexes to be authored</w:t>
      </w:r>
    </w:p>
    <w:p>
      <w:pPr>
        <w:pStyle w:val="FirstParagraph"/>
      </w:pPr>
      <w:r>
        <w:t xml:space="preserve">The following are required curriculum content, to be developed by the Coaching Panel and Master Trainer and adopted as numbered annexes:</w:t>
      </w:r>
    </w:p>
    <w:p>
      <w:pPr>
        <w:numPr>
          <w:ilvl w:val="0"/>
          <w:numId w:val="1010"/>
        </w:numPr>
        <w:pStyle w:val="Compact"/>
      </w:pPr>
      <w:r>
        <w:t xml:space="preserve">B1 — Drill and progression library per skill and level.</w:t>
      </w:r>
    </w:p>
    <w:p>
      <w:pPr>
        <w:numPr>
          <w:ilvl w:val="0"/>
          <w:numId w:val="1010"/>
        </w:numPr>
        <w:pStyle w:val="Compact"/>
      </w:pPr>
      <w:r>
        <w:t xml:space="preserve">B2 — Common faults and correction cues per stroke.</w:t>
      </w:r>
    </w:p>
    <w:p>
      <w:pPr>
        <w:numPr>
          <w:ilvl w:val="0"/>
          <w:numId w:val="1010"/>
        </w:numPr>
        <w:pStyle w:val="Compact"/>
      </w:pPr>
      <w:r>
        <w:t xml:space="preserve">B3 — Recommended teaching ratios and group sizes by level.</w:t>
      </w:r>
    </w:p>
    <w:p>
      <w:pPr>
        <w:numPr>
          <w:ilvl w:val="0"/>
          <w:numId w:val="1010"/>
        </w:numPr>
        <w:pStyle w:val="Compact"/>
      </w:pPr>
      <w:r>
        <w:t xml:space="preserve">B4 — Session-plan templates and a scheme-of-work across the seven levels.</w:t>
      </w:r>
    </w:p>
    <w:p>
      <w:r>
        <w:pict>
          <v:rect style="width:0;height:1.5pt" o:hralign="center" o:hrstd="t" o:hr="t"/>
        </w:pict>
      </w:r>
    </w:p>
    <w:bookmarkEnd w:id="30"/>
    <w:bookmarkStart w:id="31" w:name="on-the-badges-platform-portal"/>
    <w:p>
      <w:pPr>
        <w:pStyle w:val="Heading2"/>
      </w:pPr>
      <w:r>
        <w:t xml:space="preserve">On the BADGES Platform Portal</w:t>
      </w:r>
    </w:p>
    <w:p>
      <w:pPr>
        <w:pStyle w:val="FirstParagraph"/>
      </w:pPr>
      <w:r>
        <w:t xml:space="preserve">The Portal is where the instructor's preparation work becomes a system record: candidate registration, claim-slip issuance, readiness confirmation, and assessment booking. The Portal enforces the registration gate (no unregistered candidate is assessable) and the firewall (the booking instructor is never assigned as the assessing examiner). This Handbook describes the teaching practice; the Portal carries the administration.</w:t>
      </w:r>
    </w:p>
    <w:p>
      <w:r>
        <w:pict>
          <v:rect style="width:0;height:1.5pt" o:hralign="center" o:hrstd="t" o:hr="t"/>
        </w:pict>
      </w:r>
    </w:p>
    <w:bookmarkEnd w:id="31"/>
    <w:bookmarkStart w:id="32" w:name="version-control"/>
    <w:p>
      <w:pPr>
        <w:pStyle w:val="Heading2"/>
      </w:pPr>
      <w:r>
        <w:t xml:space="preserve">Version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w:t>
            </w:r>
          </w:p>
        </w:tc>
        <w:tc>
          <w:tcPr/>
          <w:p>
            <w:pPr>
              <w:pStyle w:val="Compact"/>
              <w:jc w:val="left"/>
            </w:pPr>
            <w:r>
              <w:t xml:space="preserve">BADGES Teaching System Handbook</w:t>
            </w:r>
          </w:p>
        </w:tc>
      </w:tr>
      <w:tr>
        <w:tc>
          <w:tcPr/>
          <w:p>
            <w:pPr>
              <w:pStyle w:val="Compact"/>
              <w:jc w:val="left"/>
            </w:pPr>
            <w:r>
              <w:t xml:space="preserve">Edition</w:t>
            </w:r>
          </w:p>
        </w:tc>
        <w:tc>
          <w:tcPr/>
          <w:p>
            <w:pPr>
              <w:pStyle w:val="Compact"/>
              <w:jc w:val="left"/>
            </w:pPr>
            <w:r>
              <w:t xml:space="preserve">1.0 (framework + Syllabus-seeded per-level focus)</w:t>
            </w:r>
          </w:p>
        </w:tc>
      </w:tr>
      <w:tr>
        <w:tc>
          <w:tcPr/>
          <w:p>
            <w:pPr>
              <w:pStyle w:val="Compact"/>
              <w:jc w:val="left"/>
            </w:pPr>
            <w:r>
              <w:t xml:space="preserve">Custodian</w:t>
            </w:r>
          </w:p>
        </w:tc>
        <w:tc>
          <w:tcPr/>
          <w:p>
            <w:pPr>
              <w:pStyle w:val="Compact"/>
              <w:jc w:val="left"/>
            </w:pPr>
            <w:r>
              <w:t xml:space="preserve">Coaching &amp; Technical Board, with the BADGES System Master Trainer</w:t>
            </w:r>
          </w:p>
        </w:tc>
      </w:tr>
      <w:tr>
        <w:tc>
          <w:tcPr/>
          <w:p>
            <w:pPr>
              <w:pStyle w:val="Compact"/>
              <w:jc w:val="left"/>
            </w:pPr>
            <w:r>
              <w:t xml:space="preserve">Teaches to</w:t>
            </w:r>
          </w:p>
        </w:tc>
        <w:tc>
          <w:tcPr/>
          <w:p>
            <w:pPr>
              <w:pStyle w:val="Compact"/>
              <w:jc w:val="left"/>
            </w:pPr>
            <w:r>
              <w:t xml:space="preserve">7-Level Syllabus (standard not restated)</w:t>
            </w:r>
          </w:p>
        </w:tc>
      </w:tr>
      <w:tr>
        <w:tc>
          <w:tcPr/>
          <w:p>
            <w:pPr>
              <w:pStyle w:val="Compact"/>
              <w:jc w:val="left"/>
            </w:pPr>
            <w:r>
              <w:t xml:space="preserve">Trains</w:t>
            </w:r>
          </w:p>
        </w:tc>
        <w:tc>
          <w:tcPr/>
          <w:p>
            <w:pPr>
              <w:pStyle w:val="Compact"/>
              <w:jc w:val="left"/>
            </w:pPr>
            <w:r>
              <w:t xml:space="preserve">Instructor Foundation Certification Course</w:t>
            </w:r>
          </w:p>
        </w:tc>
      </w:tr>
      <w:tr>
        <w:tc>
          <w:tcPr/>
          <w:p>
            <w:pPr>
              <w:pStyle w:val="Compact"/>
              <w:jc w:val="left"/>
            </w:pPr>
            <w:r>
              <w:t xml:space="preserve">Executed in</w:t>
            </w:r>
          </w:p>
        </w:tc>
        <w:tc>
          <w:tcPr/>
          <w:p>
            <w:pPr>
              <w:pStyle w:val="Compact"/>
              <w:jc w:val="left"/>
            </w:pPr>
            <w:r>
              <w:t xml:space="preserve">BADGES Platform Portal (instructor administration)</w:t>
            </w:r>
          </w:p>
        </w:tc>
      </w:tr>
      <w:tr>
        <w:tc>
          <w:tcPr/>
          <w:p>
            <w:pPr>
              <w:pStyle w:val="Compact"/>
              <w:jc w:val="left"/>
            </w:pPr>
            <w:r>
              <w:t xml:space="preserve">Open items</w:t>
            </w:r>
          </w:p>
        </w:tc>
        <w:tc>
          <w:tcPr/>
          <w:p>
            <w:pPr>
              <w:pStyle w:val="Compact"/>
              <w:jc w:val="left"/>
            </w:pPr>
            <w:r>
              <w:t xml:space="preserve">Drill/progression libraries (Annex B) require Coaching Panel / Master Trainer authorship; teaching ratios to confirm</w:t>
            </w:r>
          </w:p>
        </w:tc>
      </w:tr>
    </w:tbl>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E2752"/>
      <w:rFonts w:ascii="Arial" w:cs="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E2752"/>
      <w:rFonts w:ascii="Arial" w:cs="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color w:val="1E2752"/>
      <w:rFonts w:ascii="Arial" w:cs="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color w:val="1E2752"/>
      <w:rFonts w:ascii="Arial" w:cs="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color w:val="1E2752"/>
      <w:rFonts w:ascii="Arial" w:cs="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2026-06-25T02:28:30Z</dcterms:created>
  <dcterms:modified xsi:type="dcterms:W3CDTF">2026-06-25T02:28:30Z</dcterms:modified>
</cp:coreProperties>
</file>

<file path=docProps/custom.xml><?xml version="1.0" encoding="utf-8"?>
<Properties xmlns="http://schemas.openxmlformats.org/officeDocument/2006/custom-properties" xmlns:vt="http://schemas.openxmlformats.org/officeDocument/2006/docPropsVTypes"/>
</file>