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200" w:after="60"/>
        <w:jc w:val="center"/>
      </w:pPr>
      <w:r>
        <w:rPr>
          <w:b/>
          <w:bCs/>
          <w:color w:val="1E2752"/>
          <w:sz w:val="44"/>
          <w:szCs w:val="44"/>
        </w:rPr>
        <w:t xml:space="preserve">MAS BADGES — Instructor Certification Course Guide</w:t>
      </w:r>
    </w:p>
    <w:p>
      <w:pPr>
        <w:pBdr>
          <w:bottom w:val="single" w:sz="12" w:color="1E2752"/>
        </w:pBdr>
        <w:spacing w:after="200"/>
      </w:pPr>
    </w:p>
    <w:p>
      <w:pPr>
        <w:spacing w:after="120"/>
      </w:pPr>
      <w:r>
        <w:rPr>
          <w:b/>
          <w:bCs/>
          <w:sz w:val="19"/>
          <w:szCs w:val="19"/>
        </w:rPr>
        <w:t xml:space="preserve">Malaysia Aquatics · Akuatik Malaysia</w:t>
      </w:r>
    </w:p>
    <w:p>
      <w:pPr>
        <w:spacing w:after="120"/>
      </w:pPr>
      <w:r>
        <w:rPr>
          <w:i/>
          <w:iCs/>
          <w:sz w:val="19"/>
          <w:szCs w:val="19"/>
        </w:rPr>
        <w:t xml:space="preserve">The outcomes and criteria for certifying a BADGES Instructor — and the course that delivers them</w:t>
      </w:r>
    </w:p>
    <w:p>
      <w:pPr>
        <w:spacing w:after="120"/>
      </w:pPr>
      <w:r>
        <w:rPr>
          <w:b/>
          <w:bCs/>
          <w:sz w:val="19"/>
          <w:szCs w:val="19"/>
        </w:rPr>
        <w:t>Version 1.0</w:t>
      </w:r>
      <w:r>
        <w:rPr>
          <w:sz w:val="19"/>
          <w:szCs w:val="19"/>
        </w:rPr>
        <w:t xml:space="preserve"> · 4 July 2026 · Delivered by the </w:t>
      </w:r>
      <w:r>
        <w:rPr>
          <w:b/>
          <w:bCs/>
          <w:sz w:val="19"/>
          <w:szCs w:val="19"/>
        </w:rPr>
        <w:t xml:space="preserve">BADGES System Master Trainer</w:t>
      </w:r>
    </w:p>
    <w:p>
      <w:pPr>
        <w:spacing w:after="120"/>
      </w:pPr>
      <w:r>
        <w:rPr>
          <w:sz w:val="19"/>
          <w:szCs w:val="19"/>
        </w:rPr>
        <w:t xml:space="preserve">Trains to the </w:t>
      </w:r>
      <w:r>
        <w:rPr>
          <w:b/>
          <w:bCs/>
          <w:sz w:val="19"/>
          <w:szCs w:val="19"/>
        </w:rPr>
        <w:t xml:space="preserve">Teaching System Handbook</w:t>
      </w:r>
      <w:r>
        <w:rPr>
          <w:sz w:val="19"/>
          <w:szCs w:val="19"/>
        </w:rPr>
        <w:t xml:space="preserve"> (doctrine) and the </w:t>
      </w:r>
      <w:r>
        <w:rPr>
          <w:b/>
          <w:bCs/>
          <w:sz w:val="19"/>
          <w:szCs w:val="19"/>
        </w:rPr>
        <w:t xml:space="preserve">7-Level Syllabus</w:t>
      </w:r>
      <w:r>
        <w:rPr>
          <w:sz w:val="19"/>
          <w:szCs w:val="19"/>
        </w:rPr>
        <w:t xml:space="preserve"> (standard); the prerequisite for the </w:t>
      </w:r>
      <w:r>
        <w:rPr>
          <w:b/>
          <w:bCs/>
          <w:sz w:val="19"/>
          <w:szCs w:val="19"/>
        </w:rPr>
        <w:t xml:space="preserve">Examiner Certification Course Guide</w:t>
      </w:r>
      <w:r>
        <w:rPr>
          <w:sz w:val="19"/>
          <w:szCs w:val="19"/>
        </w:rPr>
        <w:t xml:space="preserve">; executed in the </w:t>
      </w:r>
      <w:r>
        <w:rPr>
          <w:b/>
          <w:bCs/>
          <w:sz w:val="19"/>
          <w:szCs w:val="19"/>
        </w:rPr>
        <w:t xml:space="preserve">BADGES Platform Portal</w:t>
      </w:r>
      <w:r>
        <w:rPr>
          <w:sz w:val="19"/>
          <w:szCs w:val="19"/>
        </w:rPr>
        <w:t xml:space="preserve">.</w:t>
      </w:r>
    </w:p>
    <w:p>
      <w:pPr>
        <w:spacing w:after="80"/>
      </w:pPr>
    </w:p>
    <w:p>
      <w:pPr>
        <w:keepNext/>
        <w:spacing w:before="220" w:after="90"/>
      </w:pPr>
      <w:r>
        <w:rPr>
          <w:b/>
          <w:bCs/>
          <w:color w:val="1E2752"/>
          <w:sz w:val="27"/>
          <w:szCs w:val="27"/>
        </w:rPr>
        <w:t xml:space="preserve">About this Guide</w:t>
      </w:r>
    </w:p>
    <w:p>
      <w:pPr>
        <w:spacing w:after="120"/>
      </w:pPr>
      <w:r>
        <w:rPr>
          <w:sz w:val="19"/>
          <w:szCs w:val="19"/>
        </w:rPr>
        <w:t xml:space="preserve">This Guide specifies what it takes to become a </w:t>
      </w:r>
      <w:r>
        <w:rPr>
          <w:b/>
          <w:bCs/>
          <w:sz w:val="19"/>
          <w:szCs w:val="19"/>
        </w:rPr>
        <w:t xml:space="preserve">BADGES Certified Instructor</w:t>
      </w:r>
      <w:r>
        <w:rPr>
          <w:sz w:val="19"/>
          <w:szCs w:val="19"/>
        </w:rPr>
        <w:t xml:space="preserve">: who may apply, what the course covers, how the candidate is assessed, and what keeps the certification current. It </w:t>
      </w:r>
      <w:r>
        <w:rPr>
          <w:b/>
          <w:bCs/>
          <w:sz w:val="19"/>
          <w:szCs w:val="19"/>
        </w:rPr>
        <w:t xml:space="preserve">certifies to the doctrine</w:t>
      </w:r>
      <w:r>
        <w:rPr>
          <w:sz w:val="19"/>
          <w:szCs w:val="19"/>
        </w:rPr>
        <w:t xml:space="preserve"> of the Teaching System Handbook and </w:t>
      </w:r>
      <w:r>
        <w:rPr>
          <w:b/>
          <w:bCs/>
          <w:sz w:val="19"/>
          <w:szCs w:val="19"/>
        </w:rPr>
        <w:t xml:space="preserve">to the standard</w:t>
      </w:r>
      <w:r>
        <w:rPr>
          <w:sz w:val="19"/>
          <w:szCs w:val="19"/>
        </w:rPr>
        <w:t xml:space="preserve"> of the 7-Level Syllabus, and it includes a </w:t>
      </w:r>
      <w:r>
        <w:rPr>
          <w:b/>
          <w:bCs/>
          <w:sz w:val="19"/>
          <w:szCs w:val="19"/>
        </w:rPr>
        <w:t xml:space="preserve">mandatory Portal-competency module</w:t>
      </w:r>
      <w:r>
        <w:rPr>
          <w:sz w:val="19"/>
          <w:szCs w:val="19"/>
        </w:rPr>
        <w:t xml:space="preserve"> — no one is certified who cannot operate the Portal for the instructor role.</w:t>
      </w:r>
    </w:p>
    <w:p>
      <w:pPr>
        <w:spacing w:after="120"/>
      </w:pPr>
      <w:r>
        <w:rPr>
          <w:b/>
          <w:bCs/>
          <w:sz w:val="19"/>
          <w:szCs w:val="19"/>
        </w:rPr>
        <w:t xml:space="preserve">Delivery and custody.</w:t>
      </w:r>
      <w:r>
        <w:rPr>
          <w:sz w:val="19"/>
          <w:szCs w:val="19"/>
        </w:rPr>
        <w:t xml:space="preserve"> The course is developed and delivered by the </w:t>
      </w:r>
      <w:r>
        <w:rPr>
          <w:b/>
          <w:bCs/>
          <w:sz w:val="19"/>
          <w:szCs w:val="19"/>
        </w:rPr>
        <w:t xml:space="preserve">BADGES System Master Trainer</w:t>
      </w:r>
      <w:r>
        <w:rPr>
          <w:sz w:val="19"/>
          <w:szCs w:val="19"/>
        </w:rPr>
        <w:t xml:space="preserve">, with the Coaching Panel's approval of materials. Revisions follow the standard route: Master Trainer proposes → Coaching Panel approves → MAS Board ratifies.</w:t>
      </w:r>
    </w:p>
    <w:p>
      <w:pPr>
        <w:keepNext/>
        <w:spacing w:before="220" w:after="90"/>
      </w:pPr>
      <w:r>
        <w:rPr>
          <w:b/>
          <w:bCs/>
          <w:color w:val="1E2752"/>
          <w:sz w:val="27"/>
          <w:szCs w:val="27"/>
        </w:rPr>
        <w:t xml:space="preserve">1. Outcomes — what a certified instructor can do</w:t>
      </w:r>
    </w:p>
    <w:p>
      <w:pPr>
        <w:spacing w:after="120"/>
      </w:pPr>
      <w:r>
        <w:rPr>
          <w:sz w:val="19"/>
          <w:szCs w:val="19"/>
        </w:rPr>
        <w:t xml:space="preserve">On certification, a BADGES Instructor can:</w:t>
      </w:r>
    </w:p>
    <w:p>
      <w:pPr>
        <w:spacing w:after="40"/>
        <w:ind w:left="360" w:hanging="360"/>
      </w:pPr>
      <w:r>
        <w:rPr>
          <w:sz w:val="19"/>
        </w:rPr>
        <w:t xml:space="preserve">•  </w:t>
      </w:r>
      <w:r>
        <w:rPr>
          <w:sz w:val="19"/>
          <w:szCs w:val="19"/>
        </w:rPr>
        <w:t xml:space="preserve">Teach all seven levels using the IRD method, building genuine, transferable technique to the Syllabus standard.</w:t>
      </w:r>
    </w:p>
    <w:p>
      <w:pPr>
        <w:spacing w:after="40"/>
        <w:ind w:left="360" w:hanging="360"/>
      </w:pPr>
      <w:r>
        <w:rPr>
          <w:sz w:val="19"/>
        </w:rPr>
        <w:t xml:space="preserve">•  </w:t>
      </w:r>
      <w:r>
        <w:rPr>
          <w:sz w:val="19"/>
          <w:szCs w:val="19"/>
        </w:rPr>
        <w:t xml:space="preserve">Plan and run safe, well-managed lessons with appropriate supervision and ratios.</w:t>
      </w:r>
    </w:p>
    <w:p>
      <w:pPr>
        <w:spacing w:after="40"/>
        <w:ind w:left="360" w:hanging="360"/>
      </w:pPr>
      <w:r>
        <w:rPr>
          <w:sz w:val="19"/>
        </w:rPr>
        <w:t xml:space="preserve">•  </w:t>
      </w:r>
      <w:r>
        <w:rPr>
          <w:sz w:val="19"/>
          <w:szCs w:val="19"/>
        </w:rPr>
        <w:t xml:space="preserve">Uphold water safety and safeguarding throughout delivery.</w:t>
      </w:r>
    </w:p>
    <w:p>
      <w:pPr>
        <w:spacing w:after="40"/>
        <w:ind w:left="360" w:hanging="360"/>
      </w:pPr>
      <w:r>
        <w:rPr>
          <w:sz w:val="19"/>
        </w:rPr>
        <w:t xml:space="preserve">•  </w:t>
      </w:r>
      <w:r>
        <w:rPr>
          <w:sz w:val="19"/>
          <w:szCs w:val="19"/>
        </w:rPr>
        <w:t xml:space="preserve">Judge readiness honestly and prepare a swimmer for independent assessment without teaching to the test.</w:t>
      </w:r>
    </w:p>
    <w:p>
      <w:pPr>
        <w:spacing w:after="40"/>
        <w:ind w:left="360" w:hanging="360"/>
      </w:pPr>
      <w:r>
        <w:rPr>
          <w:sz w:val="19"/>
        </w:rPr>
        <w:t xml:space="preserve">•  </w:t>
      </w:r>
      <w:r>
        <w:rPr>
          <w:sz w:val="19"/>
          <w:szCs w:val="19"/>
        </w:rPr>
        <w:t xml:space="preserve">Operate the BADGES Portal — register candidates, issue claim slips, confirm readiness, and book assessments — never assessing their own swimmers (the separation of roles).</w:t>
      </w:r>
    </w:p>
    <w:p>
      <w:pPr>
        <w:keepNext/>
        <w:spacing w:before="220" w:after="90"/>
      </w:pPr>
      <w:r>
        <w:rPr>
          <w:b/>
          <w:bCs/>
          <w:color w:val="1E2752"/>
          <w:sz w:val="27"/>
          <w:szCs w:val="27"/>
        </w:rPr>
        <w:t xml:space="preserve">2. Eligibility and prerequisites</w:t>
      </w:r>
    </w:p>
    <w:p>
      <w:pPr>
        <w:spacing w:after="120"/>
      </w:pPr>
      <w:r>
        <w:rPr>
          <w:sz w:val="19"/>
          <w:szCs w:val="19"/>
        </w:rPr>
        <w:t xml:space="preserve">The BADGES Instructor certification is awarded through this course; it is the single, current instructor credential and national standard (OD-1). A candidate must:</w:t>
      </w:r>
    </w:p>
    <w:p>
      <w:pPr>
        <w:spacing w:after="40"/>
        <w:ind w:left="360" w:hanging="360"/>
      </w:pPr>
      <w:r>
        <w:rPr>
          <w:sz w:val="19"/>
        </w:rPr>
        <w:t xml:space="preserve">•  </w:t>
      </w:r>
      <w:r>
        <w:rPr>
          <w:b/>
          <w:bCs/>
          <w:sz w:val="19"/>
          <w:szCs w:val="19"/>
        </w:rPr>
        <w:t xml:space="preserve">Swimming-competency baseline (SO-01).</w:t>
      </w:r>
      <w:r>
        <w:rPr>
          <w:sz w:val="19"/>
          <w:szCs w:val="19"/>
        </w:rPr>
        <w:t xml:space="preserve"> Demonstrate personal competence to about </w:t>
      </w:r>
      <w:r>
        <w:rPr>
          <w:b/>
          <w:bCs/>
          <w:sz w:val="19"/>
          <w:szCs w:val="19"/>
        </w:rPr>
        <w:t xml:space="preserve">Dolphin (Level 7) standard, without the competitive time qualifications</w:t>
      </w:r>
      <w:r>
        <w:rPr>
          <w:sz w:val="19"/>
          <w:szCs w:val="19"/>
        </w:rPr>
        <w:t xml:space="preserve">: swim 50 m each of front crawl, backstroke, and breaststroke; 25 m butterfly; tread water 2 minutes; perform a feet-first surface dive and a safe dive entry; and scull. Assessed at the course by the Master Trainer, or accepted on documented evidence of equivalent prior qualification.</w:t>
      </w:r>
    </w:p>
    <w:p>
      <w:pPr>
        <w:spacing w:after="40"/>
        <w:ind w:left="360" w:hanging="360"/>
      </w:pPr>
      <w:r>
        <w:rPr>
          <w:sz w:val="19"/>
        </w:rPr>
        <w:t xml:space="preserve">•  </w:t>
      </w:r>
      <w:r>
        <w:rPr>
          <w:sz w:val="19"/>
          <w:szCs w:val="19"/>
        </w:rPr>
        <w:t xml:space="preserve">Hold a valid </w:t>
      </w:r>
      <w:r>
        <w:rPr>
          <w:b/>
          <w:bCs/>
          <w:sz w:val="19"/>
          <w:szCs w:val="19"/>
        </w:rPr>
        <w:t xml:space="preserve">First Aid/CPR, Bronze Medallion, or equivalent</w:t>
      </w:r>
      <w:r>
        <w:rPr>
          <w:sz w:val="19"/>
          <w:szCs w:val="19"/>
        </w:rPr>
        <w:t xml:space="preserve"> lifesaving certification — the same baseline required to act as a Water-Safety Supervisor on assessment day.</w:t>
      </w:r>
    </w:p>
    <w:p>
      <w:pPr>
        <w:spacing w:after="40"/>
        <w:ind w:left="360" w:hanging="360"/>
      </w:pPr>
      <w:r>
        <w:rPr>
          <w:sz w:val="19"/>
        </w:rPr>
        <w:t xml:space="preserve">•  </w:t>
      </w:r>
      <w:r>
        <w:rPr>
          <w:sz w:val="19"/>
          <w:szCs w:val="19"/>
        </w:rPr>
        <w:t xml:space="preserve">Be in </w:t>
      </w:r>
      <w:r>
        <w:rPr>
          <w:b/>
          <w:bCs/>
          <w:sz w:val="19"/>
          <w:szCs w:val="19"/>
        </w:rPr>
        <w:t xml:space="preserve">Good Standing</w:t>
      </w:r>
      <w:r>
        <w:rPr>
          <w:sz w:val="19"/>
          <w:szCs w:val="19"/>
        </w:rPr>
        <w:t xml:space="preserve"> — no current MAS disciplinary action, no disqualifying record; signs a Good Standing declaration and completes child-protection screening.</w:t>
      </w:r>
    </w:p>
    <w:p>
      <w:pPr>
        <w:spacing w:after="120"/>
      </w:pPr>
      <w:r>
        <w:rPr>
          <w:b/>
          <w:bCs/>
          <w:sz w:val="19"/>
          <w:szCs w:val="19"/>
        </w:rPr>
        <w:t xml:space="preserve">Legacy instructors.</w:t>
      </w:r>
      <w:r>
        <w:rPr>
          <w:sz w:val="19"/>
          <w:szCs w:val="19"/>
        </w:rPr>
        <w:t xml:space="preserve"> A prior MAS instructor certification is </w:t>
      </w:r>
      <w:r>
        <w:rPr>
          <w:b/>
          <w:bCs/>
          <w:sz w:val="19"/>
          <w:szCs w:val="19"/>
        </w:rPr>
        <w:t xml:space="preserve">recognised for standing</w:t>
      </w:r>
      <w:r>
        <w:rPr>
          <w:sz w:val="19"/>
          <w:szCs w:val="19"/>
        </w:rPr>
        <w:t xml:space="preserve"> but does not by itself confer the BADGES Instructor certification, because the syllabus content is materially new. Legacy instructors gain the BADGES certification — and the public directory listing — by sitting this course as a </w:t>
      </w:r>
      <w:r>
        <w:rPr>
          <w:b/>
          <w:bCs/>
          <w:sz w:val="19"/>
          <w:szCs w:val="19"/>
        </w:rPr>
        <w:t xml:space="preserve">refresher at a discounted fee</w:t>
      </w:r>
      <w:r>
        <w:rPr>
          <w:sz w:val="19"/>
          <w:szCs w:val="19"/>
        </w:rPr>
        <w:t xml:space="preserve"> (OD-1).</w:t>
      </w:r>
    </w:p>
    <w:p>
      <w:pPr>
        <w:keepNext/>
        <w:spacing w:before="220" w:after="90"/>
      </w:pPr>
      <w:r>
        <w:rPr>
          <w:b/>
          <w:bCs/>
          <w:color w:val="1E2752"/>
          <w:sz w:val="27"/>
          <w:szCs w:val="27"/>
        </w:rPr>
        <w:t xml:space="preserve">3. Application pathway</w:t>
      </w:r>
    </w:p>
    <w:p>
      <w:pPr>
        <w:spacing w:after="40"/>
        <w:ind w:left="360" w:hanging="360"/>
      </w:pPr>
      <w:r>
        <w:rPr>
          <w:sz w:val="19"/>
        </w:rPr>
        <w:t xml:space="preserve">1.  </w:t>
      </w:r>
      <w:r>
        <w:rPr>
          <w:sz w:val="19"/>
          <w:szCs w:val="19"/>
        </w:rPr>
        <w:t xml:space="preserve">Submit the </w:t>
      </w:r>
      <w:r>
        <w:rPr>
          <w:b/>
          <w:bCs/>
          <w:sz w:val="19"/>
          <w:szCs w:val="19"/>
        </w:rPr>
        <w:t xml:space="preserve">Instructor Application</w:t>
      </w:r>
      <w:r>
        <w:rPr>
          <w:sz w:val="19"/>
          <w:szCs w:val="19"/>
        </w:rPr>
        <w:t xml:space="preserve"> in the Portal with proof of the swimming-competency baseline, lifesaving certification, the Good Standing declaration, and child-protection screening.</w:t>
      </w:r>
    </w:p>
    <w:p>
      <w:pPr>
        <w:spacing w:after="40"/>
        <w:ind w:left="360" w:hanging="360"/>
      </w:pPr>
      <w:r>
        <w:rPr>
          <w:sz w:val="19"/>
        </w:rPr>
        <w:t xml:space="preserve">2.  </w:t>
      </w:r>
      <w:r>
        <w:rPr>
          <w:sz w:val="19"/>
          <w:szCs w:val="19"/>
        </w:rPr>
        <w:t xml:space="preserve">Pay the course registration fee (legacy instructors: the </w:t>
      </w:r>
      <w:r>
        <w:rPr>
          <w:b/>
          <w:bCs/>
          <w:sz w:val="19"/>
          <w:szCs w:val="19"/>
        </w:rPr>
        <w:t xml:space="preserve">discounted refresher rate</w:t>
      </w:r>
      <w:r>
        <w:rPr>
          <w:sz w:val="19"/>
          <w:szCs w:val="19"/>
        </w:rPr>
        <w:t xml:space="preserve">). The quantum is held in the Portal fee schedule.</w:t>
      </w:r>
    </w:p>
    <w:p>
      <w:pPr>
        <w:spacing w:after="40"/>
        <w:ind w:left="360" w:hanging="360"/>
      </w:pPr>
      <w:r>
        <w:rPr>
          <w:sz w:val="19"/>
        </w:rPr>
        <w:t xml:space="preserve">3.  </w:t>
      </w:r>
      <w:r>
        <w:rPr>
          <w:sz w:val="19"/>
          <w:szCs w:val="19"/>
        </w:rPr>
        <w:t xml:space="preserve">Attend the full </w:t>
      </w:r>
      <w:r>
        <w:rPr>
          <w:b/>
          <w:bCs/>
          <w:sz w:val="19"/>
          <w:szCs w:val="19"/>
        </w:rPr>
        <w:t xml:space="preserve">BADGES Instructor Certification Course</w:t>
      </w:r>
      <w:r>
        <w:rPr>
          <w:sz w:val="19"/>
          <w:szCs w:val="19"/>
        </w:rPr>
        <w:t xml:space="preserve"> (§5).</w:t>
      </w:r>
    </w:p>
    <w:p>
      <w:pPr>
        <w:spacing w:after="40"/>
        <w:ind w:left="360" w:hanging="360"/>
      </w:pPr>
      <w:r>
        <w:rPr>
          <w:sz w:val="19"/>
        </w:rPr>
        <w:t xml:space="preserve">4.  </w:t>
      </w:r>
      <w:r>
        <w:rPr>
          <w:sz w:val="19"/>
          <w:szCs w:val="19"/>
        </w:rPr>
        <w:t xml:space="preserve">Meet the </w:t>
      </w:r>
      <w:r>
        <w:rPr>
          <w:b/>
          <w:bCs/>
          <w:sz w:val="19"/>
          <w:szCs w:val="19"/>
        </w:rPr>
        <w:t xml:space="preserve">pass requirements</w:t>
      </w:r>
      <w:r>
        <w:rPr>
          <w:sz w:val="19"/>
          <w:szCs w:val="19"/>
        </w:rPr>
        <w:t xml:space="preserve"> (§7).</w:t>
      </w:r>
    </w:p>
    <w:p>
      <w:pPr>
        <w:spacing w:after="40"/>
        <w:ind w:left="360" w:hanging="360"/>
      </w:pPr>
      <w:r>
        <w:rPr>
          <w:sz w:val="19"/>
        </w:rPr>
        <w:t xml:space="preserve">5.  </w:t>
      </w:r>
      <w:r>
        <w:rPr>
          <w:sz w:val="19"/>
          <w:szCs w:val="19"/>
        </w:rPr>
        <w:t xml:space="preserve">On certification, the Master Trainer marks the candidate certified, triggering Portal onboarding (§9) and eligibility for the public directory (§9).</w:t>
      </w:r>
    </w:p>
    <w:p>
      <w:pPr>
        <w:keepNext/>
        <w:spacing w:before="220" w:after="90"/>
      </w:pPr>
      <w:r>
        <w:rPr>
          <w:b/>
          <w:bCs/>
          <w:color w:val="1E2752"/>
          <w:sz w:val="27"/>
          <w:szCs w:val="27"/>
        </w:rPr>
        <w:t xml:space="preserve">4. The Master Trainer</w:t>
      </w:r>
    </w:p>
    <w:p>
      <w:pPr>
        <w:spacing w:after="120"/>
      </w:pPr>
      <w:r>
        <w:rPr>
          <w:sz w:val="19"/>
          <w:szCs w:val="19"/>
        </w:rPr>
        <w:t xml:space="preserve">The </w:t>
      </w:r>
      <w:r>
        <w:rPr>
          <w:b/>
          <w:bCs/>
          <w:sz w:val="19"/>
          <w:szCs w:val="19"/>
        </w:rPr>
        <w:t xml:space="preserve">Master Trainer</w:t>
      </w:r>
      <w:r>
        <w:rPr>
          <w:sz w:val="19"/>
          <w:szCs w:val="19"/>
        </w:rPr>
        <w:t xml:space="preserve"> develops and delivers the BADGES certification courses in cycles tied to intakes. The role is unified (OD-2) — one Master Trainer trains </w:t>
      </w:r>
      <w:r>
        <w:rPr>
          <w:b/>
          <w:bCs/>
          <w:sz w:val="19"/>
          <w:szCs w:val="19"/>
        </w:rPr>
        <w:t xml:space="preserve">both instructors and examiners</w:t>
      </w:r>
      <w:r>
        <w:rPr>
          <w:sz w:val="19"/>
          <w:szCs w:val="19"/>
        </w:rPr>
        <w:t xml:space="preserve">; this Guide is the instructor stream. For the instructor stream the Master Trainer develops methodology and materials (Coaching Panel approved), plans and delivers each intake, leads the practical teaching assessment, recommends certification, submits a course report after each intake, and refreshes materials in line with Handbook and Syllabus changes.</w:t>
      </w:r>
    </w:p>
    <w:p>
      <w:pPr>
        <w:keepNext/>
        <w:spacing w:before="220" w:after="90"/>
      </w:pPr>
      <w:r>
        <w:rPr>
          <w:b/>
          <w:bCs/>
          <w:color w:val="1E2752"/>
          <w:sz w:val="27"/>
          <w:szCs w:val="27"/>
        </w:rPr>
        <w:t xml:space="preserve">5. The course — format and structure</w:t>
      </w:r>
    </w:p>
    <w:p>
      <w:pPr>
        <w:spacing w:after="120"/>
      </w:pPr>
      <w:r>
        <w:rPr>
          <w:sz w:val="19"/>
          <w:szCs w:val="19"/>
        </w:rPr>
        <w:t xml:space="preserve">A </w:t>
      </w:r>
      <w:r>
        <w:rPr>
          <w:b/>
          <w:bCs/>
          <w:sz w:val="19"/>
          <w:szCs w:val="19"/>
        </w:rPr>
        <w:t xml:space="preserve">multi-day course</w:t>
      </w:r>
      <w:r>
        <w:rPr>
          <w:sz w:val="19"/>
          <w:szCs w:val="19"/>
        </w:rPr>
        <w:t xml:space="preserve"> (indicatively three days, ~20 contact hours — Appendix A) combining classroom and poolside delivery, with class size capped so every candidate receives an individual practical teaching assessment. </w:t>
      </w:r>
      <w:r>
        <w:rPr>
          <w:b/>
          <w:bCs/>
          <w:sz w:val="19"/>
          <w:szCs w:val="19"/>
        </w:rPr>
        <w:t xml:space="preserve">Attendance at every module is compulsory</w:t>
      </w:r>
      <w:r>
        <w:rPr>
          <w:sz w:val="19"/>
          <w:szCs w:val="19"/>
        </w:rPr>
        <w:t xml:space="preserve">; a missed module means repeating the full course. No partial completions.</w:t>
      </w:r>
    </w:p>
    <w:p>
      <w:pPr>
        <w:keepNext/>
        <w:spacing w:before="220" w:after="90"/>
      </w:pPr>
      <w:r>
        <w:rPr>
          <w:b/>
          <w:bCs/>
          <w:color w:val="1E2752"/>
          <w:sz w:val="27"/>
          <w:szCs w:val="27"/>
        </w:rPr>
        <w:t xml:space="preserve">6. The modules</w:t>
      </w:r>
    </w:p>
    <w:p>
      <w:pPr>
        <w:keepNext/>
        <w:spacing w:before="160" w:after="70"/>
      </w:pPr>
      <w:r>
        <w:rPr>
          <w:b/>
          <w:bCs/>
          <w:color w:val="1E2752"/>
          <w:sz w:val="23"/>
          <w:szCs w:val="23"/>
        </w:rPr>
        <w:t xml:space="preserve">M1 · Programme &amp; Governance *(classroom)*</w:t>
      </w:r>
    </w:p>
    <w:p>
      <w:pPr>
        <w:spacing w:after="120"/>
      </w:pPr>
      <w:r>
        <w:rPr>
          <w:sz w:val="19"/>
          <w:szCs w:val="19"/>
        </w:rPr>
        <w:t xml:space="preserve">MAS structure and the BADGES document system; the 7-level pathway; where the instructor fits; the separation of instructing and examining.</w:t>
      </w:r>
    </w:p>
    <w:p>
      <w:pPr>
        <w:keepNext/>
        <w:spacing w:before="160" w:after="70"/>
      </w:pPr>
      <w:r>
        <w:rPr>
          <w:b/>
          <w:bCs/>
          <w:color w:val="1E2752"/>
          <w:sz w:val="23"/>
          <w:szCs w:val="23"/>
        </w:rPr>
        <w:t xml:space="preserve">M2 · The 7-Level Syllabus, taught *(classroom + pool)*</w:t>
      </w:r>
    </w:p>
    <w:p>
      <w:pPr>
        <w:spacing w:after="120"/>
      </w:pPr>
      <w:r>
        <w:rPr>
          <w:sz w:val="19"/>
          <w:szCs w:val="19"/>
        </w:rPr>
        <w:t xml:space="preserve">A walk-through of every level's outcomes from a </w:t>
      </w:r>
      <w:r>
        <w:rPr>
          <w:i/>
          <w:iCs/>
          <w:sz w:val="19"/>
          <w:szCs w:val="19"/>
        </w:rPr>
        <w:t xml:space="preserve">teaching</w:t>
      </w:r>
      <w:r>
        <w:rPr>
          <w:sz w:val="19"/>
          <w:szCs w:val="19"/>
        </w:rPr>
        <w:t xml:space="preserve"> lens; what "ready" looks like per level; how the IRD focus (Handbook Annex A) maps to each level.</w:t>
      </w:r>
    </w:p>
    <w:p>
      <w:pPr>
        <w:keepNext/>
        <w:spacing w:before="160" w:after="70"/>
      </w:pPr>
      <w:r>
        <w:rPr>
          <w:b/>
          <w:bCs/>
          <w:color w:val="1E2752"/>
          <w:sz w:val="23"/>
          <w:szCs w:val="23"/>
        </w:rPr>
        <w:t xml:space="preserve">M3 · Swimming on Video *(classroom)*</w:t>
      </w:r>
    </w:p>
    <w:p>
      <w:pPr>
        <w:spacing w:after="120"/>
      </w:pPr>
      <w:r>
        <w:rPr>
          <w:sz w:val="19"/>
          <w:szCs w:val="19"/>
        </w:rPr>
        <w:t xml:space="preserve">A filmed walkthrough of each level's standard in the water. Candidates watch real swimmers at each level demonstrating the assessment criteria — competent performance and common faults — then discuss the judging call. Bridges M2 (knowing the criteria) and M4 (learning the teaching method): you see what "ready" looks like before you learn how to build it.</w:t>
      </w:r>
    </w:p>
    <w:p>
      <w:pPr>
        <w:keepNext/>
        <w:spacing w:before="160" w:after="70"/>
      </w:pPr>
      <w:r>
        <w:rPr>
          <w:b/>
          <w:bCs/>
          <w:color w:val="1E2752"/>
          <w:sz w:val="23"/>
          <w:szCs w:val="23"/>
        </w:rPr>
        <w:t xml:space="preserve">M4 · The IRD Teaching Method *(classroom + pool)*</w:t>
      </w:r>
    </w:p>
    <w:p>
      <w:pPr>
        <w:spacing w:after="120"/>
      </w:pPr>
      <w:r>
        <w:rPr>
          <w:sz w:val="19"/>
          <w:szCs w:val="19"/>
        </w:rPr>
        <w:t xml:space="preserve">Introduce → Reinforce → Develop; building technique, not teaching to the test. Uses the drill &amp; progression library (Handbook Annex B1) and the common faults &amp; correction cues (Handbook Annex B2). Candidates practise diagnosing a fault, naming its cause, and giving a correction cue.</w:t>
      </w:r>
    </w:p>
    <w:p>
      <w:pPr>
        <w:keepNext/>
        <w:spacing w:before="160" w:after="70"/>
      </w:pPr>
      <w:r>
        <w:rPr>
          <w:b/>
          <w:bCs/>
          <w:color w:val="1E2752"/>
          <w:sz w:val="23"/>
          <w:szCs w:val="23"/>
        </w:rPr>
        <w:t xml:space="preserve">M5 · Lesson Delivery &amp; Class Management *(classroom + pool)*</w:t>
      </w:r>
    </w:p>
    <w:p>
      <w:pPr>
        <w:spacing w:after="120"/>
      </w:pPr>
      <w:r>
        <w:rPr>
          <w:sz w:val="19"/>
          <w:szCs w:val="19"/>
        </w:rPr>
        <w:t xml:space="preserve">The standard lesson shape; supervision and ratios (max 1:6, Handbook Annex B3); formations and keeping every swimmer moving; language and demonstration; managing mixed-ability groups safely. Plans built on the Annex B4 template.</w:t>
      </w:r>
    </w:p>
    <w:p>
      <w:pPr>
        <w:keepNext/>
        <w:spacing w:before="160" w:after="70"/>
      </w:pPr>
      <w:r>
        <w:rPr>
          <w:b/>
          <w:bCs/>
          <w:color w:val="1E2752"/>
          <w:sz w:val="23"/>
          <w:szCs w:val="23"/>
        </w:rPr>
        <w:t xml:space="preserve">M6 · Safe Teaching Methods &amp; Teaching Position *(classroom + pool)*</w:t>
      </w:r>
    </w:p>
    <w:p>
      <w:pPr>
        <w:spacing w:after="120"/>
      </w:pPr>
      <w:r>
        <w:rPr>
          <w:sz w:val="19"/>
          <w:szCs w:val="19"/>
        </w:rPr>
        <w:t xml:space="preserve">Poolside-first, in-water only by risk-assessed decision; the mid-chest depth limit; an open, visible posture with hands in sight; not demonstrating strokes yourself (a capable swimmer demonstrates while you watch the group); the two teaching positions and line of sight (</w:t>
      </w:r>
      <w:r>
        <w:rPr>
          <w:b/>
          <w:bCs/>
          <w:sz w:val="19"/>
          <w:szCs w:val="19"/>
        </w:rPr>
        <w:t xml:space="preserve">Appendix G</w:t>
      </w:r>
      <w:r>
        <w:rPr>
          <w:sz w:val="19"/>
          <w:szCs w:val="19"/>
        </w:rPr>
        <w:t xml:space="preserve">); consent-based manual support using approved holds only; professional presentation; the always-present poolside observer; and safe fatigue limits. </w:t>
      </w:r>
      <w:r>
        <w:rPr>
          <w:i/>
          <w:iCs/>
          <w:sz w:val="19"/>
          <w:szCs w:val="19"/>
        </w:rPr>
        <w:t xml:space="preserve">Outcome:</w:t>
      </w:r>
      <w:r>
        <w:rPr>
          <w:sz w:val="19"/>
          <w:szCs w:val="19"/>
        </w:rPr>
        <w:t xml:space="preserve"> the candidate chooses the safest effective position and keeps every swimmer in view.</w:t>
      </w:r>
    </w:p>
    <w:p>
      <w:pPr>
        <w:keepNext/>
        <w:spacing w:before="160" w:after="70"/>
      </w:pPr>
      <w:r>
        <w:rPr>
          <w:b/>
          <w:bCs/>
          <w:color w:val="1E2752"/>
          <w:sz w:val="23"/>
          <w:szCs w:val="23"/>
        </w:rPr>
        <w:t xml:space="preserve">M7 · Instructor Safety Responsibilities &amp; Emergency Readiness *(classroom)*</w:t>
      </w:r>
    </w:p>
    <w:p>
      <w:pPr>
        <w:spacing w:after="120"/>
      </w:pPr>
      <w:r>
        <w:rPr>
          <w:sz w:val="19"/>
          <w:szCs w:val="19"/>
        </w:rPr>
        <w:t xml:space="preserve">Owning the safety of the teaching environment; foreseeing and controlling risk before swimmers enter the water; knowing the venue rules, Emergency Action Plan, and safety equipment; supervising to a safe ratio; knowing each swimmer's stage and declared conditions; correct equipment use; and being ready to act, holding current lifesaving/First Aid-CPR. Tools — pre-class check, emergency checklist, risk-assessment format — in </w:t>
      </w:r>
      <w:r>
        <w:rPr>
          <w:b/>
          <w:bCs/>
          <w:sz w:val="19"/>
          <w:szCs w:val="19"/>
        </w:rPr>
        <w:t xml:space="preserve">Appendix E</w:t>
      </w:r>
      <w:r>
        <w:rPr>
          <w:sz w:val="19"/>
          <w:szCs w:val="19"/>
        </w:rPr>
        <w:t xml:space="preserve">.</w:t>
      </w:r>
    </w:p>
    <w:p>
      <w:pPr>
        <w:keepNext/>
        <w:spacing w:before="160" w:after="70"/>
      </w:pPr>
      <w:r>
        <w:rPr>
          <w:b/>
          <w:bCs/>
          <w:color w:val="1E2752"/>
          <w:sz w:val="23"/>
          <w:szCs w:val="23"/>
        </w:rPr>
        <w:t xml:space="preserve">M8 · Water Safety &amp; Safeguarding *(classroom)*</w:t>
      </w:r>
    </w:p>
    <w:p>
      <w:pPr>
        <w:spacing w:after="120"/>
      </w:pPr>
      <w:r>
        <w:rPr>
          <w:sz w:val="19"/>
          <w:szCs w:val="19"/>
        </w:rPr>
        <w:t xml:space="preserve">Water safety integral to every level; child protection and safeguarding obligations; parental consent; a child never isolated one-to-one out of sight; a child's information never disclosed publicly; immediate escalation to the </w:t>
      </w:r>
      <w:r>
        <w:rPr>
          <w:b/>
          <w:bCs/>
          <w:sz w:val="19"/>
          <w:szCs w:val="19"/>
        </w:rPr>
        <w:t xml:space="preserve">Designated Safeguarding Lead</w:t>
      </w:r>
      <w:r>
        <w:rPr>
          <w:sz w:val="19"/>
          <w:szCs w:val="19"/>
        </w:rPr>
        <w:t xml:space="preserve"> (interim: the Chairperson, SG-1).</w:t>
      </w:r>
    </w:p>
    <w:p>
      <w:pPr>
        <w:keepNext/>
        <w:spacing w:before="160" w:after="70"/>
      </w:pPr>
      <w:r>
        <w:rPr>
          <w:b/>
          <w:bCs/>
          <w:color w:val="1E2752"/>
          <w:sz w:val="23"/>
          <w:szCs w:val="23"/>
        </w:rPr>
        <w:t xml:space="preserve">M9 · Effective Teaching &amp; Engagement *(classroom + pool)*</w:t>
      </w:r>
    </w:p>
    <w:p>
      <w:pPr>
        <w:spacing w:after="120"/>
      </w:pPr>
      <w:r>
        <w:rPr>
          <w:sz w:val="19"/>
          <w:szCs w:val="19"/>
        </w:rPr>
        <w:t xml:space="preserve">The practice set, in seven themes — build confidence and trust; keep them motivated; keep them moving; establish the basics well; communicate effectively (the three Cs, demonstrate, the feedback sandwich); plan to succeed; reward effort and success. Poolside quick-reference card in </w:t>
      </w:r>
      <w:r>
        <w:rPr>
          <w:b/>
          <w:bCs/>
          <w:sz w:val="19"/>
          <w:szCs w:val="19"/>
        </w:rPr>
        <w:t xml:space="preserve">Appendix F</w:t>
      </w:r>
      <w:r>
        <w:rPr>
          <w:sz w:val="19"/>
          <w:szCs w:val="19"/>
        </w:rPr>
        <w:t xml:space="preserve">.</w:t>
      </w:r>
    </w:p>
    <w:p>
      <w:pPr>
        <w:keepNext/>
        <w:spacing w:before="160" w:after="70"/>
      </w:pPr>
      <w:r>
        <w:rPr>
          <w:b/>
          <w:bCs/>
          <w:color w:val="1E2752"/>
          <w:sz w:val="23"/>
          <w:szCs w:val="23"/>
        </w:rPr>
        <w:t xml:space="preserve">M10 · Conduct &amp; Professionalism *(classroom)*</w:t>
      </w:r>
    </w:p>
    <w:p>
      <w:pPr>
        <w:spacing w:after="120"/>
      </w:pPr>
      <w:r>
        <w:rPr>
          <w:sz w:val="19"/>
          <w:szCs w:val="19"/>
        </w:rPr>
        <w:t xml:space="preserve">Honest preparation and readiness; respecting examiner independence and the separation of roles; transparency with families; correct use of MAS marks; upholding safeguarding.</w:t>
      </w:r>
    </w:p>
    <w:p>
      <w:pPr>
        <w:keepNext/>
        <w:spacing w:before="160" w:after="70"/>
      </w:pPr>
      <w:r>
        <w:rPr>
          <w:b/>
          <w:bCs/>
          <w:color w:val="1E2752"/>
          <w:sz w:val="23"/>
          <w:szCs w:val="23"/>
        </w:rPr>
        <w:t xml:space="preserve">M11 · BADGES Portal for Instructors *(hands-on)*</w:t>
      </w:r>
    </w:p>
    <w:p>
      <w:pPr>
        <w:spacing w:after="120"/>
      </w:pPr>
      <w:r>
        <w:rPr>
          <w:b/>
          <w:bCs/>
          <w:sz w:val="19"/>
          <w:szCs w:val="19"/>
        </w:rPr>
        <w:t xml:space="preserve">Outcome.</w:t>
      </w:r>
      <w:r>
        <w:rPr>
          <w:sz w:val="19"/>
          <w:szCs w:val="19"/>
        </w:rPr>
        <w:t xml:space="preserve"> The instructor operates the Portal end to end for their role — completes onboarding, registers candidates and issues claim slips, books an assessment correctly, and reads a session's progress — while understanding the separation of roles that keeps them from judging their own swimmers.</w:t>
      </w:r>
    </w:p>
    <w:p>
      <w:pPr>
        <w:spacing w:after="120"/>
      </w:pPr>
      <w:r>
        <w:rPr>
          <w:b/>
          <w:bCs/>
          <w:sz w:val="19"/>
          <w:szCs w:val="19"/>
        </w:rPr>
        <w:t xml:space="preserve">1 · Getting access — the gated onboarding.</w:t>
      </w:r>
      <w:r>
        <w:rPr>
          <w:sz w:val="19"/>
          <w:szCs w:val="19"/>
        </w:rPr>
        <w:t xml:space="preserve"> Until the Master Trainer activates the account, the instructor sees only the onboarding progress page. The checkpoints run: certification marked complete → invitation sent (Instructor ID auto-generates, e.g. </w:t>
      </w:r>
      <w:r>
        <w:rPr>
          <w:rFonts w:ascii="Consolas" w:hAnsi="Consolas"/>
          <w:sz w:val="19"/>
          <w:szCs w:val="19"/>
        </w:rPr>
        <w:t xml:space="preserve">INS-2026-0001</w:t>
      </w:r>
      <w:r>
        <w:rPr>
          <w:sz w:val="19"/>
          <w:szCs w:val="19"/>
        </w:rPr>
        <w:t xml:space="preserve">) → first login → mandatory particulars (full name, email, phone, NRIC/passport; centre affiliation optional) → </w:t>
      </w:r>
      <w:r>
        <w:rPr>
          <w:b/>
          <w:bCs/>
          <w:sz w:val="19"/>
          <w:szCs w:val="19"/>
        </w:rPr>
        <w:t xml:space="preserve">theory quiz passed (Manual Appendix F)</w:t>
      </w:r>
      <w:r>
        <w:rPr>
          <w:sz w:val="19"/>
          <w:szCs w:val="19"/>
        </w:rPr>
        <w:t xml:space="preserve"> → Code of Conduct accepted → final active switch flipped by the Master Trainer. The quiz draws at random from the question pool — four options each, unlimited retakes, correct answers shown after every attempt; the draw size and pass mark are set in Manual Appendix F.</w:t>
      </w:r>
    </w:p>
    <w:p>
      <w:pPr>
        <w:spacing w:after="120"/>
      </w:pPr>
      <w:r>
        <w:rPr>
          <w:b/>
          <w:bCs/>
          <w:sz w:val="19"/>
          <w:szCs w:val="19"/>
        </w:rPr>
        <w:t xml:space="preserve">2 · Register candidates &amp; issue claim slips.</w:t>
      </w:r>
      <w:r>
        <w:rPr>
          <w:sz w:val="19"/>
          <w:szCs w:val="19"/>
        </w:rPr>
        <w:t xml:space="preserve"> Register each swimmer by form or by the Bulk Candidate Submission Template. The Portal issues a </w:t>
      </w:r>
      <w:r>
        <w:rPr>
          <w:b/>
          <w:bCs/>
          <w:sz w:val="19"/>
          <w:szCs w:val="19"/>
        </w:rPr>
        <w:t xml:space="preserve">Swimmer ID</w:t>
      </w:r>
      <w:r>
        <w:rPr>
          <w:sz w:val="19"/>
          <w:szCs w:val="19"/>
        </w:rPr>
        <w:t xml:space="preserve"> and a </w:t>
      </w:r>
      <w:r>
        <w:rPr>
          <w:b/>
          <w:bCs/>
          <w:sz w:val="19"/>
          <w:szCs w:val="19"/>
        </w:rPr>
        <w:t xml:space="preserve">claim slip</w:t>
      </w:r>
      <w:r>
        <w:rPr>
          <w:sz w:val="19"/>
          <w:szCs w:val="19"/>
        </w:rPr>
        <w:t xml:space="preserve"> per new child (name, Swimmer ID, claim code, steps). Hand the slip to the family in person — that is the verification; the claim code never appears on a certificate. A new swimmer starts at Starfish; a returning swimmer is booked above their highest verified badge; levels are earned in order.</w:t>
      </w:r>
    </w:p>
    <w:p>
      <w:pPr>
        <w:spacing w:after="120"/>
      </w:pPr>
      <w:r>
        <w:rPr>
          <w:b/>
          <w:bCs/>
          <w:sz w:val="19"/>
          <w:szCs w:val="19"/>
        </w:rPr>
        <w:t xml:space="preserve">3 · Book an assessment.</w:t>
      </w:r>
      <w:r>
        <w:rPr>
          <w:sz w:val="19"/>
          <w:szCs w:val="19"/>
        </w:rPr>
        <w:t xml:space="preserve"> In Roster booking, build the roster and set each target level; a live total shows. Creating the session </w:t>
      </w:r>
      <w:r>
        <w:rPr>
          <w:b/>
          <w:bCs/>
          <w:sz w:val="19"/>
          <w:szCs w:val="19"/>
        </w:rPr>
        <w:t xml:space="preserve">locks the roster</w:t>
      </w:r>
      <w:r>
        <w:rPr>
          <w:sz w:val="19"/>
          <w:szCs w:val="19"/>
        </w:rPr>
        <w:t xml:space="preserve"> and auto-generates the </w:t>
      </w:r>
      <w:r>
        <w:rPr>
          <w:b/>
          <w:bCs/>
          <w:sz w:val="19"/>
          <w:szCs w:val="19"/>
        </w:rPr>
        <w:t xml:space="preserve">stage-1 invoice</w:t>
      </w:r>
      <w:r>
        <w:rPr>
          <w:sz w:val="19"/>
          <w:szCs w:val="19"/>
        </w:rPr>
        <w:t xml:space="preserve"> — adding a candidate later means a new session. </w:t>
      </w:r>
      <w:r>
        <w:rPr>
          <w:b/>
          <w:bCs/>
          <w:sz w:val="19"/>
          <w:szCs w:val="19"/>
        </w:rPr>
        <w:t xml:space="preserve">Book at least 30 days ahead (Manual Appendix F).</w:t>
      </w:r>
      <w:r>
        <w:rPr>
          <w:sz w:val="19"/>
          <w:szCs w:val="19"/>
        </w:rPr>
        <w:t xml:space="preserve"> Payment is the gate: an examiner cannot see the session until the Finance Officer records payment. A conflict-of-interest-eligible examiner then picks it up; the instructor never assesses their own candidates.</w:t>
      </w:r>
    </w:p>
    <w:p>
      <w:pPr>
        <w:spacing w:after="120"/>
      </w:pPr>
      <w:r>
        <w:rPr>
          <w:b/>
          <w:bCs/>
          <w:sz w:val="19"/>
          <w:szCs w:val="19"/>
        </w:rPr>
        <w:t xml:space="preserve">4 · After the assessment.</w:t>
      </w:r>
      <w:r>
        <w:rPr>
          <w:sz w:val="19"/>
          <w:szCs w:val="19"/>
        </w:rPr>
        <w:t xml:space="preserve"> Results release centrally (never at the poolside). Booked-level certificates release on payment plus grading; if a swimmer passed </w:t>
      </w:r>
      <w:r>
        <w:rPr>
          <w:b/>
          <w:bCs/>
          <w:sz w:val="19"/>
          <w:szCs w:val="19"/>
        </w:rPr>
        <w:t xml:space="preserve">bonus levels</w:t>
      </w:r>
      <w:r>
        <w:rPr>
          <w:sz w:val="19"/>
          <w:szCs w:val="19"/>
        </w:rPr>
        <w:t xml:space="preserve">, a stage-2 bonus invoice is raised and those certificates release on its payment. The family claims the badges on the public website.</w:t>
      </w:r>
    </w:p>
    <w:p>
      <w:pPr>
        <w:spacing w:after="120"/>
      </w:pPr>
      <w:r>
        <w:rPr>
          <w:b/>
          <w:bCs/>
          <w:sz w:val="19"/>
          <w:szCs w:val="19"/>
        </w:rPr>
        <w:t xml:space="preserve">5 · Money &amp; cancellations.</w:t>
      </w:r>
      <w:r>
        <w:rPr>
          <w:sz w:val="19"/>
          <w:szCs w:val="19"/>
        </w:rPr>
        <w:t xml:space="preserve"> Fees follow the published schedule (Manual Appendix F / Portal); the booking instructor is the bill-to and sees them in </w:t>
      </w:r>
      <w:r>
        <w:rPr>
          <w:b/>
          <w:bCs/>
          <w:sz w:val="19"/>
          <w:szCs w:val="19"/>
        </w:rPr>
        <w:t xml:space="preserve">My invoices</w:t>
      </w:r>
      <w:r>
        <w:rPr>
          <w:sz w:val="19"/>
          <w:szCs w:val="19"/>
        </w:rPr>
        <w:t xml:space="preserve">. A paid session cancelled </w:t>
      </w:r>
      <w:r>
        <w:rPr>
          <w:b/>
          <w:bCs/>
          <w:sz w:val="19"/>
          <w:szCs w:val="19"/>
        </w:rPr>
        <w:t xml:space="preserve">more than 72 hours</w:t>
      </w:r>
      <w:r>
        <w:rPr>
          <w:sz w:val="19"/>
          <w:szCs w:val="19"/>
        </w:rPr>
        <w:t xml:space="preserve"> ahead is refundable; inside 72 hours the fee is forfeit (window per Manual Appendix F). A session called off for weather (a rain-off) re-books at no additional fee (Assessment System Handbook Annex A).</w:t>
      </w:r>
    </w:p>
    <w:p>
      <w:pPr>
        <w:spacing w:after="120"/>
      </w:pPr>
      <w:r>
        <w:rPr>
          <w:b/>
          <w:bCs/>
          <w:sz w:val="19"/>
          <w:szCs w:val="19"/>
        </w:rPr>
        <w:t xml:space="preserve">6 · Independence — what you can and can't see.</w:t>
      </w:r>
      <w:r>
        <w:rPr>
          <w:sz w:val="19"/>
          <w:szCs w:val="19"/>
        </w:rPr>
        <w:t xml:space="preserve"> You see your candidates, claim slips, your sessions (and your centre's if affiliated), and your invoices. You cannot grade your own swimmers, look up a child outside your own, or see the amounts shown to examiners.</w:t>
      </w:r>
    </w:p>
    <w:p>
      <w:pPr>
        <w:spacing w:after="120"/>
      </w:pPr>
      <w:r>
        <w:rPr>
          <w:i/>
          <w:iCs/>
          <w:sz w:val="19"/>
          <w:szCs w:val="19"/>
        </w:rPr>
        <w:t xml:space="preserve">The full role-by-role portal reference — examiner, finance, and governance views included — is the companion Portal Usage Training Module.</w:t>
      </w:r>
    </w:p>
    <w:p>
      <w:pPr>
        <w:keepNext/>
        <w:spacing w:before="160" w:after="70"/>
      </w:pPr>
      <w:r>
        <w:rPr>
          <w:b/>
          <w:bCs/>
          <w:color w:val="1E2752"/>
          <w:sz w:val="23"/>
          <w:szCs w:val="23"/>
        </w:rPr>
        <w:t xml:space="preserve">M12 · Preparing Swimmers for Assessment *(classroom + pool)*</w:t>
      </w:r>
    </w:p>
    <w:p>
      <w:pPr>
        <w:spacing w:after="120"/>
      </w:pPr>
      <w:r>
        <w:rPr>
          <w:sz w:val="19"/>
          <w:szCs w:val="19"/>
        </w:rPr>
        <w:t xml:space="preserve">The BADGES Assessment Sequences — the ordered run-through of each level's criteria as a continuous test (</w:t>
      </w:r>
      <w:r>
        <w:rPr>
          <w:b/>
          <w:bCs/>
          <w:sz w:val="19"/>
          <w:szCs w:val="19"/>
        </w:rPr>
        <w:t xml:space="preserve">Appendix D</w:t>
      </w:r>
      <w:r>
        <w:rPr>
          <w:sz w:val="19"/>
          <w:szCs w:val="19"/>
        </w:rPr>
        <w:t xml:space="preserve">), adopting a block-plan method on our own Syllabus criteria. Candidates learn to walk a swimmer through the sequence for their level, having built the skills through IRD — rehearsing the flow, never drilling the sequence to manufacture a pass. Authoritative criteria and procedure remain in the Syllabus and Assessment System Handbook.</w:t>
      </w:r>
    </w:p>
    <w:p>
      <w:pPr>
        <w:keepNext/>
        <w:spacing w:before="160" w:after="70"/>
      </w:pPr>
      <w:r>
        <w:rPr>
          <w:b/>
          <w:bCs/>
          <w:color w:val="1E2752"/>
          <w:sz w:val="23"/>
          <w:szCs w:val="23"/>
        </w:rPr>
        <w:t xml:space="preserve">M13 · Practical Teaching Assessment *(pool)*</w:t>
      </w:r>
    </w:p>
    <w:p>
      <w:pPr>
        <w:spacing w:after="120"/>
      </w:pPr>
      <w:r>
        <w:rPr>
          <w:sz w:val="19"/>
          <w:szCs w:val="19"/>
        </w:rPr>
        <w:t xml:space="preserve">Each candidate delivers a real teaching segment under observation by the Master Trainer, rated on the Practical Teaching Assessment Rubric (</w:t>
      </w:r>
      <w:r>
        <w:rPr>
          <w:b/>
          <w:bCs/>
          <w:sz w:val="19"/>
          <w:szCs w:val="19"/>
        </w:rPr>
        <w:t xml:space="preserve">Appendix B</w:t>
      </w:r>
      <w:r>
        <w:rPr>
          <w:sz w:val="19"/>
          <w:szCs w:val="19"/>
        </w:rPr>
        <w:t xml:space="preserve">). Direct feedback; final certification recommendation.</w:t>
      </w:r>
    </w:p>
    <w:p>
      <w:pPr>
        <w:keepNext/>
        <w:spacing w:before="220" w:after="90"/>
      </w:pPr>
      <w:r>
        <w:rPr>
          <w:b/>
          <w:bCs/>
          <w:color w:val="1E2752"/>
          <w:sz w:val="27"/>
          <w:szCs w:val="27"/>
        </w:rPr>
        <w:t xml:space="preserve">7. Assessment &amp; certification of the candidate</w:t>
      </w:r>
    </w:p>
    <w:p>
      <w:pPr>
        <w:spacing w:after="120"/>
      </w:pPr>
      <w:r>
        <w:rPr>
          <w:sz w:val="19"/>
          <w:szCs w:val="19"/>
        </w:rPr>
        <w:t xml:space="preserve">To be certified, a candidate must attend every module in full and:</w:t>
      </w:r>
    </w:p>
    <w:p>
      <w:pPr>
        <w:keepNext/>
        <w:spacing w:before="160" w:after="70"/>
      </w:pPr>
      <w:r>
        <w:rPr>
          <w:b/>
          <w:bCs/>
          <w:color w:val="1E2752"/>
          <w:sz w:val="23"/>
          <w:szCs w:val="23"/>
        </w:rPr>
        <w:t xml:space="preserve">7.1 Theory assessment</w:t>
      </w:r>
    </w:p>
    <w:p>
      <w:pPr>
        <w:spacing w:after="120"/>
      </w:pPr>
      <w:r>
        <w:rPr>
          <w:sz w:val="19"/>
          <w:szCs w:val="19"/>
        </w:rPr>
        <w:t xml:space="preserve">Pass the </w:t>
      </w:r>
      <w:r>
        <w:rPr>
          <w:b/>
          <w:bCs/>
          <w:sz w:val="19"/>
          <w:szCs w:val="19"/>
        </w:rPr>
        <w:t xml:space="preserve">Portal onboarding quiz</w:t>
      </w:r>
      <w:r>
        <w:rPr>
          <w:sz w:val="19"/>
          <w:szCs w:val="19"/>
        </w:rPr>
        <w:t xml:space="preserve">: a random draw from the question bank (</w:t>
      </w:r>
      <w:r>
        <w:rPr>
          <w:b/>
          <w:bCs/>
          <w:sz w:val="19"/>
          <w:szCs w:val="19"/>
        </w:rPr>
        <w:t xml:space="preserve">Appendix C</w:t>
      </w:r>
      <w:r>
        <w:rPr>
          <w:sz w:val="19"/>
          <w:szCs w:val="19"/>
        </w:rPr>
        <w:t xml:space="preserve">) balanced across Administrative, Governance, Safety, Teaching methods, and Syllabus &amp; Rubrics; </w:t>
      </w:r>
      <w:r>
        <w:rPr>
          <w:b/>
          <w:bCs/>
          <w:sz w:val="19"/>
          <w:szCs w:val="19"/>
        </w:rPr>
        <w:t xml:space="preserve">pass mark per Manual Appendix F</w:t>
      </w:r>
      <w:r>
        <w:rPr>
          <w:sz w:val="19"/>
          <w:szCs w:val="19"/>
        </w:rPr>
        <w:t xml:space="preserve">; unlimited retakes; correct answers shown after submission. Delivered in Module 11.</w:t>
      </w:r>
    </w:p>
    <w:p>
      <w:pPr>
        <w:keepNext/>
        <w:spacing w:before="160" w:after="70"/>
      </w:pPr>
      <w:r>
        <w:rPr>
          <w:b/>
          <w:bCs/>
          <w:color w:val="1E2752"/>
          <w:sz w:val="23"/>
          <w:szCs w:val="23"/>
        </w:rPr>
        <w:t xml:space="preserve">7.2 Portal competency check</w:t>
      </w:r>
    </w:p>
    <w:p>
      <w:pPr>
        <w:spacing w:after="120"/>
      </w:pPr>
      <w:r>
        <w:rPr>
          <w:sz w:val="19"/>
          <w:szCs w:val="19"/>
        </w:rPr>
        <w:t xml:space="preserve">Demonstrate the instructor Portal workflow in Module 11 — register a candidate (single and bulk), issue a claim slip, and create a booking correctly.</w:t>
      </w:r>
    </w:p>
    <w:p>
      <w:pPr>
        <w:keepNext/>
        <w:spacing w:before="160" w:after="70"/>
      </w:pPr>
      <w:r>
        <w:rPr>
          <w:b/>
          <w:bCs/>
          <w:color w:val="1E2752"/>
          <w:sz w:val="23"/>
          <w:szCs w:val="23"/>
        </w:rPr>
        <w:t xml:space="preserve">7.3 Practical teaching assessment</w:t>
      </w:r>
    </w:p>
    <w:p>
      <w:pPr>
        <w:spacing w:after="120"/>
      </w:pPr>
      <w:r>
        <w:rPr>
          <w:sz w:val="19"/>
          <w:szCs w:val="19"/>
        </w:rPr>
        <w:t xml:space="preserve">Achieve </w:t>
      </w:r>
      <w:r>
        <w:rPr>
          <w:b/>
          <w:bCs/>
          <w:sz w:val="19"/>
          <w:szCs w:val="19"/>
        </w:rPr>
        <w:t xml:space="preserve">Competent or above</w:t>
      </w:r>
      <w:r>
        <w:rPr>
          <w:sz w:val="19"/>
          <w:szCs w:val="19"/>
        </w:rPr>
        <w:t xml:space="preserve"> on every domain of the Practical Teaching Assessment Rubric (Appendix B), with </w:t>
      </w:r>
      <w:r>
        <w:rPr>
          <w:b/>
          <w:bCs/>
          <w:sz w:val="19"/>
          <w:szCs w:val="19"/>
        </w:rPr>
        <w:t xml:space="preserve">Safety, supervision &amp; positioning as a hard gate</w:t>
      </w:r>
      <w:r>
        <w:rPr>
          <w:sz w:val="19"/>
          <w:szCs w:val="19"/>
        </w:rPr>
        <w:t xml:space="preserve"> — a non-pass there fails the segment regardless of the other domains.</w:t>
      </w:r>
    </w:p>
    <w:p>
      <w:pPr>
        <w:keepNext/>
        <w:spacing w:before="160" w:after="70"/>
      </w:pPr>
      <w:r>
        <w:rPr>
          <w:b/>
          <w:bCs/>
          <w:color w:val="1E2752"/>
          <w:sz w:val="23"/>
          <w:szCs w:val="23"/>
        </w:rPr>
        <w:t xml:space="preserve">7.4 Certification decision</w:t>
      </w:r>
    </w:p>
    <w:p>
      <w:pPr>
        <w:spacing w:after="120"/>
      </w:pPr>
      <w:r>
        <w:rPr>
          <w:sz w:val="19"/>
          <w:szCs w:val="19"/>
        </w:rPr>
        <w:t xml:space="preserve">On passing all three, and signing the conduct undertaking with child-protection screening complete, the Master Trainer recommends certification; the Coaching Panel ratifies.</w:t>
      </w:r>
    </w:p>
    <w:p>
      <w:pPr>
        <w:keepNext/>
        <w:spacing w:before="220" w:after="90"/>
      </w:pPr>
      <w:r>
        <w:rPr>
          <w:b/>
          <w:bCs/>
          <w:color w:val="1E2752"/>
          <w:sz w:val="27"/>
          <w:szCs w:val="27"/>
        </w:rPr>
        <w:t xml:space="preserve">8. Certification, directory listing, term &amp; continuing certification</w:t>
      </w:r>
    </w:p>
    <w:p>
      <w:pPr>
        <w:spacing w:after="40"/>
        <w:ind w:left="360" w:hanging="360"/>
      </w:pPr>
      <w:r>
        <w:rPr>
          <w:sz w:val="19"/>
        </w:rPr>
        <w:t xml:space="preserve">•  </w:t>
      </w:r>
      <w:r>
        <w:rPr>
          <w:b/>
          <w:bCs/>
          <w:sz w:val="19"/>
          <w:szCs w:val="19"/>
        </w:rPr>
        <w:t xml:space="preserve">Certification</w:t>
      </w:r>
      <w:r>
        <w:rPr>
          <w:sz w:val="19"/>
          <w:szCs w:val="19"/>
        </w:rPr>
        <w:t xml:space="preserve"> is recorded by the Master Trainer on completion and triggers Portal onboarding (§10).</w:t>
      </w:r>
    </w:p>
    <w:p>
      <w:pPr>
        <w:spacing w:after="40"/>
        <w:ind w:left="360" w:hanging="360"/>
      </w:pPr>
      <w:r>
        <w:rPr>
          <w:sz w:val="19"/>
        </w:rPr>
        <w:t xml:space="preserve">•  </w:t>
      </w:r>
      <w:r>
        <w:rPr>
          <w:b/>
          <w:bCs/>
          <w:sz w:val="19"/>
          <w:szCs w:val="19"/>
        </w:rPr>
        <w:t xml:space="preserve">Public directory listing.</w:t>
      </w:r>
      <w:r>
        <w:rPr>
          <w:sz w:val="19"/>
          <w:szCs w:val="19"/>
        </w:rPr>
        <w:t xml:space="preserve"> A certified instructor may </w:t>
      </w:r>
      <w:r>
        <w:rPr>
          <w:b/>
          <w:bCs/>
          <w:sz w:val="19"/>
          <w:szCs w:val="19"/>
        </w:rPr>
        <w:t xml:space="preserve">opt in</w:t>
      </w:r>
      <w:r>
        <w:rPr>
          <w:sz w:val="19"/>
          <w:szCs w:val="19"/>
        </w:rPr>
        <w:t xml:space="preserve"> to the public instructor directory. A legacy certification alone is recognised for standing but is not directory-listed until the holder gains the BADGES certification through this course (OD-1).</w:t>
      </w:r>
    </w:p>
    <w:p>
      <w:pPr>
        <w:spacing w:after="40"/>
        <w:ind w:left="360" w:hanging="360"/>
      </w:pPr>
      <w:r>
        <w:rPr>
          <w:sz w:val="19"/>
        </w:rPr>
        <w:t xml:space="preserve">•  </w:t>
      </w:r>
      <w:r>
        <w:rPr>
          <w:b/>
          <w:bCs/>
          <w:sz w:val="19"/>
          <w:szCs w:val="19"/>
        </w:rPr>
        <w:t xml:space="preserve">Continuing certification</w:t>
      </w:r>
      <w:r>
        <w:rPr>
          <w:sz w:val="19"/>
          <w:szCs w:val="19"/>
        </w:rPr>
        <w:t xml:space="preserve"> requires maintaining current lifesaving and First Aid/CPR, upholding safeguarding, and completing refresher modules issued after Handbook or Syllabus updates.</w:t>
      </w:r>
    </w:p>
    <w:p>
      <w:pPr>
        <w:spacing w:after="40"/>
        <w:ind w:left="360" w:hanging="360"/>
      </w:pPr>
      <w:r>
        <w:rPr>
          <w:sz w:val="19"/>
        </w:rPr>
        <w:t xml:space="preserve">•  </w:t>
      </w:r>
      <w:r>
        <w:rPr>
          <w:b/>
          <w:bCs/>
          <w:sz w:val="19"/>
          <w:szCs w:val="19"/>
        </w:rPr>
        <w:t xml:space="preserve">Certification term: two years</w:t>
      </w:r>
      <w:r>
        <w:rPr>
          <w:sz w:val="19"/>
          <w:szCs w:val="19"/>
        </w:rPr>
        <w:t xml:space="preserve">, renewable on meeting the continuing-certification requirements above </w:t>
      </w:r>
      <w:r>
        <w:rPr>
          <w:i/>
          <w:iCs/>
          <w:sz w:val="19"/>
          <w:szCs w:val="19"/>
        </w:rPr>
        <w:t xml:space="preserve">(SO-01).</w:t>
      </w:r>
    </w:p>
    <w:p>
      <w:pPr>
        <w:keepNext/>
        <w:spacing w:before="220" w:after="90"/>
      </w:pPr>
      <w:r>
        <w:rPr>
          <w:b/>
          <w:bCs/>
          <w:color w:val="1E2752"/>
          <w:sz w:val="27"/>
          <w:szCs w:val="27"/>
        </w:rPr>
        <w:t xml:space="preserve">9. Onboarding into the Portal</w:t>
      </w:r>
    </w:p>
    <w:p>
      <w:pPr>
        <w:spacing w:after="120"/>
      </w:pPr>
      <w:r>
        <w:rPr>
          <w:sz w:val="19"/>
          <w:szCs w:val="19"/>
        </w:rPr>
        <w:t xml:space="preserve">Certification is the front door to the system, implemented as the instructor-invitation loop: on certification the record moves to </w:t>
      </w:r>
      <w:r>
        <w:rPr>
          <w:b/>
          <w:bCs/>
          <w:sz w:val="19"/>
          <w:szCs w:val="19"/>
        </w:rPr>
        <w:t xml:space="preserve">certified</w:t>
      </w:r>
      <w:r>
        <w:rPr>
          <w:sz w:val="19"/>
          <w:szCs w:val="19"/>
        </w:rPr>
        <w:t xml:space="preserve">; an </w:t>
      </w:r>
      <w:r>
        <w:rPr>
          <w:b/>
          <w:bCs/>
          <w:sz w:val="19"/>
          <w:szCs w:val="19"/>
        </w:rPr>
        <w:t xml:space="preserve">invitation</w:t>
      </w:r>
      <w:r>
        <w:rPr>
          <w:sz w:val="19"/>
          <w:szCs w:val="19"/>
        </w:rPr>
        <w:t xml:space="preserve"> keyed to the instructor's email is issued; the instructor </w:t>
      </w:r>
      <w:r>
        <w:rPr>
          <w:b/>
          <w:bCs/>
          <w:sz w:val="19"/>
          <w:szCs w:val="19"/>
        </w:rPr>
        <w:t xml:space="preserve">self-signs-up</w:t>
      </w:r>
      <w:r>
        <w:rPr>
          <w:sz w:val="19"/>
          <w:szCs w:val="19"/>
        </w:rPr>
        <w:t xml:space="preserve"> and the signup is matched to the invitation, granting the </w:t>
      </w:r>
      <w:r>
        <w:rPr>
          <w:b/>
          <w:bCs/>
          <w:sz w:val="19"/>
          <w:szCs w:val="19"/>
        </w:rPr>
        <w:t xml:space="preserve">instructor role</w:t>
      </w:r>
      <w:r>
        <w:rPr>
          <w:sz w:val="19"/>
          <w:szCs w:val="19"/>
        </w:rPr>
        <w:t xml:space="preserve">. The instructor can then register candidates, issue claim slips, and book assessments. The course certifies the person; the Portal admits them.</w:t>
      </w:r>
    </w:p>
    <w:p>
      <w:pPr>
        <w:keepNext/>
        <w:spacing w:before="240" w:after="120"/>
      </w:pPr>
      <w:r>
        <w:br w:type="page"/>
      </w:r>
      <w:r>
        <w:rPr>
          <w:b/>
          <w:bCs/>
          <w:color w:val="1E2752"/>
          <w:sz w:val="34"/>
          <w:szCs w:val="34"/>
        </w:rPr>
        <w:t xml:space="preserve">APPENDICES</w:t>
      </w:r>
    </w:p>
    <w:p>
      <w:pPr>
        <w:keepNext/>
        <w:spacing w:before="220" w:after="90"/>
      </w:pPr>
      <w:r>
        <w:rPr>
          <w:b/>
          <w:bCs/>
          <w:color w:val="1E2752"/>
          <w:sz w:val="27"/>
          <w:szCs w:val="27"/>
        </w:rPr>
        <w:t xml:space="preserve">Appendix A — Module durations &amp; timetable</w:t>
      </w:r>
    </w:p>
    <w:tbl>
      <w:tblPr>
        <w:tblW w:type="dxa" w:w="9016"/>
        <w:tblBorders>
          <w:top w:val="single" w:sz="4" w:color="C7CEDD"/>
          <w:left w:val="single" w:sz="4" w:color="C7CEDD"/>
          <w:bottom w:val="single" w:sz="4" w:color="C7CEDD"/>
          <w:right w:val="single" w:sz="4" w:color="C7CEDD"/>
          <w:insideH w:val="single" w:sz="4" w:color="C7CEDD"/>
          <w:insideV w:val="single" w:sz="4" w:color="C7CEDD"/>
        </w:tblBorders>
        <w:tblLayout w:type="fixed"/>
      </w:tblPr>
      <w:tblGrid>
        <w:gridCol w:w="1442"/>
        <w:gridCol w:w="2524"/>
        <w:gridCol w:w="2524"/>
        <w:gridCol w:w="2526"/>
      </w:tblGrid>
      <w:tr>
        <w:trPr>
          <w:tblHeader/>
        </w:trPr>
        <w:tc>
          <w:tcPr>
            <w:tcW w:type="dxa" w:w="144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Mod.</w:t>
            </w:r>
          </w:p>
        </w:tc>
        <w:tc>
          <w:tcPr>
            <w:tcW w:type="dxa" w:w="2524"/>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Title</w:t>
            </w:r>
          </w:p>
        </w:tc>
        <w:tc>
          <w:tcPr>
            <w:tcW w:type="dxa" w:w="2524"/>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Hours</w:t>
            </w:r>
          </w:p>
        </w:tc>
        <w:tc>
          <w:tcPr>
            <w:tcW w:type="dxa" w:w="2526"/>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Mode</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Programme &amp; Governance</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1.0</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Classroom</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2</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The 7-Level Syllabus, taught</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2.0</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Classroom + Pool</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3</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Swimming on Video</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1.0</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Classroom</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4</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The IRD Teaching Method</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2.5</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Classroom + Pool</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5</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Lesson Delivery &amp; Class Management</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2.0</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Classroom + Pool</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6</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Safe Teaching Methods &amp; Teaching Position</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1.5</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Classroom + Pool</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7</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Instructor Safety Responsibilities &amp; Emergency Readiness</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1.5</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Classroom</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8</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Water Safety &amp; Safeguarding</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1.0</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Classroom</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9</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Effective Teaching &amp; Engagement</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1.5</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Classroom + Pool</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10</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Conduct &amp; Professionalism</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1.0</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Classroom</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11</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BADGES Portal for Instructors</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1.5</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Hands-on</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12</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Preparing Swimmers for Assessment</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jc w:val="right"/>
            </w:pPr>
            <w:r>
              <w:rPr>
                <w:sz w:val="19"/>
                <w:szCs w:val="19"/>
              </w:rPr>
              <w:t xml:space="preserve">1.5</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Classroom + Pool</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13</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Practical Teaching Assessment</w:t>
            </w:r>
          </w:p>
        </w:tc>
        <w:tc>
          <w:tcPr>
            <w:tcW w:type="dxa" w:w="2524"/>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jc w:val="right"/>
            </w:pPr>
            <w:r>
              <w:rPr>
                <w:sz w:val="19"/>
                <w:szCs w:val="19"/>
              </w:rPr>
              <w:t xml:space="preserve">3.0</w:t>
            </w:r>
          </w:p>
        </w:tc>
        <w:tc>
          <w:tcPr>
            <w:tcW w:type="dxa" w:w="2526"/>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Pool</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rPr>
              <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Total</w:t>
            </w:r>
          </w:p>
        </w:tc>
        <w:tc>
          <w:tcPr>
            <w:tcW w:type="dxa" w:w="2524"/>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 21.0</w:t>
            </w:r>
          </w:p>
        </w:tc>
        <w:tc>
          <w:tcPr>
            <w:tcW w:type="dxa" w:w="2526"/>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over three days</w:t>
            </w:r>
          </w:p>
        </w:tc>
      </w:tr>
    </w:tbl>
    <w:p>
      <w:pPr>
        <w:spacing w:after="120"/>
      </w:pPr>
    </w:p>
    <w:p>
      <w:pPr>
        <w:spacing w:after="120"/>
      </w:pPr>
      <w:r>
        <w:rPr>
          <w:b/>
          <w:bCs/>
          <w:sz w:val="19"/>
          <w:szCs w:val="19"/>
        </w:rPr>
        <w:t xml:space="preserve">Indicative three-day timetable.</w:t>
      </w:r>
      <w:r>
        <w:rPr>
          <w:sz w:val="19"/>
          <w:szCs w:val="19"/>
        </w:rPr>
        <w:t xml:space="preserve"> Day 1 (classroom foundations): M1 · M2 · M3 · M8 · M10; begin the Portal quiz. Day 2 (method &amp; safety): M4 · M5 · M6 · M7 · M9. Day 3 (system &amp; assessment): M11 · M12 · M13; certification decisions and feedback.</w:t>
      </w:r>
    </w:p>
    <w:p>
      <w:pPr>
        <w:keepNext/>
        <w:spacing w:before="220" w:after="90"/>
      </w:pPr>
      <w:r>
        <w:rPr>
          <w:b/>
          <w:bCs/>
          <w:color w:val="1E2752"/>
          <w:sz w:val="27"/>
          <w:szCs w:val="27"/>
        </w:rPr>
        <w:t xml:space="preserve">Appendix B — Practical Teaching Assessment Rubric</w:t>
      </w:r>
    </w:p>
    <w:p>
      <w:pPr>
        <w:spacing w:after="120"/>
      </w:pPr>
      <w:r>
        <w:rPr>
          <w:b/>
          <w:bCs/>
          <w:sz w:val="19"/>
          <w:szCs w:val="19"/>
        </w:rPr>
        <w:t xml:space="preserve">Scale: Not Yet · Developing · Competent · Strong. Pass = Competent or Strong in every domain. Domain 2 (Safety) is safety-critical — Not Yet or Developing there is an automatic non-pass.</w:t>
      </w:r>
      <w:r>
        <w:rPr>
          <w:sz w:val="19"/>
          <w:szCs w:val="19"/>
        </w:rPr>
        <w:t xml:space="preserve"> A non-pass is a Refer naming the domain(s) to develop; re-attempt at the next intake or a supervised re-assessment.</w:t>
      </w:r>
    </w:p>
    <w:tbl>
      <w:tblPr>
        <w:tblW w:type="dxa" w:w="9016"/>
        <w:tblBorders>
          <w:top w:val="single" w:sz="4" w:color="C7CEDD"/>
          <w:left w:val="single" w:sz="4" w:color="C7CEDD"/>
          <w:bottom w:val="single" w:sz="4" w:color="C7CEDD"/>
          <w:right w:val="single" w:sz="4" w:color="C7CEDD"/>
          <w:insideH w:val="single" w:sz="4" w:color="C7CEDD"/>
          <w:insideV w:val="single" w:sz="4" w:color="C7CEDD"/>
        </w:tblBorders>
        <w:tblLayout w:type="fixed"/>
      </w:tblPr>
      <w:tblGrid>
        <w:gridCol w:w="1442"/>
        <w:gridCol w:w="1893"/>
        <w:gridCol w:w="1893"/>
        <w:gridCol w:w="1893"/>
        <w:gridCol w:w="1895"/>
      </w:tblGrid>
      <w:tr>
        <w:trPr>
          <w:tblHeader/>
        </w:trPr>
        <w:tc>
          <w:tcPr>
            <w:tcW w:type="dxa" w:w="1442"/>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Domain</w:t>
            </w:r>
          </w:p>
        </w:tc>
        <w:tc>
          <w:tcPr>
            <w:tcW w:type="dxa" w:w="189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Not Yet</w:t>
            </w:r>
          </w:p>
        </w:tc>
        <w:tc>
          <w:tcPr>
            <w:tcW w:type="dxa" w:w="189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Developing</w:t>
            </w:r>
          </w:p>
        </w:tc>
        <w:tc>
          <w:tcPr>
            <w:tcW w:type="dxa" w:w="1893"/>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Competent (pass)</w:t>
            </w:r>
          </w:p>
        </w:tc>
        <w:tc>
          <w:tcPr>
            <w:tcW w:type="dxa" w:w="1895"/>
            <w:tcBorders>
              <w:top w:val="single" w:color="C7CEDD" w:sz="4"/>
              <w:left w:val="single" w:color="C7CEDD" w:sz="4"/>
              <w:bottom w:val="single" w:color="C7CEDD" w:sz="4"/>
              <w:right w:val="single" w:color="C7CEDD" w:sz="4"/>
            </w:tcBorders>
            <w:shd w:fill="1E2752" w:val="clear"/>
            <w:tcMar>
              <w:top w:type="dxa" w:w="60"/>
              <w:left w:type="dxa" w:w="110"/>
              <w:bottom w:type="dxa" w:w="60"/>
              <w:right w:type="dxa" w:w="110"/>
            </w:tcMar>
            <w:vAlign w:val="center"/>
          </w:tcPr>
          <w:p>
            <w:pPr>
              <w:spacing w:after="0" w:before="0"/>
            </w:pPr>
            <w:r>
              <w:rPr>
                <w:b/>
                <w:bCs/>
                <w:color w:val="FFFFFF"/>
                <w:sz w:val="19"/>
                <w:szCs w:val="19"/>
              </w:rPr>
              <w:t xml:space="preserve">Strong</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1 · Planning &amp; preparation</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Aimless; no usable plan</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Vague or poorly sequenced; unclear objectives</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Clear, written, progressive plan matched to the level</w:t>
            </w:r>
          </w:p>
        </w:tc>
        <w:tc>
          <w:tcPr>
            <w:tcW w:type="dxa" w:w="189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Contingencies too; every activity earns its place</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2 · Safety, supervision &amp; positioning</w:t>
            </w:r>
            <w:r>
              <w:rPr>
                <w:sz w:val="19"/>
                <w:szCs w:val="19"/>
              </w:rPr>
              <w:t xml:space="preserve"> </w:t>
            </w:r>
            <w:r>
              <w:rPr>
                <w:i/>
                <w:iCs/>
                <w:sz w:val="19"/>
                <w:szCs w:val="19"/>
              </w:rPr>
              <w:t xml:space="preserve">(critical)</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Loses sight; unsafe position or ratio</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Supervises, but with lapses</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Continuous line of sight, safe position, correct ratio, consented support, checks done</w:t>
            </w:r>
          </w:p>
        </w:tc>
        <w:tc>
          <w:tcPr>
            <w:tcW w:type="dxa" w:w="189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Anticipates and removes risk; coverage is effortless</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3 · Skill development (IRD)</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Teaches to the test; random</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Progression blurs</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Clear IRD building genuine technique at a sound pace</w:t>
            </w:r>
          </w:p>
        </w:tc>
        <w:tc>
          <w:tcPr>
            <w:tcW w:type="dxa" w:w="189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Adapts live; corrects the cause, not the symptom</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4 · Communication &amp; engagement</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Unclear; disengaged</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Inconsistent; some idle</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Clear, age-appropriate; effective demonstration; group moving</w:t>
            </w:r>
          </w:p>
        </w:tc>
        <w:tc>
          <w:tcPr>
            <w:tcW w:type="dxa" w:w="189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Warm, motivating; class busy, safe, enjoying it</w:t>
            </w:r>
          </w:p>
        </w:tc>
      </w:tr>
      <w:tr>
        <w:tc>
          <w:tcPr>
            <w:tcW w:type="dxa" w:w="1442"/>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b/>
                <w:bCs/>
                <w:sz w:val="19"/>
                <w:szCs w:val="19"/>
              </w:rPr>
              <w:t xml:space="preserve">5 · Observation, correction &amp; feedback</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Misses faults</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Vague feedback</w:t>
            </w:r>
          </w:p>
        </w:tc>
        <w:tc>
          <w:tcPr>
            <w:tcW w:type="dxa" w:w="1893"/>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Identifies the key fault and cause; usable cue; balanced</w:t>
            </w:r>
          </w:p>
        </w:tc>
        <w:tc>
          <w:tcPr>
            <w:tcW w:type="dxa" w:w="1895"/>
            <w:tcBorders>
              <w:top w:val="single" w:color="C7CEDD" w:sz="4"/>
              <w:left w:val="single" w:color="C7CEDD" w:sz="4"/>
              <w:bottom w:val="single" w:color="C7CEDD" w:sz="4"/>
              <w:right w:val="single" w:color="C7CEDD" w:sz="4"/>
            </w:tcBorders>
            <w:shd w:fill="FFFFFF" w:val="clear"/>
            <w:tcMar>
              <w:top w:type="dxa" w:w="60"/>
              <w:left w:type="dxa" w:w="110"/>
              <w:bottom w:type="dxa" w:w="60"/>
              <w:right w:type="dxa" w:w="110"/>
            </w:tcMar>
            <w:vAlign w:val="center"/>
          </w:tcPr>
          <w:p>
            <w:pPr>
              <w:spacing w:after="0" w:before="0"/>
            </w:pPr>
            <w:r>
              <w:rPr>
                <w:sz w:val="19"/>
                <w:szCs w:val="19"/>
              </w:rPr>
              <w:t xml:space="preserve">Prioritises what matters; specific, owned, positive</w:t>
            </w:r>
          </w:p>
        </w:tc>
      </w:tr>
      <w:tr>
        <w:tc>
          <w:tcPr>
            <w:tcW w:type="dxa" w:w="1442"/>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b/>
                <w:bCs/>
                <w:sz w:val="19"/>
                <w:szCs w:val="19"/>
              </w:rPr>
              <w:t xml:space="preserve">6 · Professionalism &amp; conduct</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Unprofessional; unaware of the separation of roles</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Inconsistent</w:t>
            </w:r>
          </w:p>
        </w:tc>
        <w:tc>
          <w:tcPr>
            <w:tcW w:type="dxa" w:w="1893"/>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Professional; honest readiness; respects independence; correct marks; safeguarding upheld</w:t>
            </w:r>
          </w:p>
        </w:tc>
        <w:tc>
          <w:tcPr>
            <w:tcW w:type="dxa" w:w="1895"/>
            <w:tcBorders>
              <w:top w:val="single" w:color="C7CEDD" w:sz="4"/>
              <w:left w:val="single" w:color="C7CEDD" w:sz="4"/>
              <w:bottom w:val="single" w:color="C7CEDD" w:sz="4"/>
              <w:right w:val="single" w:color="C7CEDD" w:sz="4"/>
            </w:tcBorders>
            <w:shd w:fill="F2F4F8" w:val="clear"/>
            <w:tcMar>
              <w:top w:type="dxa" w:w="60"/>
              <w:left w:type="dxa" w:w="110"/>
              <w:bottom w:type="dxa" w:w="60"/>
              <w:right w:type="dxa" w:w="110"/>
            </w:tcMar>
            <w:vAlign w:val="center"/>
          </w:tcPr>
          <w:p>
            <w:pPr>
              <w:spacing w:after="0" w:before="0"/>
            </w:pPr>
            <w:r>
              <w:rPr>
                <w:sz w:val="19"/>
                <w:szCs w:val="19"/>
              </w:rPr>
              <w:t xml:space="preserve">Models the standard for peers</w:t>
            </w:r>
          </w:p>
        </w:tc>
      </w:tr>
    </w:tbl>
    <w:p>
      <w:pPr>
        <w:spacing w:after="120"/>
      </w:pPr>
    </w:p>
    <w:p>
      <w:pPr>
        <w:spacing w:after="120"/>
      </w:pPr>
      <w:r>
        <w:rPr>
          <w:i/>
          <w:iCs/>
          <w:sz w:val="19"/>
          <w:szCs w:val="19"/>
        </w:rPr>
        <w:t xml:space="preserve">Record sheet:</w:t>
      </w:r>
      <w:r>
        <w:rPr>
          <w:sz w:val="19"/>
          <w:szCs w:val="19"/>
        </w:rPr>
        <w:t xml:space="preserve"> candidate · date · segment level · assessor; a rating box per domain; outcome (Pass / Refer — develop: ______); assessor notes.</w:t>
      </w:r>
    </w:p>
    <w:p>
      <w:pPr>
        <w:keepNext/>
        <w:spacing w:before="220" w:after="90"/>
      </w:pPr>
      <w:r>
        <w:rPr>
          <w:b/>
          <w:bCs/>
          <w:color w:val="1E2752"/>
          <w:sz w:val="27"/>
          <w:szCs w:val="27"/>
        </w:rPr>
        <w:t xml:space="preserve">Appendix C — Theory question bank</w:t>
      </w:r>
    </w:p>
    <w:p>
      <w:pPr>
        <w:spacing w:after="120"/>
      </w:pPr>
      <w:r>
        <w:rPr>
          <w:sz w:val="19"/>
          <w:szCs w:val="19"/>
        </w:rPr>
        <w:t xml:space="preserve">The theory quiz draws from a </w:t>
      </w:r>
      <w:r>
        <w:rPr>
          <w:b/>
          <w:bCs/>
          <w:sz w:val="19"/>
          <w:szCs w:val="19"/>
        </w:rPr>
        <w:t xml:space="preserve">question bank</w:t>
      </w:r>
      <w:r>
        <w:rPr>
          <w:sz w:val="19"/>
          <w:szCs w:val="19"/>
        </w:rPr>
        <w:t xml:space="preserve">, categorised </w:t>
      </w:r>
      <w:r>
        <w:rPr>
          <w:b/>
          <w:bCs/>
          <w:sz w:val="19"/>
          <w:szCs w:val="19"/>
        </w:rPr>
        <w:t xml:space="preserve">Administrative 4 · Governance 4 · Safety 7 · Teaching methods 6 · Syllabus &amp; Rubrics 4</w:t>
      </w:r>
      <w:r>
        <w:rPr>
          <w:sz w:val="19"/>
          <w:szCs w:val="19"/>
        </w:rPr>
        <w:t xml:space="preserve">, so every draw is balanced. The Portal randomises both the draw and the option order; the pass mark is set in </w:t>
      </w:r>
      <w:r>
        <w:rPr>
          <w:b/>
          <w:bCs/>
          <w:sz w:val="19"/>
          <w:szCs w:val="19"/>
        </w:rPr>
        <w:t xml:space="preserve">Manual Appendix F</w:t>
      </w:r>
      <w:r>
        <w:rPr>
          <w:sz w:val="19"/>
          <w:szCs w:val="19"/>
        </w:rPr>
        <w:t xml:space="preserve">.</w:t>
      </w:r>
    </w:p>
    <w:p>
      <w:pPr>
        <w:spacing w:after="120"/>
      </w:pPr>
      <w:r>
        <w:rPr>
          <w:sz w:val="19"/>
          <w:szCs w:val="19"/>
        </w:rPr>
        <w:t xml:space="preserve">The full bank </w:t>
      </w:r>
      <w:r>
        <w:rPr>
          <w:i/>
          <w:iCs/>
          <w:sz w:val="19"/>
          <w:szCs w:val="19"/>
        </w:rPr>
        <w:t xml:space="preserve">with answers</w:t>
      </w:r>
      <w:r>
        <w:rPr>
          <w:sz w:val="19"/>
          <w:szCs w:val="19"/>
        </w:rPr>
        <w:t xml:space="preserve"> is a </w:t>
      </w:r>
      <w:r>
        <w:rPr>
          <w:b/>
          <w:bCs/>
          <w:sz w:val="19"/>
          <w:szCs w:val="19"/>
        </w:rPr>
        <w:t xml:space="preserve">controlled document</w:t>
      </w:r>
      <w:r>
        <w:rPr>
          <w:sz w:val="19"/>
          <w:szCs w:val="19"/>
        </w:rPr>
        <w:t xml:space="preserve"> held by the Master Trainer and loaded into the Portal — it is deliberately </w:t>
      </w:r>
      <w:r>
        <w:rPr>
          <w:b/>
          <w:bCs/>
          <w:sz w:val="19"/>
          <w:szCs w:val="19"/>
        </w:rPr>
        <w:t xml:space="preserve">not printed in this candidate-facing Guide</w:t>
      </w:r>
      <w:r>
        <w:rPr>
          <w:sz w:val="19"/>
          <w:szCs w:val="19"/>
        </w:rPr>
        <w:t xml:space="preserve">, so the answer key is never circulated. The category summary above is the public view.</w:t>
      </w:r>
    </w:p>
    <w:p>
      <w:pPr>
        <w:keepNext/>
        <w:spacing w:before="220" w:after="90"/>
      </w:pPr>
      <w:r>
        <w:rPr>
          <w:b/>
          <w:bCs/>
          <w:color w:val="1E2752"/>
          <w:sz w:val="27"/>
          <w:szCs w:val="27"/>
        </w:rPr>
        <w:t xml:space="preserve">Appendix D — BADGES Assessment Sequences per level</w:t>
      </w:r>
    </w:p>
    <w:p>
      <w:pPr>
        <w:spacing w:after="120"/>
      </w:pPr>
      <w:r>
        <w:rPr>
          <w:sz w:val="19"/>
          <w:szCs w:val="19"/>
        </w:rPr>
        <w:t xml:space="preserve">Ordered run-throughs, built from the Syllabus criteria (the Syllabus owns the criteria; this is the teaching view):</w:t>
      </w:r>
    </w:p>
    <w:p>
      <w:pPr>
        <w:spacing w:after="40"/>
        <w:ind w:left="360" w:hanging="360"/>
      </w:pPr>
      <w:r>
        <w:rPr>
          <w:sz w:val="19"/>
        </w:rPr>
        <w:t xml:space="preserve">•  </w:t>
      </w:r>
      <w:r>
        <w:rPr>
          <w:b/>
          <w:bCs/>
          <w:sz w:val="19"/>
          <w:szCs w:val="19"/>
        </w:rPr>
        <w:t xml:space="preserve">L1 Starfish.</w:t>
      </w:r>
      <w:r>
        <w:rPr>
          <w:sz w:val="19"/>
          <w:szCs w:val="19"/>
        </w:rPr>
        <w:t xml:space="preserve"> Safe entry → 10 bobs → front float 10 s → rotate to back → back float 10 s → rotate to front → front flutter kick 3 m → back push-and-glide 2 m → safe exit.</w:t>
      </w:r>
    </w:p>
    <w:p>
      <w:pPr>
        <w:spacing w:after="40"/>
        <w:ind w:left="360" w:hanging="360"/>
      </w:pPr>
      <w:r>
        <w:rPr>
          <w:sz w:val="19"/>
        </w:rPr>
        <w:t xml:space="preserve">•  </w:t>
      </w:r>
      <w:r>
        <w:rPr>
          <w:b/>
          <w:bCs/>
          <w:sz w:val="19"/>
          <w:szCs w:val="19"/>
        </w:rPr>
        <w:t xml:space="preserve">L2 Sea Turtle.</w:t>
      </w:r>
      <w:r>
        <w:rPr>
          <w:sz w:val="19"/>
          <w:szCs w:val="19"/>
        </w:rPr>
        <w:t xml:space="preserve"> Safe entry → fall in, turn, grab the wall → front crawl with kick 5 m → back flutter 5 m → backstroke with kick 5 m → reach-and-pull with breath 5 m → exit.</w:t>
      </w:r>
    </w:p>
    <w:p>
      <w:pPr>
        <w:spacing w:after="40"/>
        <w:ind w:left="360" w:hanging="360"/>
      </w:pPr>
      <w:r>
        <w:rPr>
          <w:sz w:val="19"/>
        </w:rPr>
        <w:t xml:space="preserve">•  </w:t>
      </w:r>
      <w:r>
        <w:rPr>
          <w:b/>
          <w:bCs/>
          <w:sz w:val="19"/>
          <w:szCs w:val="19"/>
        </w:rPr>
        <w:t xml:space="preserve">L3 Guppy.</w:t>
      </w:r>
      <w:r>
        <w:rPr>
          <w:sz w:val="19"/>
          <w:szCs w:val="19"/>
        </w:rPr>
        <w:t xml:space="preserve"> Enter → underwater push-and-glide 3 m → front crawl (unilateral breathing) 10 m → backstroke 10 m → tread 30 s → exit.</w:t>
      </w:r>
    </w:p>
    <w:p>
      <w:pPr>
        <w:spacing w:after="40"/>
        <w:ind w:left="360" w:hanging="360"/>
      </w:pPr>
      <w:r>
        <w:rPr>
          <w:sz w:val="19"/>
        </w:rPr>
        <w:t xml:space="preserve">•  </w:t>
      </w:r>
      <w:r>
        <w:rPr>
          <w:b/>
          <w:bCs/>
          <w:sz w:val="19"/>
          <w:szCs w:val="19"/>
        </w:rPr>
        <w:t xml:space="preserve">L4 Octopus.</w:t>
      </w:r>
      <w:r>
        <w:rPr>
          <w:sz w:val="19"/>
          <w:szCs w:val="19"/>
        </w:rPr>
        <w:t xml:space="preserve"> Sit dive + underwater glide 3 m → front crawl (bilateral) 15 m → backstroke 15 m → breaststroke whip kick 10 m → survival backstroke 10 m → exit.</w:t>
      </w:r>
    </w:p>
    <w:p>
      <w:pPr>
        <w:spacing w:after="40"/>
        <w:ind w:left="360" w:hanging="360"/>
      </w:pPr>
      <w:r>
        <w:rPr>
          <w:sz w:val="19"/>
        </w:rPr>
        <w:t xml:space="preserve">•  </w:t>
      </w:r>
      <w:r>
        <w:rPr>
          <w:b/>
          <w:bCs/>
          <w:sz w:val="19"/>
          <w:szCs w:val="19"/>
        </w:rPr>
        <w:t xml:space="preserve">L5 Frog.</w:t>
      </w:r>
      <w:r>
        <w:rPr>
          <w:sz w:val="19"/>
          <w:szCs w:val="19"/>
        </w:rPr>
        <w:t xml:space="preserve"> Squat dive + dolphin kick 5 m → front crawl 25 m → backstroke 25 m → breaststroke 25 m → dolphin kick 10 m → sculling+flutter+breathing 15 m → flip turns (fwd &amp; bwd) → exit.</w:t>
      </w:r>
    </w:p>
    <w:p>
      <w:pPr>
        <w:spacing w:after="40"/>
        <w:ind w:left="360" w:hanging="360"/>
      </w:pPr>
      <w:r>
        <w:rPr>
          <w:sz w:val="19"/>
        </w:rPr>
        <w:t xml:space="preserve">•  </w:t>
      </w:r>
      <w:r>
        <w:rPr>
          <w:b/>
          <w:bCs/>
          <w:sz w:val="19"/>
          <w:szCs w:val="19"/>
        </w:rPr>
        <w:t xml:space="preserve">L6 Swordfish.</w:t>
      </w:r>
      <w:r>
        <w:rPr>
          <w:sz w:val="19"/>
          <w:szCs w:val="19"/>
        </w:rPr>
        <w:t xml:space="preserve"> Stand dive → front crawl 50 m (tumble turns) → backstroke 50 m → breaststroke w/ pull-out 50 m (open turns) → butterfly 10 m → sidestroke 15 m → turns in/out → exit.</w:t>
      </w:r>
    </w:p>
    <w:p>
      <w:pPr>
        <w:spacing w:after="40"/>
        <w:ind w:left="360" w:hanging="360"/>
      </w:pPr>
      <w:r>
        <w:rPr>
          <w:sz w:val="19"/>
        </w:rPr>
        <w:t xml:space="preserve">•  </w:t>
      </w:r>
      <w:r>
        <w:rPr>
          <w:b/>
          <w:bCs/>
          <w:sz w:val="19"/>
          <w:szCs w:val="19"/>
        </w:rPr>
        <w:t xml:space="preserve">L7 Dolphin.</w:t>
      </w:r>
      <w:r>
        <w:rPr>
          <w:sz w:val="19"/>
          <w:szCs w:val="19"/>
        </w:rPr>
        <w:t xml:space="preserve"> Stand dive → front crawl 100 m (≤2:30) → backstroke dive → backstroke 100 m → breaststroke w/ pull-out 100 m → butterfly 50 m → IM 100 m (≤3:00) → exit.</w:t>
      </w:r>
    </w:p>
    <w:p>
      <w:pPr>
        <w:spacing w:after="120"/>
      </w:pPr>
      <w:r>
        <w:rPr>
          <w:b/>
          <w:bCs/>
          <w:sz w:val="19"/>
          <w:szCs w:val="19"/>
        </w:rPr>
        <w:t xml:space="preserve">Block-plan coverage</w:t>
      </w:r>
      <w:r>
        <w:rPr>
          <w:sz w:val="19"/>
          <w:szCs w:val="19"/>
        </w:rPr>
        <w:t xml:space="preserve"> (skill category × level) is taught in M12 as a quick map of what each level assesses; the detail lives in the Syllabus.</w:t>
      </w:r>
    </w:p>
    <w:p>
      <w:pPr>
        <w:keepNext/>
        <w:spacing w:before="220" w:after="90"/>
      </w:pPr>
      <w:r>
        <w:rPr>
          <w:b/>
          <w:bCs/>
          <w:color w:val="1E2752"/>
          <w:sz w:val="27"/>
          <w:szCs w:val="27"/>
        </w:rPr>
        <w:t xml:space="preserve">Appendix E — Safety tools</w:t>
      </w:r>
    </w:p>
    <w:p>
      <w:pPr>
        <w:spacing w:after="40"/>
        <w:ind w:left="360" w:hanging="360"/>
      </w:pPr>
      <w:r>
        <w:rPr>
          <w:sz w:val="19"/>
        </w:rPr>
        <w:t xml:space="preserve">•  </w:t>
      </w:r>
      <w:r>
        <w:rPr>
          <w:b/>
          <w:bCs/>
          <w:sz w:val="19"/>
          <w:szCs w:val="19"/>
        </w:rPr>
        <w:t xml:space="preserve">Pre-class check:</w:t>
      </w:r>
      <w:r>
        <w:rPr>
          <w:sz w:val="19"/>
          <w:szCs w:val="19"/>
        </w:rPr>
        <w:t xml:space="preserve"> headcount against register · water/deck conditions · hazards controlled · rescue equipment and a competent observer in place · declared medical conditions noted.</w:t>
      </w:r>
    </w:p>
    <w:p>
      <w:pPr>
        <w:spacing w:after="40"/>
        <w:ind w:left="360" w:hanging="360"/>
      </w:pPr>
      <w:r>
        <w:rPr>
          <w:sz w:val="19"/>
        </w:rPr>
        <w:t xml:space="preserve">•  </w:t>
      </w:r>
      <w:r>
        <w:rPr>
          <w:b/>
          <w:bCs/>
          <w:sz w:val="19"/>
          <w:szCs w:val="19"/>
        </w:rPr>
        <w:t xml:space="preserve">Emergency checklist:</w:t>
      </w:r>
      <w:r>
        <w:rPr>
          <w:sz w:val="19"/>
          <w:szCs w:val="19"/>
        </w:rPr>
        <w:t xml:space="preserve"> nearest phone (accessible?) · nearest on-call ambulance number · transport to medical aid · AED location · first-aid kit (accessible, stocked, not locked) · rescue equipment · trained personnel on site.</w:t>
      </w:r>
    </w:p>
    <w:p>
      <w:pPr>
        <w:spacing w:after="40"/>
        <w:ind w:left="360" w:hanging="360"/>
      </w:pPr>
      <w:r>
        <w:rPr>
          <w:sz w:val="19"/>
        </w:rPr>
        <w:t xml:space="preserve">•  </w:t>
      </w:r>
      <w:r>
        <w:rPr>
          <w:b/>
          <w:bCs/>
          <w:sz w:val="19"/>
          <w:szCs w:val="19"/>
        </w:rPr>
        <w:t xml:space="preserve">Risk-assessment format:</w:t>
      </w:r>
      <w:r>
        <w:rPr>
          <w:sz w:val="19"/>
          <w:szCs w:val="19"/>
        </w:rPr>
        <w:t xml:space="preserve"> Hazard · Who is at risk · Control measure · Checked ☐.</w:t>
      </w:r>
    </w:p>
    <w:p>
      <w:pPr>
        <w:keepNext/>
        <w:spacing w:before="220" w:after="90"/>
      </w:pPr>
      <w:r>
        <w:rPr>
          <w:b/>
          <w:bCs/>
          <w:color w:val="1E2752"/>
          <w:sz w:val="27"/>
          <w:szCs w:val="27"/>
        </w:rPr>
        <w:t xml:space="preserve">Appendix F — Good-practice quick-reference (poolside card)</w:t>
      </w:r>
    </w:p>
    <w:p>
      <w:pPr>
        <w:spacing w:after="40"/>
        <w:ind w:left="360" w:hanging="360"/>
      </w:pPr>
      <w:r>
        <w:rPr>
          <w:sz w:val="19"/>
        </w:rPr>
        <w:t xml:space="preserve">1.  </w:t>
      </w:r>
      <w:r>
        <w:rPr>
          <w:b/>
          <w:bCs/>
          <w:sz w:val="19"/>
          <w:szCs w:val="19"/>
        </w:rPr>
        <w:t xml:space="preserve">Confidence</w:t>
      </w:r>
      <w:r>
        <w:rPr>
          <w:sz w:val="19"/>
          <w:szCs w:val="19"/>
        </w:rPr>
        <w:t xml:space="preserve"> — eye level, name, calm, praise small wins. 2. </w:t>
      </w:r>
      <w:r>
        <w:rPr>
          <w:b/>
          <w:bCs/>
          <w:sz w:val="19"/>
          <w:szCs w:val="19"/>
        </w:rPr>
        <w:t xml:space="preserve">Motivation</w:t>
      </w:r>
      <w:r>
        <w:rPr>
          <w:sz w:val="19"/>
          <w:szCs w:val="19"/>
        </w:rPr>
        <w:t xml:space="preserve"> — start and finish strong; make it fun. 3. </w:t>
      </w:r>
      <w:r>
        <w:rPr>
          <w:b/>
          <w:bCs/>
          <w:sz w:val="19"/>
          <w:szCs w:val="19"/>
        </w:rPr>
        <w:t xml:space="preserve">Movement</w:t>
      </w:r>
      <w:r>
        <w:rPr>
          <w:sz w:val="19"/>
          <w:szCs w:val="19"/>
        </w:rPr>
        <w:t xml:space="preserve"> — small sets, short repeats, everyone active. 4. </w:t>
      </w:r>
      <w:r>
        <w:rPr>
          <w:b/>
          <w:bCs/>
          <w:sz w:val="19"/>
          <w:szCs w:val="19"/>
        </w:rPr>
        <w:t xml:space="preserve">Basics</w:t>
      </w:r>
      <w:r>
        <w:rPr>
          <w:sz w:val="19"/>
          <w:szCs w:val="19"/>
        </w:rPr>
        <w:t xml:space="preserve"> — know your progressions; hold technique before advancing. 5. </w:t>
      </w:r>
      <w:r>
        <w:rPr>
          <w:b/>
          <w:bCs/>
          <w:sz w:val="19"/>
          <w:szCs w:val="19"/>
        </w:rPr>
        <w:t xml:space="preserve">Communicate</w:t>
      </w:r>
      <w:r>
        <w:rPr>
          <w:sz w:val="19"/>
          <w:szCs w:val="19"/>
        </w:rPr>
        <w:t xml:space="preserve"> — clear, concise, consistent; demonstrate; feedback sandwich. 6. </w:t>
      </w:r>
      <w:r>
        <w:rPr>
          <w:b/>
          <w:bCs/>
          <w:sz w:val="19"/>
          <w:szCs w:val="19"/>
        </w:rPr>
        <w:t xml:space="preserve">Plan</w:t>
      </w:r>
      <w:r>
        <w:rPr>
          <w:sz w:val="19"/>
          <w:szCs w:val="19"/>
        </w:rPr>
        <w:t xml:space="preserve"> — every activity has a purpose. 7. </w:t>
      </w:r>
      <w:r>
        <w:rPr>
          <w:b/>
          <w:bCs/>
          <w:sz w:val="19"/>
          <w:szCs w:val="19"/>
        </w:rPr>
        <w:t xml:space="preserve">Reward</w:t>
      </w:r>
      <w:r>
        <w:rPr>
          <w:sz w:val="19"/>
          <w:szCs w:val="19"/>
        </w:rPr>
        <w:t xml:space="preserve"> — immediate, meaningful; effort counts.</w:t>
      </w:r>
    </w:p>
    <w:p>
      <w:pPr>
        <w:keepNext/>
        <w:spacing w:before="220" w:after="90"/>
      </w:pPr>
      <w:r>
        <w:rPr>
          <w:b/>
          <w:bCs/>
          <w:color w:val="1E2752"/>
          <w:sz w:val="27"/>
          <w:szCs w:val="27"/>
        </w:rPr>
        <w:t xml:space="preserve">Appendix G — Teaching-position / line-of-sight diagram</w:t>
      </w:r>
    </w:p>
    <w:p>
      <w:pPr>
        <w:spacing w:before="120" w:after="60"/>
        <w:jc w:val="center"/>
      </w:pPr>
      <w:r>
        <w:drawing>
          <wp:inline xmlns:wp="http://schemas.openxmlformats.org/drawingml/2006/wordprocessingDrawing" distT="0" distB="0" distL="0" distR="0">
            <wp:extent cx="4953000" cy="4953000"/>
            <wp:docPr id="901" name="AppendixG"/>
            <a:graphic xmlns:a="http://schemas.openxmlformats.org/drawingml/2006/main">
              <a:graphicData uri="http://schemas.openxmlformats.org/drawingml/2006/picture">
                <pic:pic xmlns:pic="http://schemas.openxmlformats.org/drawingml/2006/picture">
                  <pic:nvPicPr>
                    <pic:cNvPr id="901" name="AppendixG"/>
                    <pic:cNvPicPr/>
                  </pic:nvPicPr>
                  <pic:blipFill>
                    <a:blip xmlns:r="http://schemas.openxmlformats.org/officeDocument/2006/relationships" r:embed="rId8"/>
                    <a:stretch>
                      <a:fillRect/>
                    </a:stretch>
                  </pic:blipFill>
                  <pic:spPr>
                    <a:xfrm>
                      <a:off x="0" y="0"/>
                      <a:ext cx="4953000" cy="4953000"/>
                    </a:xfrm>
                    <a:prstGeom prst="rect">
                      <a:avLst/>
                    </a:prstGeom>
                  </pic:spPr>
                </pic:pic>
              </a:graphicData>
            </a:graphic>
          </wp:inline>
        </w:drawing>
      </w:r>
    </w:p>
    <w:p>
      <w:pPr>
        <w:spacing w:after="120"/>
        <w:jc w:val="center"/>
      </w:pPr>
      <w:r>
        <w:rPr>
          <w:i/>
          <w:iCs/>
          <w:sz w:val="17"/>
          <w:szCs w:val="17"/>
        </w:rPr>
        <w:t xml:space="preserve">BADGES teaching-position and line-of-sight figure: front-of-line and side-on lane positions, with sightlines to every swimmer.</w:t>
      </w:r>
    </w:p>
    <w:p>
      <w:pPr>
        <w:spacing w:after="120"/>
      </w:pPr>
      <w:r>
        <w:rPr>
          <w:i/>
          <w:iCs/>
          <w:sz w:val="19"/>
          <w:szCs w:val="19"/>
        </w:rPr>
        <w:t xml:space="preserve">Front-of-line and side-on lane positions, with a line of sight to every swimmer. The principle: stand tall and open, hands visible, every swimmer in sight at all times.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E2752"/>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1E2752"/>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1E2752"/>
      <w:sz w:val="23"/>
      <w:szCs w:val="23"/>
    </w:rPr>
  </w:style>
  <w:style w:type="paragraph" w:styleId="Heading4">
    <w:name w:val="Heading 4"/>
    <w:basedOn w:val="Normal"/>
    <w:next w:val="Normal"/>
    <w:qFormat/>
    <w:pPr>
      <w:spacing w:after="80" w:before="140"/>
      <w:outlineLvl w:val="3"/>
    </w:pPr>
    <w:rPr>
      <w:rFonts w:ascii="Arial" w:cs="Arial" w:eastAsia="Arial" w:hAnsi="Arial"/>
      <w:b/>
      <w:bCs/>
      <w:color w:val="16308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appendixG.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2026-06-28T17:21:22.676Z</dcterms:created>
  <dcterms:modified xsi:type="dcterms:W3CDTF">2026-06-28T17:21:22.676Z</dcterms:modified>
</cp:coreProperties>
</file>

<file path=docProps/custom.xml><?xml version="1.0" encoding="utf-8"?>
<Properties xmlns="http://schemas.openxmlformats.org/officeDocument/2006/custom-properties" xmlns:vt="http://schemas.openxmlformats.org/officeDocument/2006/docPropsVTypes"/>
</file>