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(</w:t>
      </w:r>
      <w:r>
        <w:rPr>
          <w:bCs/>
          <w:b/>
        </w:rPr>
        <w:t xml:space="preserve">tbl:std-dir?</w:t>
      </w:r>
      <w:r>
        <w:t xml:space="preserve">)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(</w:t>
      </w:r>
      <w:r>
        <w:rPr>
          <w:bCs/>
          <w:b/>
        </w:rPr>
        <w:t xml:space="preserve">gnu-doc:bash?</w:t>
      </w:r>
      <w:r>
        <w:t xml:space="preserve">;</w:t>
      </w:r>
      <w:r>
        <w:t xml:space="preserve"> </w:t>
      </w:r>
      <w:r>
        <w:rPr>
          <w:bCs/>
          <w:b/>
        </w:rPr>
        <w:t xml:space="preserve">newham:2005:bash?</w:t>
      </w:r>
      <w:r>
        <w:t xml:space="preserve">;</w:t>
      </w:r>
      <w:r>
        <w:t xml:space="preserve"> </w:t>
      </w:r>
      <w:r>
        <w:rPr>
          <w:bCs/>
          <w:b/>
        </w:rPr>
        <w:t xml:space="preserve">zarrelli:2017:bash?</w:t>
      </w:r>
      <w:r>
        <w:t xml:space="preserve">;</w:t>
      </w:r>
      <w:r>
        <w:t xml:space="preserve"> </w:t>
      </w:r>
      <w:r>
        <w:rPr>
          <w:bCs/>
          <w:b/>
        </w:rPr>
        <w:t xml:space="preserve">robbins:2013:bash?</w:t>
      </w:r>
      <w:r>
        <w:t xml:space="preserve">;</w:t>
      </w:r>
      <w:r>
        <w:t xml:space="preserve"> </w:t>
      </w:r>
      <w:r>
        <w:rPr>
          <w:bCs/>
          <w:b/>
        </w:rPr>
        <w:t xml:space="preserve">tannenbaum:arch-pc:ru?</w:t>
      </w:r>
      <w:r>
        <w:t xml:space="preserve">;</w:t>
      </w:r>
      <w:r>
        <w:t xml:space="preserve"> </w:t>
      </w:r>
      <w:r>
        <w:rPr>
          <w:bCs/>
          <w:b/>
        </w:rPr>
        <w:t xml:space="preserve">tannenbaum:modern-os:ru?</w:t>
      </w:r>
      <w:r>
        <w:t xml:space="preserve">)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(</w:t>
      </w:r>
      <w:r>
        <w:rPr>
          <w:bCs/>
          <w:b/>
        </w:rPr>
        <w:t xml:space="preserve">fig:001?</w:t>
      </w:r>
      <w:r>
        <w:t xml:space="preserve">)</w:t>
      </w:r>
      <w:r>
        <w:t xml:space="preserve">)</w:t>
      </w:r>
    </w:p>
    <w:p>
      <w:pPr>
        <w:pStyle w:val="CaptionedFigure"/>
      </w:pPr>
      <w:bookmarkStart w:id="23" w:name="fig:001"/>
      <w:r>
        <w:t xml:space="preserve">Название рисунка</w:t>
      </w:r>
      <w:bookmarkEnd w:id="23"/>
    </w:p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2021-09-16T14:10:28Z</dcterms:created>
  <dcterms:modified xsi:type="dcterms:W3CDTF">2021-09-16T14:10:28Z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Простейший вариант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