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2E75B6"/>
          <w:sz w:val="40"/>
          <w:szCs w:val="40"/>
        </w:rPr>
        <w:t xml:space="preserve">COMSA</w:t>
      </w:r>
    </w:p>
    <w:p>
      <w:pPr>
        <w:spacing w:after="200"/>
        <w:jc w:val="center"/>
      </w:pPr>
      <w:r>
        <w:rPr>
          <w:rFonts w:ascii="Arial" w:cs="Arial" w:eastAsia="Arial" w:hAnsi="Arial"/>
          <w:b/>
          <w:bCs/>
          <w:color w:val="1F4E79"/>
          <w:sz w:val="48"/>
          <w:szCs w:val="48"/>
        </w:rPr>
        <w:t xml:space="preserve">Sistema de Gestión de Albaranes de Biomasa</w:t>
      </w:r>
    </w:p>
    <w:p>
      <w:pPr>
        <w:spacing w:after="400"/>
        <w:jc w:val="center"/>
      </w:pPr>
      <w:r>
        <w:rPr>
          <w:rFonts w:ascii="Arial" w:cs="Arial" w:eastAsia="Arial" w:hAnsi="Arial"/>
          <w:i/>
          <w:iCs/>
          <w:color w:val="666666"/>
          <w:sz w:val="24"/>
          <w:szCs w:val="24"/>
        </w:rPr>
        <w:t xml:space="preserve">Descripción de Seguridad y Cumplimiento ISO 27001</w:t>
      </w:r>
    </w:p>
    <w:p>
      <w:pPr>
        <w:pBdr>
          <w:top w:val="single" w:color="2E75B6" w:sz="8" w:space="6"/>
          <w:bottom w:val="single" w:color="2E75B6" w:sz="8" w:space="6"/>
        </w:pBdr>
        <w:spacing w:after="200" w:before="0"/>
        <w:jc w:val="center"/>
      </w:pPr>
      <w:r>
        <w:rPr>
          <w:sz w:val="10"/>
          <w:szCs w:val="10"/>
        </w:rPr>
        <w:t xml:space="preserve"> </w:t>
      </w:r>
    </w:p>
    <w:p>
      <w:pPr>
        <w:spacing w:after="80"/>
        <w:jc w:val="center"/>
      </w:pPr>
      <w:r>
        <w:rPr>
          <w:rFonts w:ascii="Arial" w:cs="Arial" w:eastAsia="Arial" w:hAnsi="Arial"/>
          <w:color w:val="2E75B6"/>
          <w:sz w:val="20"/>
          <w:szCs w:val="20"/>
        </w:rPr>
        <w:t xml:space="preserve">URL de producción: biomasa.cserintranet.com</w:t>
      </w:r>
    </w:p>
    <w:p>
      <w:pPr>
        <w:spacing w:after="80"/>
        <w:jc w:val="center"/>
      </w:pPr>
      <w:r>
        <w:rPr>
          <w:rFonts w:ascii="Arial" w:cs="Arial" w:eastAsia="Arial" w:hAnsi="Arial"/>
          <w:color w:val="888888"/>
          <w:sz w:val="19"/>
          <w:szCs w:val="19"/>
        </w:rPr>
        <w:t xml:space="preserve">Versión 1.0  —  Mayo 2026  —  Confidencial</w:t>
      </w:r>
    </w:p>
    <w:p>
      <w:pPr>
        <w:spacing w:after="0"/>
      </w:pPr>
      <w:r>
        <w:t xml:space="preserve"/>
      </w:r>
    </w:p>
    <w:p>
      <w:pPr>
        <w:spacing w:after="0"/>
      </w:pPr>
      <w:r>
        <w:t xml:space="preserve"/>
      </w:r>
    </w:p>
    <w:p>
      <w:pPr>
        <w:spacing w:after="0"/>
      </w:pPr>
      <w:r>
        <w:t xml:space="preserve"/>
      </w:r>
    </w:p>
    <w:p>
      <w:pPr>
        <w:pStyle w:val="Heading1"/>
        <w:pBdr>
          <w:bottom w:val="single" w:color="2E75B6" w:sz="6" w:space="6"/>
        </w:pBdr>
        <w:spacing w:after="120" w:before="360"/>
      </w:pPr>
      <w:r>
        <w:rPr>
          <w:rFonts w:ascii="Arial" w:cs="Arial" w:eastAsia="Arial" w:hAnsi="Arial"/>
          <w:b/>
          <w:bCs/>
          <w:color w:val="1F4E79"/>
          <w:sz w:val="28"/>
          <w:szCs w:val="28"/>
        </w:rPr>
        <w:t xml:space="preserve">1. ¿Qué es el sistema?</w:t>
      </w:r>
    </w:p>
    <w:p>
      <w:pPr>
        <w:spacing w:after="160"/>
      </w:pPr>
      <w:r>
        <w:rPr>
          <w:rFonts w:ascii="Arial" w:cs="Arial" w:eastAsia="Arial" w:hAnsi="Arial"/>
          <w:color w:val="404040"/>
          <w:sz w:val="22"/>
          <w:szCs w:val="22"/>
        </w:rPr>
        <w:t xml:space="preserve">El Sistema de Gestión de Albaranes de Biomasa es una </w:t>
      </w:r>
      <w:r>
        <w:rPr>
          <w:rFonts w:ascii="Arial" w:cs="Arial" w:eastAsia="Arial" w:hAnsi="Arial"/>
          <w:b/>
          <w:bCs/>
          <w:color w:val="1A1A1A"/>
          <w:sz w:val="22"/>
          <w:szCs w:val="22"/>
        </w:rPr>
        <w:t xml:space="preserve">aplicación web interna</w:t>
      </w:r>
      <w:r>
        <w:rPr>
          <w:rFonts w:ascii="Arial" w:cs="Arial" w:eastAsia="Arial" w:hAnsi="Arial"/>
          <w:color w:val="404040"/>
          <w:sz w:val="22"/>
          <w:szCs w:val="22"/>
        </w:rPr>
        <w:t xml:space="preserve"> desarrollada a medida para gestionar el ciclo completo de </w:t>
      </w:r>
      <w:r>
        <w:rPr>
          <w:rFonts w:ascii="Arial" w:cs="Arial" w:eastAsia="Arial" w:hAnsi="Arial"/>
          <w:b/>
          <w:bCs/>
          <w:color w:val="1A1A1A"/>
          <w:sz w:val="22"/>
          <w:szCs w:val="22"/>
        </w:rPr>
        <w:t xml:space="preserve">albaranes de transporte de biomasa</w:t>
      </w:r>
      <w:r>
        <w:rPr>
          <w:rFonts w:ascii="Arial" w:cs="Arial" w:eastAsia="Arial" w:hAnsi="Arial"/>
          <w:color w:val="404040"/>
          <w:sz w:val="22"/>
          <w:szCs w:val="22"/>
        </w:rPr>
        <w:t xml:space="preserve">. Digitaliza y centraliza el proceso de firma entre todas las partes implicadas —proveedor, astilladora, transportista, instalación y oficina—, registra pesadas, almacena documentación contractual y certificadora, y genera automáticamente el PDF definitivo de cada albarán cerrado.</w:t>
      </w:r>
    </w:p>
    <w:p>
      <w:pPr>
        <w:spacing w:after="0"/>
      </w:pPr>
      <w:r>
        <w:t xml:space="preserve"/>
      </w:r>
    </w:p>
    <w:p>
      <w:pPr>
        <w:spacing w:after="160"/>
      </w:pPr>
      <w:r>
        <w:rPr>
          <w:rFonts w:ascii="Arial" w:cs="Arial" w:eastAsia="Arial" w:hAnsi="Arial"/>
          <w:color w:val="404040"/>
          <w:sz w:val="22"/>
          <w:szCs w:val="22"/>
        </w:rPr>
        <w:t xml:space="preserve">La aplicación elimina el uso de papel, reduce errores de transcripción y proporciona un historial completamente auditado de todas las transacciones de biomasa.</w:t>
      </w:r>
    </w:p>
    <w:p>
      <w:pPr>
        <w:spacing w:after="0"/>
      </w:pPr>
      <w:r>
        <w:t xml:space="preserve"/>
      </w:r>
    </w:p>
    <w:p>
      <w:pPr>
        <w:pStyle w:val="Heading1"/>
        <w:pBdr>
          <w:bottom w:val="single" w:color="2E75B6" w:sz="6" w:space="6"/>
        </w:pBdr>
        <w:spacing w:after="120" w:before="360"/>
      </w:pPr>
      <w:r>
        <w:rPr>
          <w:rFonts w:ascii="Arial" w:cs="Arial" w:eastAsia="Arial" w:hAnsi="Arial"/>
          <w:b/>
          <w:bCs/>
          <w:color w:val="1F4E79"/>
          <w:sz w:val="28"/>
          <w:szCs w:val="28"/>
        </w:rPr>
        <w:t xml:space="preserve">2. Arquitectura del Sistema</w:t>
      </w:r>
    </w:p>
    <w:p>
      <w:pPr>
        <w:spacing w:after="160"/>
      </w:pPr>
      <w:r>
        <w:rPr>
          <w:rFonts w:ascii="Arial" w:cs="Arial" w:eastAsia="Arial" w:hAnsi="Arial"/>
          <w:b/>
          <w:bCs/>
          <w:color w:val="1F4E79"/>
          <w:sz w:val="22"/>
          <w:szCs w:val="22"/>
        </w:rPr>
        <w:t xml:space="preserve">Stack tecnológico: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200"/>
        <w:gridCol w:w="5860"/>
      </w:tblGrid>
      <w:tr>
        <w:tc>
          <w:tcPr>
            <w:tcW w:type="dxa" w:w="3200"/>
            <w:tcBorders>
              <w:top w:val="single" w:color="AACDE8" w:sz="4"/>
              <w:left w:val="single" w:color="AACDE8" w:sz="4"/>
              <w:bottom w:val="single" w:color="AACDE8" w:sz="4"/>
              <w:right w:val="single" w:color="AACDE8" w:sz="4"/>
            </w:tcBorders>
            <w:shd w:fill="2E75B6" w:val="clear"/>
            <w:tcMar>
              <w:top w:type="dxa" w:w="100"/>
              <w:left w:type="dxa" w:w="160"/>
              <w:bottom w:type="dxa" w:w="100"/>
              <w:right w:type="dxa" w:w="100"/>
            </w:tcMar>
            <w:vAlign w:val="center"/>
          </w:tcPr>
          <w:p>
            <w:r>
              <w:rPr>
                <w:rFonts w:ascii="Arial" w:cs="Arial" w:eastAsia="Arial" w:hAnsi="Arial"/>
                <w:b/>
                <w:bCs/>
                <w:color w:val="FFFFFF"/>
                <w:sz w:val="20"/>
                <w:szCs w:val="20"/>
              </w:rPr>
              <w:t xml:space="preserve">Capa</w:t>
            </w:r>
          </w:p>
        </w:tc>
        <w:tc>
          <w:tcPr>
            <w:tcW w:type="dxa" w:w="5860"/>
            <w:tcBorders>
              <w:top w:val="single" w:color="AACDE8" w:sz="4"/>
              <w:left w:val="single" w:color="AACDE8" w:sz="4"/>
              <w:bottom w:val="single" w:color="AACDE8" w:sz="4"/>
              <w:right w:val="single" w:color="AACDE8" w:sz="4"/>
            </w:tcBorders>
            <w:shd w:fill="2E75B6" w:val="clear"/>
            <w:tcMar>
              <w:top w:type="dxa" w:w="100"/>
              <w:left w:type="dxa" w:w="160"/>
              <w:bottom w:type="dxa" w:w="100"/>
              <w:right w:type="dxa" w:w="100"/>
            </w:tcMar>
            <w:vAlign w:val="center"/>
          </w:tcPr>
          <w:p>
            <w:r>
              <w:rPr>
                <w:rFonts w:ascii="Arial" w:cs="Arial" w:eastAsia="Arial" w:hAnsi="Arial"/>
                <w:b/>
                <w:bCs/>
                <w:color w:val="FFFFFF"/>
                <w:sz w:val="20"/>
                <w:szCs w:val="20"/>
              </w:rPr>
              <w:t xml:space="preserve">Tecnología</w:t>
            </w:r>
          </w:p>
        </w:tc>
      </w:tr>
      <w:tr>
        <w:tc>
          <w:tcPr>
            <w:tcW w:type="dxa" w:w="32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Frontend</w:t>
            </w:r>
          </w:p>
        </w:tc>
        <w:tc>
          <w:tcPr>
            <w:tcW w:type="dxa" w:w="58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React 18 + Vite (SPA)</w:t>
            </w:r>
          </w:p>
        </w:tc>
      </w:tr>
      <w:tr>
        <w:tc>
          <w:tcPr>
            <w:tcW w:type="dxa" w:w="32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Backend / API</w:t>
            </w:r>
          </w:p>
        </w:tc>
        <w:tc>
          <w:tcPr>
            <w:tcW w:type="dxa" w:w="58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Node.js + Express (API REST)</w:t>
            </w:r>
          </w:p>
        </w:tc>
      </w:tr>
      <w:tr>
        <w:tc>
          <w:tcPr>
            <w:tcW w:type="dxa" w:w="32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Base de datos</w:t>
            </w:r>
          </w:p>
        </w:tc>
        <w:tc>
          <w:tcPr>
            <w:tcW w:type="dxa" w:w="58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PostgreSQL (red interna Docker)</w:t>
            </w:r>
          </w:p>
        </w:tc>
      </w:tr>
      <w:tr>
        <w:tc>
          <w:tcPr>
            <w:tcW w:type="dxa" w:w="32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Almacenamiento</w:t>
            </w:r>
          </w:p>
        </w:tc>
        <w:tc>
          <w:tcPr>
            <w:tcW w:type="dxa" w:w="58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MinIO — S3-compatible (red interna Docker)</w:t>
            </w:r>
          </w:p>
        </w:tc>
      </w:tr>
      <w:tr>
        <w:tc>
          <w:tcPr>
            <w:tcW w:type="dxa" w:w="32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Correo</w:t>
            </w:r>
          </w:p>
        </w:tc>
        <w:tc>
          <w:tcPr>
            <w:tcW w:type="dxa" w:w="58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Nodemailer + SMTP con STARTTLS</w:t>
            </w:r>
          </w:p>
        </w:tc>
      </w:tr>
      <w:tr>
        <w:tc>
          <w:tcPr>
            <w:tcW w:type="dxa" w:w="32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Infraestructura</w:t>
            </w:r>
          </w:p>
        </w:tc>
        <w:tc>
          <w:tcPr>
            <w:tcW w:type="dxa" w:w="58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Docker Compose en servidor Linux</w:t>
            </w:r>
          </w:p>
        </w:tc>
      </w:tr>
      <w:tr>
        <w:tc>
          <w:tcPr>
            <w:tcW w:type="dxa" w:w="32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CI/CD</w:t>
            </w:r>
          </w:p>
        </w:tc>
        <w:tc>
          <w:tcPr>
            <w:tcW w:type="dxa" w:w="58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GitHub Actions → imagen Docker → GHCR</w:t>
            </w:r>
          </w:p>
        </w:tc>
      </w:tr>
    </w:tbl>
    <w:p>
      <w:pPr>
        <w:spacing w:after="0"/>
      </w:pPr>
      <w:r>
        <w:t xml:space="preserve"/>
      </w:r>
    </w:p>
    <w:p>
      <w:pPr>
        <w:spacing w:after="160"/>
      </w:pPr>
      <w:r>
        <w:rPr>
          <w:rFonts w:ascii="Arial" w:cs="Arial" w:eastAsia="Arial" w:hAnsi="Arial"/>
          <w:color w:val="404040"/>
          <w:sz w:val="22"/>
          <w:szCs w:val="22"/>
        </w:rPr>
        <w:t xml:space="preserve">Solo el </w:t>
      </w:r>
      <w:r>
        <w:rPr>
          <w:rFonts w:ascii="Arial" w:cs="Arial" w:eastAsia="Arial" w:hAnsi="Arial"/>
          <w:b/>
          <w:bCs/>
          <w:color w:val="1A1A1A"/>
          <w:sz w:val="22"/>
          <w:szCs w:val="22"/>
        </w:rPr>
        <w:t xml:space="preserve">puerto 443 (HTTPS)</w:t>
      </w:r>
      <w:r>
        <w:rPr>
          <w:rFonts w:ascii="Arial" w:cs="Arial" w:eastAsia="Arial" w:hAnsi="Arial"/>
          <w:color w:val="404040"/>
          <w:sz w:val="22"/>
          <w:szCs w:val="22"/>
        </w:rPr>
        <w:t xml:space="preserve"> está expuesto al exterior. PostgreSQL, MinIO y el resto de servicios se comunican exclusivamente a través de la </w:t>
      </w:r>
      <w:r>
        <w:rPr>
          <w:rFonts w:ascii="Arial" w:cs="Arial" w:eastAsia="Arial" w:hAnsi="Arial"/>
          <w:b/>
          <w:bCs/>
          <w:color w:val="1A1A1A"/>
          <w:sz w:val="22"/>
          <w:szCs w:val="22"/>
        </w:rPr>
        <w:t xml:space="preserve">red privada Docker</w:t>
      </w:r>
      <w:r>
        <w:rPr>
          <w:rFonts w:ascii="Arial" w:cs="Arial" w:eastAsia="Arial" w:hAnsi="Arial"/>
          <w:color w:val="404040"/>
          <w:sz w:val="22"/>
          <w:szCs w:val="22"/>
        </w:rPr>
        <w:t xml:space="preserve">, sin ningún puerto adicional accesible desde fuera.</w:t>
      </w:r>
    </w:p>
    <w:p>
      <w:pPr>
        <w:spacing w:after="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2E75B6" w:sz="6"/>
              <w:left w:val="thick" w:color="2E75B6" w:sz="24"/>
              <w:bottom w:val="single" w:color="2E75B6" w:sz="6"/>
              <w:right w:val="single" w:color="DDDDDD" w:sz="1"/>
            </w:tcBorders>
            <w:shd w:fill="EBF3FC" w:val="clear"/>
            <w:tcMar>
              <w:top w:type="dxa" w:w="140"/>
              <w:left w:type="dxa" w:w="200"/>
              <w:bottom w:type="dxa" w:w="140"/>
              <w:right w:type="dxa" w:w="200"/>
            </w:tcMar>
          </w:tcPr>
          <w:p>
            <w:r>
              <w:rPr>
                <w:rFonts w:ascii="Arial" w:cs="Arial" w:eastAsia="Arial" w:hAnsi="Arial"/>
                <w:i/>
                <w:iCs/>
                <w:color w:val="1A3A5C"/>
                <w:sz w:val="21"/>
                <w:szCs w:val="21"/>
              </w:rPr>
              <w:t xml:space="preserve">Todo el tráfico entre el navegador y el servidor viaja cifrado con TLS. No existe ninguna ruta de comunicación sin cifrar.</w:t>
            </w:r>
          </w:p>
        </w:tc>
      </w:tr>
    </w:tbl>
    <w:p>
      <w:pPr>
        <w:spacing w:after="0"/>
      </w:pPr>
      <w:r>
        <w:t xml:space="preserve"/>
      </w:r>
    </w:p>
    <w:p>
      <w:pPr>
        <w:pStyle w:val="Heading1"/>
        <w:pBdr>
          <w:bottom w:val="single" w:color="2E75B6" w:sz="6" w:space="6"/>
        </w:pBdr>
        <w:spacing w:after="120" w:before="360"/>
      </w:pPr>
      <w:r>
        <w:rPr>
          <w:rFonts w:ascii="Arial" w:cs="Arial" w:eastAsia="Arial" w:hAnsi="Arial"/>
          <w:b/>
          <w:bCs/>
          <w:color w:val="1F4E79"/>
          <w:sz w:val="28"/>
          <w:szCs w:val="28"/>
        </w:rPr>
        <w:t xml:space="preserve">3. Acceso y Roles de Usuario</w:t>
      </w:r>
    </w:p>
    <w:p>
      <w:pPr>
        <w:pStyle w:val="Heading2"/>
        <w:spacing w:after="80" w:before="240"/>
      </w:pPr>
      <w:r>
        <w:rPr>
          <w:rFonts w:ascii="Arial" w:cs="Arial" w:eastAsia="Arial" w:hAnsi="Arial"/>
          <w:b/>
          <w:bCs/>
          <w:color w:val="2E75B6"/>
          <w:sz w:val="24"/>
          <w:szCs w:val="24"/>
        </w:rPr>
        <w:t xml:space="preserve">3.1  Usuarios internos — Autenticación con Azure Active Directory</w:t>
      </w:r>
    </w:p>
    <w:p>
      <w:pPr>
        <w:spacing w:after="160"/>
      </w:pPr>
      <w:r>
        <w:rPr>
          <w:rFonts w:ascii="Arial" w:cs="Arial" w:eastAsia="Arial" w:hAnsi="Arial"/>
          <w:color w:val="404040"/>
          <w:sz w:val="22"/>
          <w:szCs w:val="22"/>
        </w:rPr>
        <w:t xml:space="preserve">El personal de COMSA accede a la aplicación mediante </w:t>
      </w:r>
      <w:r>
        <w:rPr>
          <w:rFonts w:ascii="Arial" w:cs="Arial" w:eastAsia="Arial" w:hAnsi="Arial"/>
          <w:b/>
          <w:bCs/>
          <w:color w:val="1A1A1A"/>
          <w:sz w:val="22"/>
          <w:szCs w:val="22"/>
        </w:rPr>
        <w:t xml:space="preserve">Azure Active Directory (Azure AD)</w:t>
      </w:r>
      <w:r>
        <w:rPr>
          <w:rFonts w:ascii="Arial" w:cs="Arial" w:eastAsia="Arial" w:hAnsi="Arial"/>
          <w:color w:val="404040"/>
          <w:sz w:val="22"/>
          <w:szCs w:val="22"/>
        </w:rPr>
        <w:t xml:space="preserve">, la solución corporativa de gestión de identidades de Microsoft. Esto garantiza:</w:t>
      </w:r>
    </w:p>
    <w:p>
      <w:pPr>
        <w:pStyle w:val="ListParagraph"/>
        <w:numPr>
          <w:ilvl w:val="0"/>
          <w:numId w:val="2"/>
        </w:numPr>
        <w:spacing w:after="80"/>
      </w:pPr>
      <w:r>
        <w:rPr>
          <w:rFonts w:ascii="Arial" w:cs="Arial" w:eastAsia="Arial" w:hAnsi="Arial"/>
          <w:color w:val="404040"/>
          <w:sz w:val="22"/>
          <w:szCs w:val="22"/>
        </w:rPr>
        <w:t xml:space="preserve">Las credenciales son las de la cuenta corporativa COMSA: no hay contraseñas adicionales.</w:t>
      </w:r>
    </w:p>
    <w:p>
      <w:pPr>
        <w:pStyle w:val="ListParagraph"/>
        <w:numPr>
          <w:ilvl w:val="0"/>
          <w:numId w:val="2"/>
        </w:numPr>
        <w:spacing w:after="80"/>
      </w:pPr>
      <w:r>
        <w:rPr>
          <w:rFonts w:ascii="Arial" w:cs="Arial" w:eastAsia="Arial" w:hAnsi="Arial"/>
          <w:color w:val="404040"/>
          <w:sz w:val="22"/>
          <w:szCs w:val="22"/>
        </w:rPr>
        <w:t xml:space="preserve">El acceso puede revocarse de forma inmediata desde el directorio corporativo ante cualquier baja o cambio de rol.</w:t>
      </w:r>
    </w:p>
    <w:p>
      <w:pPr>
        <w:pStyle w:val="ListParagraph"/>
        <w:numPr>
          <w:ilvl w:val="0"/>
          <w:numId w:val="2"/>
        </w:numPr>
        <w:spacing w:after="80"/>
      </w:pPr>
      <w:r>
        <w:rPr>
          <w:rFonts w:ascii="Arial" w:cs="Arial" w:eastAsia="Arial" w:hAnsi="Arial"/>
          <w:color w:val="404040"/>
          <w:sz w:val="22"/>
          <w:szCs w:val="22"/>
        </w:rPr>
        <w:t xml:space="preserve">Se heredan automáticamente las políticas de seguridad corporativas: complejidad de contraseña, MFA y acceso condicional.</w:t>
      </w:r>
    </w:p>
    <w:p>
      <w:pPr>
        <w:pStyle w:val="ListParagraph"/>
        <w:numPr>
          <w:ilvl w:val="0"/>
          <w:numId w:val="2"/>
        </w:numPr>
        <w:spacing w:after="80"/>
      </w:pPr>
      <w:r>
        <w:rPr>
          <w:rFonts w:ascii="Arial" w:cs="Arial" w:eastAsia="Arial" w:hAnsi="Arial"/>
          <w:color w:val="404040"/>
          <w:sz w:val="22"/>
          <w:szCs w:val="22"/>
        </w:rPr>
        <w:t xml:space="preserve">Los roles dentro de la aplicación (Superadmin / Usuario) se asignan una vez autenticada la identidad corporativa.</w:t>
      </w:r>
    </w:p>
    <w:p>
      <w:pPr>
        <w:spacing w:after="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6260"/>
      </w:tblGrid>
      <w:tr>
        <w:tc>
          <w:tcPr>
            <w:tcW w:type="dxa" w:w="2800"/>
            <w:tcBorders>
              <w:top w:val="single" w:color="AACDE8" w:sz="4"/>
              <w:left w:val="single" w:color="AACDE8" w:sz="4"/>
              <w:bottom w:val="single" w:color="AACDE8" w:sz="4"/>
              <w:right w:val="single" w:color="AACDE8" w:sz="4"/>
            </w:tcBorders>
            <w:shd w:fill="2E75B6" w:val="clear"/>
            <w:tcMar>
              <w:top w:type="dxa" w:w="100"/>
              <w:left w:type="dxa" w:w="160"/>
              <w:bottom w:type="dxa" w:w="100"/>
              <w:right w:type="dxa" w:w="100"/>
            </w:tcMar>
            <w:vAlign w:val="center"/>
          </w:tcPr>
          <w:p>
            <w:r>
              <w:rPr>
                <w:rFonts w:ascii="Arial" w:cs="Arial" w:eastAsia="Arial" w:hAnsi="Arial"/>
                <w:b/>
                <w:bCs/>
                <w:color w:val="FFFFFF"/>
                <w:sz w:val="20"/>
                <w:szCs w:val="20"/>
              </w:rPr>
              <w:t xml:space="preserve">Rol</w:t>
            </w:r>
          </w:p>
        </w:tc>
        <w:tc>
          <w:tcPr>
            <w:tcW w:type="dxa" w:w="6260"/>
            <w:tcBorders>
              <w:top w:val="single" w:color="AACDE8" w:sz="4"/>
              <w:left w:val="single" w:color="AACDE8" w:sz="4"/>
              <w:bottom w:val="single" w:color="AACDE8" w:sz="4"/>
              <w:right w:val="single" w:color="AACDE8" w:sz="4"/>
            </w:tcBorders>
            <w:shd w:fill="2E75B6" w:val="clear"/>
            <w:tcMar>
              <w:top w:type="dxa" w:w="100"/>
              <w:left w:type="dxa" w:w="160"/>
              <w:bottom w:type="dxa" w:w="100"/>
              <w:right w:type="dxa" w:w="100"/>
            </w:tcMar>
            <w:vAlign w:val="center"/>
          </w:tcPr>
          <w:p>
            <w:r>
              <w:rPr>
                <w:rFonts w:ascii="Arial" w:cs="Arial" w:eastAsia="Arial" w:hAnsi="Arial"/>
                <w:b/>
                <w:bCs/>
                <w:color w:val="FFFFFF"/>
                <w:sz w:val="20"/>
                <w:szCs w:val="20"/>
              </w:rPr>
              <w:t xml:space="preserve">Permisos principales</w:t>
            </w:r>
          </w:p>
        </w:tc>
      </w:tr>
      <w:tr>
        <w:tc>
          <w:tcPr>
            <w:tcW w:type="dxa" w:w="28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Superadmin</w:t>
            </w:r>
          </w:p>
        </w:tc>
        <w:tc>
          <w:tcPr>
            <w:tcW w:type="dxa" w:w="62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Acceso total, gestión de usuarios, borrado y reapertura de albaranes, auditoría completa</w:t>
            </w:r>
          </w:p>
        </w:tc>
      </w:tr>
      <w:tr>
        <w:tc>
          <w:tcPr>
            <w:tcW w:type="dxa" w:w="28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Usuario</w:t>
            </w:r>
          </w:p>
        </w:tc>
        <w:tc>
          <w:tcPr>
            <w:tcW w:type="dxa" w:w="62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Operaciones diarias: crear albaranes, consultar historial y estadísticas, administración básica</w:t>
            </w:r>
          </w:p>
        </w:tc>
      </w:tr>
    </w:tbl>
    <w:p>
      <w:pPr>
        <w:spacing w:after="0"/>
      </w:pPr>
      <w:r>
        <w:t xml:space="preserve"/>
      </w:r>
    </w:p>
    <w:p>
      <w:pPr>
        <w:pStyle w:val="Heading2"/>
        <w:spacing w:after="80" w:before="240"/>
      </w:pPr>
      <w:r>
        <w:rPr>
          <w:rFonts w:ascii="Arial" w:cs="Arial" w:eastAsia="Arial" w:hAnsi="Arial"/>
          <w:b/>
          <w:bCs/>
          <w:color w:val="2E75B6"/>
          <w:sz w:val="24"/>
          <w:szCs w:val="24"/>
        </w:rPr>
        <w:t xml:space="preserve">3.2  Usuarios externos — Acceso por enlace único de albarán</w:t>
      </w:r>
    </w:p>
    <w:p>
      <w:pPr>
        <w:spacing w:after="160"/>
      </w:pPr>
      <w:r>
        <w:rPr>
          <w:rFonts w:ascii="Arial" w:cs="Arial" w:eastAsia="Arial" w:hAnsi="Arial"/>
          <w:color w:val="404040"/>
          <w:sz w:val="22"/>
          <w:szCs w:val="22"/>
        </w:rPr>
        <w:t xml:space="preserve">Los actores externos (proveedor, astilladora, transportista, instalación) </w:t>
      </w:r>
      <w:r>
        <w:rPr>
          <w:rFonts w:ascii="Arial" w:cs="Arial" w:eastAsia="Arial" w:hAnsi="Arial"/>
          <w:b/>
          <w:bCs/>
          <w:color w:val="1A1A1A"/>
          <w:sz w:val="22"/>
          <w:szCs w:val="22"/>
        </w:rPr>
        <w:t xml:space="preserve">no disponen de cuenta en el sistema</w:t>
      </w:r>
      <w:r>
        <w:rPr>
          <w:rFonts w:ascii="Arial" w:cs="Arial" w:eastAsia="Arial" w:hAnsi="Arial"/>
          <w:color w:val="404040"/>
          <w:sz w:val="22"/>
          <w:szCs w:val="22"/>
        </w:rPr>
        <w:t xml:space="preserve">. Para firmar un albarán reciben un </w:t>
      </w:r>
      <w:r>
        <w:rPr>
          <w:rFonts w:ascii="Arial" w:cs="Arial" w:eastAsia="Arial" w:hAnsi="Arial"/>
          <w:b/>
          <w:bCs/>
          <w:color w:val="1A1A1A"/>
          <w:sz w:val="22"/>
          <w:szCs w:val="22"/>
        </w:rPr>
        <w:t xml:space="preserve">enlace único y específico</w:t>
      </w:r>
      <w:r>
        <w:rPr>
          <w:rFonts w:ascii="Arial" w:cs="Arial" w:eastAsia="Arial" w:hAnsi="Arial"/>
          <w:color w:val="404040"/>
          <w:sz w:val="22"/>
          <w:szCs w:val="22"/>
        </w:rPr>
        <w:t xml:space="preserve"> que les da acceso </w:t>
      </w:r>
      <w:r>
        <w:rPr>
          <w:rFonts w:ascii="Arial" w:cs="Arial" w:eastAsia="Arial" w:hAnsi="Arial"/>
          <w:b/>
          <w:bCs/>
          <w:color w:val="1A1A1A"/>
          <w:sz w:val="22"/>
          <w:szCs w:val="22"/>
        </w:rPr>
        <w:t xml:space="preserve">exclusivamente a ese albarán y únicamente a las acciones de su rol</w:t>
      </w:r>
      <w:r>
        <w:rPr>
          <w:rFonts w:ascii="Arial" w:cs="Arial" w:eastAsia="Arial" w:hAnsi="Arial"/>
          <w:color w:val="404040"/>
          <w:sz w:val="22"/>
          <w:szCs w:val="22"/>
        </w:rPr>
        <w:t xml:space="preserve">.</w:t>
      </w:r>
    </w:p>
    <w:p>
      <w:pPr>
        <w:spacing w:after="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2E75B6" w:sz="6"/>
              <w:left w:val="thick" w:color="2E75B6" w:sz="24"/>
              <w:bottom w:val="single" w:color="2E75B6" w:sz="6"/>
              <w:right w:val="single" w:color="DDDDDD" w:sz="1"/>
            </w:tcBorders>
            <w:shd w:fill="EBF3FC" w:val="clear"/>
            <w:tcMar>
              <w:top w:type="dxa" w:w="140"/>
              <w:left w:type="dxa" w:w="200"/>
              <w:bottom w:type="dxa" w:w="140"/>
              <w:right w:type="dxa" w:w="200"/>
            </w:tcMar>
          </w:tcPr>
          <w:p>
            <w:r>
              <w:rPr>
                <w:rFonts w:ascii="Arial" w:cs="Arial" w:eastAsia="Arial" w:hAnsi="Arial"/>
                <w:i/>
                <w:iCs/>
                <w:color w:val="1A3A5C"/>
                <w:sz w:val="21"/>
                <w:szCs w:val="21"/>
              </w:rPr>
              <w:t xml:space="preserve">Un usuario externo que accede con su enlace NUNCA puede ver datos de otros albaranes, otros proveedores, otros transportistas ni ninguna información privada de la organización. El acceso está acotado al albarán concreto para el que fue invitado.</w:t>
            </w:r>
          </w:p>
        </w:tc>
      </w:tr>
    </w:tbl>
    <w:p>
      <w:pPr>
        <w:spacing w:after="0"/>
      </w:pPr>
      <w:r>
        <w:t xml:space="preserve"/>
      </w:r>
    </w:p>
    <w:p>
      <w:pPr>
        <w:spacing w:after="160"/>
      </w:pPr>
      <w:r>
        <w:rPr>
          <w:rFonts w:ascii="Arial" w:cs="Arial" w:eastAsia="Arial" w:hAnsi="Arial"/>
          <w:b/>
          <w:bCs/>
          <w:color w:val="1F4E79"/>
          <w:sz w:val="22"/>
          <w:szCs w:val="22"/>
        </w:rPr>
        <w:t xml:space="preserve">Garantías de aislamiento:</w:t>
      </w:r>
    </w:p>
    <w:p>
      <w:pPr>
        <w:pStyle w:val="ListParagraph"/>
        <w:numPr>
          <w:ilvl w:val="0"/>
          <w:numId w:val="2"/>
        </w:numPr>
        <w:spacing w:after="80"/>
      </w:pPr>
      <w:r>
        <w:rPr>
          <w:rFonts w:ascii="Arial" w:cs="Arial" w:eastAsia="Arial" w:hAnsi="Arial"/>
          <w:color w:val="404040"/>
          <w:sz w:val="22"/>
          <w:szCs w:val="22"/>
        </w:rPr>
        <w:t xml:space="preserve">El identificador del albarán en la URL no es secuencial ni predecible —imposible enumerar otros albaranes.</w:t>
      </w:r>
    </w:p>
    <w:p>
      <w:pPr>
        <w:pStyle w:val="ListParagraph"/>
        <w:numPr>
          <w:ilvl w:val="0"/>
          <w:numId w:val="2"/>
        </w:numPr>
        <w:spacing w:after="80"/>
      </w:pPr>
      <w:r>
        <w:rPr>
          <w:rFonts w:ascii="Arial" w:cs="Arial" w:eastAsia="Arial" w:hAnsi="Arial"/>
          <w:color w:val="404040"/>
          <w:sz w:val="22"/>
          <w:szCs w:val="22"/>
        </w:rPr>
        <w:t xml:space="preserve">El rol indicado en el enlace limita las acciones disponibles: solo se puede firmar en el paso correspondiente.</w:t>
      </w:r>
    </w:p>
    <w:p>
      <w:pPr>
        <w:pStyle w:val="ListParagraph"/>
        <w:numPr>
          <w:ilvl w:val="0"/>
          <w:numId w:val="2"/>
        </w:numPr>
        <w:spacing w:after="80"/>
      </w:pPr>
      <w:r>
        <w:rPr>
          <w:rFonts w:ascii="Arial" w:cs="Arial" w:eastAsia="Arial" w:hAnsi="Arial"/>
          <w:color w:val="404040"/>
          <w:sz w:val="22"/>
          <w:szCs w:val="22"/>
        </w:rPr>
        <w:t xml:space="preserve">Una vez cerrado el albarán (firmado por Oficina), el enlace queda inactivo.</w:t>
      </w:r>
    </w:p>
    <w:p>
      <w:pPr>
        <w:pStyle w:val="ListParagraph"/>
        <w:numPr>
          <w:ilvl w:val="0"/>
          <w:numId w:val="2"/>
        </w:numPr>
        <w:spacing w:after="80"/>
      </w:pPr>
      <w:r>
        <w:rPr>
          <w:rFonts w:ascii="Arial" w:cs="Arial" w:eastAsia="Arial" w:hAnsi="Arial"/>
          <w:color w:val="404040"/>
          <w:sz w:val="22"/>
          <w:szCs w:val="22"/>
        </w:rPr>
        <w:t xml:space="preserve">No se expone ningún dato de otros albaranes, clientes, proveedores ni de la base de datos corporativa.</w:t>
      </w:r>
    </w:p>
    <w:p>
      <w:pPr>
        <w:pStyle w:val="ListParagraph"/>
        <w:numPr>
          <w:ilvl w:val="0"/>
          <w:numId w:val="2"/>
        </w:numPr>
        <w:spacing w:after="80"/>
      </w:pPr>
      <w:r>
        <w:rPr>
          <w:rFonts w:ascii="Arial" w:cs="Arial" w:eastAsia="Arial" w:hAnsi="Arial"/>
          <w:color w:val="404040"/>
          <w:sz w:val="22"/>
          <w:szCs w:val="22"/>
        </w:rPr>
        <w:t xml:space="preserve">Cada firma registra: actor, nombre de la persona física, dirección IP de origen y marca de tiempo —trazabilidad completa e inmutable.</w:t>
      </w:r>
    </w:p>
    <w:p>
      <w:pPr>
        <w:spacing w:after="0"/>
      </w:pPr>
      <w:r>
        <w:t xml:space="preserve"/>
      </w:r>
    </w:p>
    <w:p>
      <w:pPr>
        <w:pStyle w:val="Heading1"/>
        <w:pBdr>
          <w:bottom w:val="single" w:color="2E75B6" w:sz="6" w:space="6"/>
        </w:pBdr>
        <w:spacing w:after="120" w:before="360"/>
      </w:pPr>
      <w:r>
        <w:rPr>
          <w:rFonts w:ascii="Arial" w:cs="Arial" w:eastAsia="Arial" w:hAnsi="Arial"/>
          <w:b/>
          <w:bCs/>
          <w:color w:val="1F4E79"/>
          <w:sz w:val="28"/>
          <w:szCs w:val="28"/>
        </w:rPr>
        <w:t xml:space="preserve">4. Medidas de Seguridad Implementadas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400"/>
        <w:gridCol w:w="5660"/>
      </w:tblGrid>
      <w:tr>
        <w:tc>
          <w:tcPr>
            <w:tcW w:type="dxa" w:w="3400"/>
            <w:tcBorders>
              <w:top w:val="single" w:color="AACDE8" w:sz="4"/>
              <w:left w:val="single" w:color="AACDE8" w:sz="4"/>
              <w:bottom w:val="single" w:color="AACDE8" w:sz="4"/>
              <w:right w:val="single" w:color="AACDE8" w:sz="4"/>
            </w:tcBorders>
            <w:shd w:fill="2E75B6" w:val="clear"/>
            <w:tcMar>
              <w:top w:type="dxa" w:w="100"/>
              <w:left w:type="dxa" w:w="160"/>
              <w:bottom w:type="dxa" w:w="100"/>
              <w:right w:type="dxa" w:w="100"/>
            </w:tcMar>
            <w:vAlign w:val="center"/>
          </w:tcPr>
          <w:p>
            <w:r>
              <w:rPr>
                <w:rFonts w:ascii="Arial" w:cs="Arial" w:eastAsia="Arial" w:hAnsi="Arial"/>
                <w:b/>
                <w:bCs/>
                <w:color w:val="FFFFFF"/>
                <w:sz w:val="20"/>
                <w:szCs w:val="20"/>
              </w:rPr>
              <w:t xml:space="preserve">Aspecto</w:t>
            </w:r>
          </w:p>
        </w:tc>
        <w:tc>
          <w:tcPr>
            <w:tcW w:type="dxa" w:w="5660"/>
            <w:tcBorders>
              <w:top w:val="single" w:color="AACDE8" w:sz="4"/>
              <w:left w:val="single" w:color="AACDE8" w:sz="4"/>
              <w:bottom w:val="single" w:color="AACDE8" w:sz="4"/>
              <w:right w:val="single" w:color="AACDE8" w:sz="4"/>
            </w:tcBorders>
            <w:shd w:fill="2E75B6" w:val="clear"/>
            <w:tcMar>
              <w:top w:type="dxa" w:w="100"/>
              <w:left w:type="dxa" w:w="160"/>
              <w:bottom w:type="dxa" w:w="100"/>
              <w:right w:type="dxa" w:w="100"/>
            </w:tcMar>
            <w:vAlign w:val="center"/>
          </w:tcPr>
          <w:p>
            <w:r>
              <w:rPr>
                <w:rFonts w:ascii="Arial" w:cs="Arial" w:eastAsia="Arial" w:hAnsi="Arial"/>
                <w:b/>
                <w:bCs/>
                <w:color w:val="FFFFFF"/>
                <w:sz w:val="20"/>
                <w:szCs w:val="20"/>
              </w:rPr>
              <w:t xml:space="preserve">Implementación</w:t>
            </w:r>
          </w:p>
        </w:tc>
      </w:tr>
      <w:tr>
        <w:tc>
          <w:tcPr>
            <w:tcW w:type="dxa" w:w="34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Cifrado en tránsito</w:t>
            </w:r>
          </w:p>
        </w:tc>
        <w:tc>
          <w:tcPr>
            <w:tcW w:type="dxa" w:w="56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HTTPS/TLS obligatorio — ningún dato viaja en claro</w:t>
            </w:r>
          </w:p>
        </w:tc>
      </w:tr>
      <w:tr>
        <w:tc>
          <w:tcPr>
            <w:tcW w:type="dxa" w:w="34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Autenticación interna</w:t>
            </w:r>
          </w:p>
        </w:tc>
        <w:tc>
          <w:tcPr>
            <w:tcW w:type="dxa" w:w="56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Azure Active Directory (SSO corporativo) + JWT para la sesión de API</w:t>
            </w:r>
          </w:p>
        </w:tc>
      </w:tr>
      <w:tr>
        <w:tc>
          <w:tcPr>
            <w:tcW w:type="dxa" w:w="34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Autorización de API</w:t>
            </w:r>
          </w:p>
        </w:tc>
        <w:tc>
          <w:tcPr>
            <w:tcW w:type="dxa" w:w="56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Middleware requireAuth en todas las rutas internas: imposible acceder sin token válido</w:t>
            </w:r>
          </w:p>
        </w:tc>
      </w:tr>
      <w:tr>
        <w:tc>
          <w:tcPr>
            <w:tcW w:type="dxa" w:w="34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Aislamiento acceso externo</w:t>
            </w:r>
          </w:p>
        </w:tc>
        <w:tc>
          <w:tcPr>
            <w:tcW w:type="dxa" w:w="56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Enlace único por albarán y por rol — sin acceso cruzado a ningún otro dato</w:t>
            </w:r>
          </w:p>
        </w:tc>
      </w:tr>
      <w:tr>
        <w:tc>
          <w:tcPr>
            <w:tcW w:type="dxa" w:w="34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Firma electrónica</w:t>
            </w:r>
          </w:p>
        </w:tc>
        <w:tc>
          <w:tcPr>
            <w:tcW w:type="dxa" w:w="56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eIDAS firma simple: actor + IP + timestamp, almacenado de forma inmutable</w:t>
            </w:r>
          </w:p>
        </w:tc>
      </w:tr>
      <w:tr>
        <w:tc>
          <w:tcPr>
            <w:tcW w:type="dxa" w:w="34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Audit log</w:t>
            </w:r>
          </w:p>
        </w:tc>
        <w:tc>
          <w:tcPr>
            <w:tcW w:type="dxa" w:w="56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Registro inmutable de toda la actividad por albarán en PostgreSQL</w:t>
            </w:r>
          </w:p>
        </w:tc>
      </w:tr>
      <w:tr>
        <w:tc>
          <w:tcPr>
            <w:tcW w:type="dxa" w:w="34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Red interna</w:t>
            </w:r>
          </w:p>
        </w:tc>
        <w:tc>
          <w:tcPr>
            <w:tcW w:type="dxa" w:w="56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PostgreSQL y MinIO aislados en red Docker privada, sin puertos expuestos al exterior</w:t>
            </w:r>
          </w:p>
        </w:tc>
      </w:tr>
      <w:tr>
        <w:tc>
          <w:tcPr>
            <w:tcW w:type="dxa" w:w="34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Correo</w:t>
            </w:r>
          </w:p>
        </w:tc>
        <w:tc>
          <w:tcPr>
            <w:tcW w:type="dxa" w:w="56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SMTP con STARTTLS — los emails de notificación no incluyen datos sensibles</w:t>
            </w:r>
          </w:p>
        </w:tc>
      </w:tr>
      <w:tr>
        <w:tc>
          <w:tcPr>
            <w:tcW w:type="dxa" w:w="34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CI/CD</w:t>
            </w:r>
          </w:p>
        </w:tc>
        <w:tc>
          <w:tcPr>
            <w:tcW w:type="dxa" w:w="56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Repositorio privado en GitHub, build automático revisado antes de deploy</w:t>
            </w:r>
          </w:p>
        </w:tc>
      </w:tr>
      <w:tr>
        <w:tc>
          <w:tcPr>
            <w:tcW w:type="dxa" w:w="34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Disponibilidad</w:t>
            </w:r>
          </w:p>
        </w:tc>
        <w:tc>
          <w:tcPr>
            <w:tcW w:type="dxa" w:w="56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Reinicio automático de contenedores + endpoint /api/health para monitorización</w:t>
            </w:r>
          </w:p>
        </w:tc>
      </w:tr>
    </w:tbl>
    <w:p>
      <w:pPr>
        <w:spacing w:after="0"/>
      </w:pPr>
      <w:r>
        <w:t xml:space="preserve"/>
      </w:r>
    </w:p>
    <w:p>
      <w:pPr>
        <w:pStyle w:val="Heading1"/>
        <w:pBdr>
          <w:bottom w:val="single" w:color="2E75B6" w:sz="6" w:space="6"/>
        </w:pBdr>
        <w:spacing w:after="120" w:before="360"/>
      </w:pPr>
      <w:r>
        <w:rPr>
          <w:rFonts w:ascii="Arial" w:cs="Arial" w:eastAsia="Arial" w:hAnsi="Arial"/>
          <w:b/>
          <w:bCs/>
          <w:color w:val="1F4E79"/>
          <w:sz w:val="28"/>
          <w:szCs w:val="28"/>
        </w:rPr>
        <w:t xml:space="preserve">5. Cumplimiento ISO 27001</w:t>
      </w:r>
    </w:p>
    <w:p>
      <w:pPr>
        <w:spacing w:after="160"/>
      </w:pPr>
      <w:r>
        <w:rPr>
          <w:rFonts w:ascii="Arial" w:cs="Arial" w:eastAsia="Arial" w:hAnsi="Arial"/>
          <w:color w:val="404040"/>
          <w:sz w:val="22"/>
          <w:szCs w:val="22"/>
        </w:rPr>
        <w:t xml:space="preserve">La aplicación ha sido diseñada teniendo en cuenta los controles del Anexo A de la norma ISO/IEC 27001:</w:t>
      </w:r>
    </w:p>
    <w:p>
      <w:pPr>
        <w:spacing w:after="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4960"/>
      </w:tblGrid>
      <w:tr>
        <w:tc>
          <w:tcPr>
            <w:tcW w:type="dxa" w:w="2700"/>
            <w:tcBorders>
              <w:top w:val="single" w:color="AACDE8" w:sz="4"/>
              <w:left w:val="single" w:color="AACDE8" w:sz="4"/>
              <w:bottom w:val="single" w:color="AACDE8" w:sz="4"/>
              <w:right w:val="single" w:color="AACDE8" w:sz="4"/>
            </w:tcBorders>
            <w:shd w:fill="2E75B6" w:val="clear"/>
            <w:tcMar>
              <w:top w:type="dxa" w:w="100"/>
              <w:left w:type="dxa" w:w="160"/>
              <w:bottom w:type="dxa" w:w="100"/>
              <w:right w:type="dxa" w:w="100"/>
            </w:tcMar>
          </w:tcPr>
          <w:p>
            <w:r>
              <w:rPr>
                <w:rFonts w:ascii="Arial" w:cs="Arial" w:eastAsia="Arial" w:hAnsi="Arial"/>
                <w:b/>
                <w:bCs/>
                <w:color w:val="FFFFFF"/>
                <w:sz w:val="19"/>
                <w:szCs w:val="19"/>
              </w:rPr>
              <w:t xml:space="preserve">Control ISO 27001</w:t>
            </w:r>
          </w:p>
        </w:tc>
        <w:tc>
          <w:tcPr>
            <w:tcW w:type="dxa" w:w="1400"/>
            <w:tcBorders>
              <w:top w:val="single" w:color="AACDE8" w:sz="4"/>
              <w:left w:val="single" w:color="AACDE8" w:sz="4"/>
              <w:bottom w:val="single" w:color="AACDE8" w:sz="4"/>
              <w:right w:val="single" w:color="AACDE8" w:sz="4"/>
            </w:tcBorders>
            <w:shd w:fill="2E75B6" w:val="clear"/>
            <w:tcMar>
              <w:top w:type="dxa" w:w="100"/>
              <w:left w:type="dxa" w:w="80"/>
              <w:bottom w:type="dxa" w:w="100"/>
              <w:right w:type="dxa" w:w="80"/>
            </w:tcMar>
          </w:tcPr>
          <w:p>
            <w:pPr>
              <w:jc w:val="center"/>
            </w:pPr>
            <w:r>
              <w:rPr>
                <w:rFonts w:ascii="Arial" w:cs="Arial" w:eastAsia="Arial" w:hAnsi="Arial"/>
                <w:b w:val="false"/>
                <w:bCs w:val="false"/>
                <w:color w:val="FFFFFF"/>
                <w:sz w:val="19"/>
                <w:szCs w:val="19"/>
              </w:rPr>
              <w:t xml:space="preserve">Estado</w:t>
            </w:r>
          </w:p>
        </w:tc>
        <w:tc>
          <w:tcPr>
            <w:tcW w:type="dxa" w:w="4960"/>
            <w:tcBorders>
              <w:top w:val="single" w:color="AACDE8" w:sz="4"/>
              <w:left w:val="single" w:color="AACDE8" w:sz="4"/>
              <w:bottom w:val="single" w:color="AACDE8" w:sz="4"/>
              <w:right w:val="single" w:color="AACDE8" w:sz="4"/>
            </w:tcBorders>
            <w:shd w:fill="2E75B6" w:val="clear"/>
            <w:tcMar>
              <w:top w:type="dxa" w:w="100"/>
              <w:left w:type="dxa" w:w="160"/>
              <w:bottom w:type="dxa" w:w="100"/>
              <w:right w:type="dxa" w:w="100"/>
            </w:tcMar>
          </w:tcPr>
          <w:p>
            <w:r>
              <w:rPr>
                <w:rFonts w:ascii="Arial" w:cs="Arial" w:eastAsia="Arial" w:hAnsi="Arial"/>
                <w:color w:val="FFFFFF"/>
                <w:sz w:val="19"/>
                <w:szCs w:val="19"/>
              </w:rPr>
              <w:t xml:space="preserve">Detalle</w:t>
            </w:r>
          </w:p>
        </w:tc>
      </w:tr>
      <w:tr>
        <w:tc>
          <w:tcPr>
            <w:tcW w:type="dxa" w:w="270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tcPr>
          <w:p>
            <w:r>
              <w:rPr>
                <w:rFonts w:ascii="Arial" w:cs="Arial" w:eastAsia="Arial" w:hAnsi="Arial"/>
                <w:b w:val="false"/>
                <w:bCs w:val="false"/>
                <w:color w:val="1F4E79"/>
                <w:sz w:val="19"/>
                <w:szCs w:val="19"/>
              </w:rPr>
              <w:t xml:space="preserve">A.9 — Control de acceso</w:t>
            </w:r>
          </w:p>
        </w:tc>
        <w:tc>
          <w:tcPr>
            <w:tcW w:type="dxa" w:w="1400"/>
            <w:tcBorders>
              <w:top w:val="single" w:color="AACDE8" w:sz="4"/>
              <w:left w:val="single" w:color="AACDE8" w:sz="4"/>
              <w:bottom w:val="single" w:color="AACDE8" w:sz="4"/>
              <w:right w:val="single" w:color="AACDE8" w:sz="4"/>
            </w:tcBorders>
            <w:shd w:fill="EBF3FC" w:val="clear"/>
            <w:tcMar>
              <w:top w:type="dxa" w:w="100"/>
              <w:left w:type="dxa" w:w="80"/>
              <w:bottom w:type="dxa" w:w="100"/>
              <w:right w:type="dxa" w:w="80"/>
            </w:tcMar>
          </w:tcPr>
          <w:p>
            <w:pPr>
              <w:jc w:val="center"/>
            </w:pPr>
            <w:r>
              <w:rPr>
                <w:rFonts w:ascii="Arial" w:cs="Arial" w:eastAsia="Arial" w:hAnsi="Arial"/>
                <w:b/>
                <w:bCs/>
                <w:color w:val="1D6B3C"/>
                <w:sz w:val="19"/>
                <w:szCs w:val="19"/>
              </w:rPr>
              <w:t xml:space="preserve">✅ Cumplido</w:t>
            </w:r>
          </w:p>
        </w:tc>
        <w:tc>
          <w:tcPr>
            <w:tcW w:type="dxa" w:w="49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tcPr>
          <w:p>
            <w:r>
              <w:rPr>
                <w:rFonts w:ascii="Arial" w:cs="Arial" w:eastAsia="Arial" w:hAnsi="Arial"/>
                <w:color w:val="404040"/>
                <w:sz w:val="19"/>
                <w:szCs w:val="19"/>
              </w:rPr>
              <w:t xml:space="preserve">Roles diferenciados, Azure AD para internos, JWT, enlaces únicos para externos, middleware de autorización en todas las rutas</w:t>
            </w:r>
          </w:p>
        </w:tc>
      </w:tr>
      <w:tr>
        <w:tc>
          <w:tcPr>
            <w:tcW w:type="dxa" w:w="27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tcPr>
          <w:p>
            <w:r>
              <w:rPr>
                <w:rFonts w:ascii="Arial" w:cs="Arial" w:eastAsia="Arial" w:hAnsi="Arial"/>
                <w:b w:val="false"/>
                <w:bCs w:val="false"/>
                <w:color w:val="1F4E79"/>
                <w:sz w:val="19"/>
                <w:szCs w:val="19"/>
              </w:rPr>
              <w:t xml:space="preserve">A.10 — Criptografía</w:t>
            </w:r>
          </w:p>
        </w:tc>
        <w:tc>
          <w:tcPr>
            <w:tcW w:type="dxa" w:w="1400"/>
            <w:tcBorders>
              <w:top w:val="single" w:color="AACDE8" w:sz="4"/>
              <w:left w:val="single" w:color="AACDE8" w:sz="4"/>
              <w:bottom w:val="single" w:color="AACDE8" w:sz="4"/>
              <w:right w:val="single" w:color="AACDE8" w:sz="4"/>
            </w:tcBorders>
            <w:shd w:fill="D6E4F0" w:val="clear"/>
            <w:tcMar>
              <w:top w:type="dxa" w:w="100"/>
              <w:left w:type="dxa" w:w="80"/>
              <w:bottom w:type="dxa" w:w="100"/>
              <w:right w:type="dxa" w:w="80"/>
            </w:tcMar>
          </w:tcPr>
          <w:p>
            <w:pPr>
              <w:jc w:val="center"/>
            </w:pPr>
            <w:r>
              <w:rPr>
                <w:rFonts w:ascii="Arial" w:cs="Arial" w:eastAsia="Arial" w:hAnsi="Arial"/>
                <w:b/>
                <w:bCs/>
                <w:color w:val="1D6B3C"/>
                <w:sz w:val="19"/>
                <w:szCs w:val="19"/>
              </w:rPr>
              <w:t xml:space="preserve">✅ Cumplido</w:t>
            </w:r>
          </w:p>
        </w:tc>
        <w:tc>
          <w:tcPr>
            <w:tcW w:type="dxa" w:w="496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tcPr>
          <w:p>
            <w:r>
              <w:rPr>
                <w:rFonts w:ascii="Arial" w:cs="Arial" w:eastAsia="Arial" w:hAnsi="Arial"/>
                <w:color w:val="404040"/>
                <w:sz w:val="19"/>
                <w:szCs w:val="19"/>
              </w:rPr>
              <w:t xml:space="preserve">TLS en tránsito, bcrypt para contraseñas locales, JWT firmado con secreto seguro</w:t>
            </w:r>
          </w:p>
        </w:tc>
      </w:tr>
      <w:tr>
        <w:tc>
          <w:tcPr>
            <w:tcW w:type="dxa" w:w="270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tcPr>
          <w:p>
            <w:r>
              <w:rPr>
                <w:rFonts w:ascii="Arial" w:cs="Arial" w:eastAsia="Arial" w:hAnsi="Arial"/>
                <w:b w:val="false"/>
                <w:bCs w:val="false"/>
                <w:color w:val="1F4E79"/>
                <w:sz w:val="19"/>
                <w:szCs w:val="19"/>
              </w:rPr>
              <w:t xml:space="preserve">A.12 — Operaciones TI</w:t>
            </w:r>
          </w:p>
        </w:tc>
        <w:tc>
          <w:tcPr>
            <w:tcW w:type="dxa" w:w="1400"/>
            <w:tcBorders>
              <w:top w:val="single" w:color="AACDE8" w:sz="4"/>
              <w:left w:val="single" w:color="AACDE8" w:sz="4"/>
              <w:bottom w:val="single" w:color="AACDE8" w:sz="4"/>
              <w:right w:val="single" w:color="AACDE8" w:sz="4"/>
            </w:tcBorders>
            <w:shd w:fill="EBF3FC" w:val="clear"/>
            <w:tcMar>
              <w:top w:type="dxa" w:w="100"/>
              <w:left w:type="dxa" w:w="80"/>
              <w:bottom w:type="dxa" w:w="100"/>
              <w:right w:type="dxa" w:w="80"/>
            </w:tcMar>
          </w:tcPr>
          <w:p>
            <w:pPr>
              <w:jc w:val="center"/>
            </w:pPr>
            <w:r>
              <w:rPr>
                <w:rFonts w:ascii="Arial" w:cs="Arial" w:eastAsia="Arial" w:hAnsi="Arial"/>
                <w:b/>
                <w:bCs/>
                <w:color w:val="1D6B3C"/>
                <w:sz w:val="19"/>
                <w:szCs w:val="19"/>
              </w:rPr>
              <w:t xml:space="preserve">✅ Cumplido</w:t>
            </w:r>
          </w:p>
        </w:tc>
        <w:tc>
          <w:tcPr>
            <w:tcW w:type="dxa" w:w="49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tcPr>
          <w:p>
            <w:r>
              <w:rPr>
                <w:rFonts w:ascii="Arial" w:cs="Arial" w:eastAsia="Arial" w:hAnsi="Arial"/>
                <w:color w:val="404040"/>
                <w:sz w:val="19"/>
                <w:szCs w:val="19"/>
              </w:rPr>
              <w:t xml:space="preserve">Pipeline CI/CD automatizado, logs Docker, endpoint /api/health, despliegue controlado</w:t>
            </w:r>
          </w:p>
        </w:tc>
      </w:tr>
      <w:tr>
        <w:tc>
          <w:tcPr>
            <w:tcW w:type="dxa" w:w="27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tcPr>
          <w:p>
            <w:r>
              <w:rPr>
                <w:rFonts w:ascii="Arial" w:cs="Arial" w:eastAsia="Arial" w:hAnsi="Arial"/>
                <w:b w:val="false"/>
                <w:bCs w:val="false"/>
                <w:color w:val="1F4E79"/>
                <w:sz w:val="19"/>
                <w:szCs w:val="19"/>
              </w:rPr>
              <w:t xml:space="preserve">A.13 — Comunicaciones</w:t>
            </w:r>
          </w:p>
        </w:tc>
        <w:tc>
          <w:tcPr>
            <w:tcW w:type="dxa" w:w="1400"/>
            <w:tcBorders>
              <w:top w:val="single" w:color="AACDE8" w:sz="4"/>
              <w:left w:val="single" w:color="AACDE8" w:sz="4"/>
              <w:bottom w:val="single" w:color="AACDE8" w:sz="4"/>
              <w:right w:val="single" w:color="AACDE8" w:sz="4"/>
            </w:tcBorders>
            <w:shd w:fill="D6E4F0" w:val="clear"/>
            <w:tcMar>
              <w:top w:type="dxa" w:w="100"/>
              <w:left w:type="dxa" w:w="80"/>
              <w:bottom w:type="dxa" w:w="100"/>
              <w:right w:type="dxa" w:w="80"/>
            </w:tcMar>
          </w:tcPr>
          <w:p>
            <w:pPr>
              <w:jc w:val="center"/>
            </w:pPr>
            <w:r>
              <w:rPr>
                <w:rFonts w:ascii="Arial" w:cs="Arial" w:eastAsia="Arial" w:hAnsi="Arial"/>
                <w:b/>
                <w:bCs/>
                <w:color w:val="1D6B3C"/>
                <w:sz w:val="19"/>
                <w:szCs w:val="19"/>
              </w:rPr>
              <w:t xml:space="preserve">✅ Cumplido</w:t>
            </w:r>
          </w:p>
        </w:tc>
        <w:tc>
          <w:tcPr>
            <w:tcW w:type="dxa" w:w="496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tcPr>
          <w:p>
            <w:r>
              <w:rPr>
                <w:rFonts w:ascii="Arial" w:cs="Arial" w:eastAsia="Arial" w:hAnsi="Arial"/>
                <w:color w:val="404040"/>
                <w:sz w:val="19"/>
                <w:szCs w:val="19"/>
              </w:rPr>
              <w:t xml:space="preserve">HTTPS obligatorio, SMTP con STARTTLS, red interna Docker aislada</w:t>
            </w:r>
          </w:p>
        </w:tc>
      </w:tr>
      <w:tr>
        <w:tc>
          <w:tcPr>
            <w:tcW w:type="dxa" w:w="270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tcPr>
          <w:p>
            <w:r>
              <w:rPr>
                <w:rFonts w:ascii="Arial" w:cs="Arial" w:eastAsia="Arial" w:hAnsi="Arial"/>
                <w:b w:val="false"/>
                <w:bCs w:val="false"/>
                <w:color w:val="1F4E79"/>
                <w:sz w:val="19"/>
                <w:szCs w:val="19"/>
              </w:rPr>
              <w:t xml:space="preserve">A.14 — Desarrollo seguro</w:t>
            </w:r>
          </w:p>
        </w:tc>
        <w:tc>
          <w:tcPr>
            <w:tcW w:type="dxa" w:w="1400"/>
            <w:tcBorders>
              <w:top w:val="single" w:color="AACDE8" w:sz="4"/>
              <w:left w:val="single" w:color="AACDE8" w:sz="4"/>
              <w:bottom w:val="single" w:color="AACDE8" w:sz="4"/>
              <w:right w:val="single" w:color="AACDE8" w:sz="4"/>
            </w:tcBorders>
            <w:shd w:fill="EBF3FC" w:val="clear"/>
            <w:tcMar>
              <w:top w:type="dxa" w:w="100"/>
              <w:left w:type="dxa" w:w="80"/>
              <w:bottom w:type="dxa" w:w="100"/>
              <w:right w:type="dxa" w:w="80"/>
            </w:tcMar>
          </w:tcPr>
          <w:p>
            <w:pPr>
              <w:jc w:val="center"/>
            </w:pPr>
            <w:r>
              <w:rPr>
                <w:rFonts w:ascii="Arial" w:cs="Arial" w:eastAsia="Arial" w:hAnsi="Arial"/>
                <w:b/>
                <w:bCs/>
                <w:color w:val="1D6B3C"/>
                <w:sz w:val="19"/>
                <w:szCs w:val="19"/>
              </w:rPr>
              <w:t xml:space="preserve">✅ Cumplido</w:t>
            </w:r>
          </w:p>
        </w:tc>
        <w:tc>
          <w:tcPr>
            <w:tcW w:type="dxa" w:w="49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tcPr>
          <w:p>
            <w:r>
              <w:rPr>
                <w:rFonts w:ascii="Arial" w:cs="Arial" w:eastAsia="Arial" w:hAnsi="Arial"/>
                <w:color w:val="404040"/>
                <w:sz w:val="19"/>
                <w:szCs w:val="19"/>
              </w:rPr>
              <w:t xml:space="preserve">Repositorio privado en GitHub, revisión de cambios pre-deploy, principio de mínimo privilegio</w:t>
            </w:r>
          </w:p>
        </w:tc>
      </w:tr>
      <w:tr>
        <w:tc>
          <w:tcPr>
            <w:tcW w:type="dxa" w:w="27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tcPr>
          <w:p>
            <w:r>
              <w:rPr>
                <w:rFonts w:ascii="Arial" w:cs="Arial" w:eastAsia="Arial" w:hAnsi="Arial"/>
                <w:b w:val="false"/>
                <w:bCs w:val="false"/>
                <w:color w:val="1F4E79"/>
                <w:sz w:val="19"/>
                <w:szCs w:val="19"/>
              </w:rPr>
              <w:t xml:space="preserve">A.16 — Gestión de incidentes</w:t>
            </w:r>
          </w:p>
        </w:tc>
        <w:tc>
          <w:tcPr>
            <w:tcW w:type="dxa" w:w="1400"/>
            <w:tcBorders>
              <w:top w:val="single" w:color="AACDE8" w:sz="4"/>
              <w:left w:val="single" w:color="AACDE8" w:sz="4"/>
              <w:bottom w:val="single" w:color="AACDE8" w:sz="4"/>
              <w:right w:val="single" w:color="AACDE8" w:sz="4"/>
            </w:tcBorders>
            <w:shd w:fill="D6E4F0" w:val="clear"/>
            <w:tcMar>
              <w:top w:type="dxa" w:w="100"/>
              <w:left w:type="dxa" w:w="80"/>
              <w:bottom w:type="dxa" w:w="100"/>
              <w:right w:type="dxa" w:w="80"/>
            </w:tcMar>
          </w:tcPr>
          <w:p>
            <w:pPr>
              <w:jc w:val="center"/>
            </w:pPr>
            <w:r>
              <w:rPr>
                <w:rFonts w:ascii="Arial" w:cs="Arial" w:eastAsia="Arial" w:hAnsi="Arial"/>
                <w:b/>
                <w:bCs/>
                <w:color w:val="B45309"/>
                <w:sz w:val="19"/>
                <w:szCs w:val="19"/>
              </w:rPr>
              <w:t xml:space="preserve">⚠️ Parcial</w:t>
            </w:r>
          </w:p>
        </w:tc>
        <w:tc>
          <w:tcPr>
            <w:tcW w:type="dxa" w:w="496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tcPr>
          <w:p>
            <w:r>
              <w:rPr>
                <w:rFonts w:ascii="Arial" w:cs="Arial" w:eastAsia="Arial" w:hAnsi="Arial"/>
                <w:color w:val="404040"/>
                <w:sz w:val="19"/>
                <w:szCs w:val="19"/>
              </w:rPr>
              <w:t xml:space="preserve">Logs disponibles para análisis forense. Antes del despliegue definitivo se entregará un protocolo de respuesta a incidentes que definirá responsables, tiempos de actuación y canal de escalada.</w:t>
            </w:r>
          </w:p>
        </w:tc>
      </w:tr>
      <w:tr>
        <w:tc>
          <w:tcPr>
            <w:tcW w:type="dxa" w:w="270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tcPr>
          <w:p>
            <w:r>
              <w:rPr>
                <w:rFonts w:ascii="Arial" w:cs="Arial" w:eastAsia="Arial" w:hAnsi="Arial"/>
                <w:b w:val="false"/>
                <w:bCs w:val="false"/>
                <w:color w:val="1F4E79"/>
                <w:sz w:val="19"/>
                <w:szCs w:val="19"/>
              </w:rPr>
              <w:t xml:space="preserve">A.17 — Continuidad</w:t>
            </w:r>
          </w:p>
        </w:tc>
        <w:tc>
          <w:tcPr>
            <w:tcW w:type="dxa" w:w="1400"/>
            <w:tcBorders>
              <w:top w:val="single" w:color="AACDE8" w:sz="4"/>
              <w:left w:val="single" w:color="AACDE8" w:sz="4"/>
              <w:bottom w:val="single" w:color="AACDE8" w:sz="4"/>
              <w:right w:val="single" w:color="AACDE8" w:sz="4"/>
            </w:tcBorders>
            <w:shd w:fill="EBF3FC" w:val="clear"/>
            <w:tcMar>
              <w:top w:type="dxa" w:w="100"/>
              <w:left w:type="dxa" w:w="80"/>
              <w:bottom w:type="dxa" w:w="100"/>
              <w:right w:type="dxa" w:w="80"/>
            </w:tcMar>
          </w:tcPr>
          <w:p>
            <w:pPr>
              <w:jc w:val="center"/>
            </w:pPr>
            <w:r>
              <w:rPr>
                <w:rFonts w:ascii="Arial" w:cs="Arial" w:eastAsia="Arial" w:hAnsi="Arial"/>
                <w:b/>
                <w:bCs/>
                <w:color w:val="B45309"/>
                <w:sz w:val="19"/>
                <w:szCs w:val="19"/>
              </w:rPr>
              <w:t xml:space="preserve">⚠️ Parcial</w:t>
            </w:r>
          </w:p>
        </w:tc>
        <w:tc>
          <w:tcPr>
            <w:tcW w:type="dxa" w:w="49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tcPr>
          <w:p>
            <w:r>
              <w:rPr>
                <w:rFonts w:ascii="Arial" w:cs="Arial" w:eastAsia="Arial" w:hAnsi="Arial"/>
                <w:color w:val="404040"/>
                <w:sz w:val="19"/>
                <w:szCs w:val="19"/>
              </w:rPr>
              <w:t xml:space="preserve">Reinicio automático de contenedores activo. Antes del despliegue definitivo se activará backup automático diario de PostgreSQL con retención de 30 días en almacenamiento externo al servidor.</w:t>
            </w:r>
          </w:p>
        </w:tc>
      </w:tr>
      <w:tr>
        <w:tc>
          <w:tcPr>
            <w:tcW w:type="dxa" w:w="27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tcPr>
          <w:p>
            <w:r>
              <w:rPr>
                <w:rFonts w:ascii="Arial" w:cs="Arial" w:eastAsia="Arial" w:hAnsi="Arial"/>
                <w:b w:val="false"/>
                <w:bCs w:val="false"/>
                <w:color w:val="1F4E79"/>
                <w:sz w:val="19"/>
                <w:szCs w:val="19"/>
              </w:rPr>
              <w:t xml:space="preserve">A.18 — Cumplimiento legal</w:t>
            </w:r>
          </w:p>
        </w:tc>
        <w:tc>
          <w:tcPr>
            <w:tcW w:type="dxa" w:w="1400"/>
            <w:tcBorders>
              <w:top w:val="single" w:color="AACDE8" w:sz="4"/>
              <w:left w:val="single" w:color="AACDE8" w:sz="4"/>
              <w:bottom w:val="single" w:color="AACDE8" w:sz="4"/>
              <w:right w:val="single" w:color="AACDE8" w:sz="4"/>
            </w:tcBorders>
            <w:shd w:fill="D6E4F0" w:val="clear"/>
            <w:tcMar>
              <w:top w:type="dxa" w:w="100"/>
              <w:left w:type="dxa" w:w="80"/>
              <w:bottom w:type="dxa" w:w="100"/>
              <w:right w:type="dxa" w:w="80"/>
            </w:tcMar>
          </w:tcPr>
          <w:p>
            <w:pPr>
              <w:jc w:val="center"/>
            </w:pPr>
            <w:r>
              <w:rPr>
                <w:rFonts w:ascii="Arial" w:cs="Arial" w:eastAsia="Arial" w:hAnsi="Arial"/>
                <w:b/>
                <w:bCs/>
                <w:color w:val="1D6B3C"/>
                <w:sz w:val="19"/>
                <w:szCs w:val="19"/>
              </w:rPr>
              <w:t xml:space="preserve">✅ Cumplido</w:t>
            </w:r>
          </w:p>
        </w:tc>
        <w:tc>
          <w:tcPr>
            <w:tcW w:type="dxa" w:w="496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tcPr>
          <w:p>
            <w:r>
              <w:rPr>
                <w:rFonts w:ascii="Arial" w:cs="Arial" w:eastAsia="Arial" w:hAnsi="Arial"/>
                <w:color w:val="404040"/>
                <w:sz w:val="19"/>
                <w:szCs w:val="19"/>
              </w:rPr>
              <w:t xml:space="preserve">Firma eIDAS, datos operativos corporativos (sin datos personales sensibles de alto riesgo RGPD)</w:t>
            </w:r>
          </w:p>
        </w:tc>
      </w:tr>
    </w:tbl>
    <w:p>
      <w:pPr>
        <w:spacing w:after="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2E75B6" w:sz="6"/>
              <w:left w:val="thick" w:color="2E75B6" w:sz="24"/>
              <w:bottom w:val="single" w:color="2E75B6" w:sz="6"/>
              <w:right w:val="single" w:color="DDDDDD" w:sz="1"/>
            </w:tcBorders>
            <w:shd w:fill="EBF3FC" w:val="clear"/>
            <w:tcMar>
              <w:top w:type="dxa" w:w="140"/>
              <w:left w:type="dxa" w:w="200"/>
              <w:bottom w:type="dxa" w:w="140"/>
              <w:right w:type="dxa" w:w="200"/>
            </w:tcMar>
          </w:tcPr>
          <w:p>
            <w:r>
              <w:rPr>
                <w:rFonts w:ascii="Arial" w:cs="Arial" w:eastAsia="Arial" w:hAnsi="Arial"/>
                <w:i/>
                <w:iCs/>
                <w:color w:val="1A3A5C"/>
                <w:sz w:val="21"/>
                <w:szCs w:val="21"/>
              </w:rPr>
              <w:t xml:space="preserve">Los dos controles marcados como Parcial quedarán completamente cubiertos antes del despliegue definitivo en producción: se documentará el protocolo de respuesta a incidentes y se configurará el backup automático diario de la base de datos. Ambas acciones están planificadas y no requieren cambios en la arquitectura del sistema.</w:t>
            </w:r>
          </w:p>
        </w:tc>
      </w:tr>
    </w:tbl>
    <w:p>
      <w:pPr>
        <w:spacing w:after="0"/>
      </w:pPr>
      <w:r>
        <w:t xml:space="preserve"/>
      </w:r>
    </w:p>
    <w:p>
      <w:pPr>
        <w:pStyle w:val="Heading1"/>
        <w:pBdr>
          <w:bottom w:val="single" w:color="2E75B6" w:sz="6" w:space="6"/>
        </w:pBdr>
        <w:spacing w:after="120" w:before="360"/>
      </w:pPr>
      <w:r>
        <w:rPr>
          <w:rFonts w:ascii="Arial" w:cs="Arial" w:eastAsia="Arial" w:hAnsi="Arial"/>
          <w:b/>
          <w:bCs/>
          <w:color w:val="1F4E79"/>
          <w:sz w:val="28"/>
          <w:szCs w:val="28"/>
        </w:rPr>
        <w:t xml:space="preserve">6. Flujo Operativo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200"/>
        <w:gridCol w:w="5860"/>
      </w:tblGrid>
      <w:tr>
        <w:tc>
          <w:tcPr>
            <w:tcW w:type="dxa" w:w="3200"/>
            <w:tcBorders>
              <w:top w:val="single" w:color="AACDE8" w:sz="4"/>
              <w:left w:val="single" w:color="AACDE8" w:sz="4"/>
              <w:bottom w:val="single" w:color="AACDE8" w:sz="4"/>
              <w:right w:val="single" w:color="AACDE8" w:sz="4"/>
            </w:tcBorders>
            <w:shd w:fill="2E75B6" w:val="clear"/>
            <w:tcMar>
              <w:top w:type="dxa" w:w="100"/>
              <w:left w:type="dxa" w:w="160"/>
              <w:bottom w:type="dxa" w:w="100"/>
              <w:right w:type="dxa" w:w="100"/>
            </w:tcMar>
            <w:vAlign w:val="center"/>
          </w:tcPr>
          <w:p>
            <w:r>
              <w:rPr>
                <w:rFonts w:ascii="Arial" w:cs="Arial" w:eastAsia="Arial" w:hAnsi="Arial"/>
                <w:b/>
                <w:bCs/>
                <w:color w:val="FFFFFF"/>
                <w:sz w:val="20"/>
                <w:szCs w:val="20"/>
              </w:rPr>
              <w:t xml:space="preserve">Flujo</w:t>
            </w:r>
          </w:p>
        </w:tc>
        <w:tc>
          <w:tcPr>
            <w:tcW w:type="dxa" w:w="5860"/>
            <w:tcBorders>
              <w:top w:val="single" w:color="AACDE8" w:sz="4"/>
              <w:left w:val="single" w:color="AACDE8" w:sz="4"/>
              <w:bottom w:val="single" w:color="AACDE8" w:sz="4"/>
              <w:right w:val="single" w:color="AACDE8" w:sz="4"/>
            </w:tcBorders>
            <w:shd w:fill="2E75B6" w:val="clear"/>
            <w:tcMar>
              <w:top w:type="dxa" w:w="100"/>
              <w:left w:type="dxa" w:w="160"/>
              <w:bottom w:type="dxa" w:w="100"/>
              <w:right w:type="dxa" w:w="100"/>
            </w:tcMar>
            <w:vAlign w:val="center"/>
          </w:tcPr>
          <w:p>
            <w:r>
              <w:rPr>
                <w:rFonts w:ascii="Arial" w:cs="Arial" w:eastAsia="Arial" w:hAnsi="Arial"/>
                <w:b/>
                <w:bCs/>
                <w:color w:val="FFFFFF"/>
                <w:sz w:val="20"/>
                <w:szCs w:val="20"/>
              </w:rPr>
              <w:t xml:space="preserve">Cadena de firmas</w:t>
            </w:r>
          </w:p>
        </w:tc>
      </w:tr>
      <w:tr>
        <w:tc>
          <w:tcPr>
            <w:tcW w:type="dxa" w:w="32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Compra en monte / plataforma</w:t>
            </w:r>
          </w:p>
        </w:tc>
        <w:tc>
          <w:tcPr>
            <w:tcW w:type="dxa" w:w="58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Proveedor → Astilladora → Transportista → Instalación → Oficina</w:t>
            </w:r>
          </w:p>
        </w:tc>
      </w:tr>
      <w:tr>
        <w:tc>
          <w:tcPr>
            <w:tcW w:type="dxa" w:w="3200"/>
            <w:tcBorders>
              <w:top w:val="single" w:color="AACDE8" w:sz="4"/>
              <w:left w:val="single" w:color="AACDE8" w:sz="4"/>
              <w:bottom w:val="single" w:color="AACDE8" w:sz="4"/>
              <w:right w:val="single" w:color="AACDE8" w:sz="4"/>
            </w:tcBorders>
            <w:shd w:fill="D6E4F0" w:val="clear"/>
            <w:tcMar>
              <w:top w:type="dxa" w:w="100"/>
              <w:left w:type="dxa" w:w="160"/>
              <w:bottom w:type="dxa" w:w="100"/>
              <w:right w:type="dxa" w:w="100"/>
            </w:tcMar>
            <w:vAlign w:val="center"/>
          </w:tcPr>
          <w:p>
            <w:r>
              <w:rPr>
                <w:rFonts w:ascii="Arial" w:cs="Arial" w:eastAsia="Arial" w:hAnsi="Arial"/>
                <w:b w:val="false"/>
                <w:bCs w:val="false"/>
                <w:color w:val="1F4E79"/>
                <w:sz w:val="20"/>
                <w:szCs w:val="20"/>
              </w:rPr>
              <w:t xml:space="preserve">Proveedor directo</w:t>
            </w:r>
          </w:p>
        </w:tc>
        <w:tc>
          <w:tcPr>
            <w:tcW w:type="dxa" w:w="5860"/>
            <w:tcBorders>
              <w:top w:val="single" w:color="AACDE8" w:sz="4"/>
              <w:left w:val="single" w:color="AACDE8" w:sz="4"/>
              <w:bottom w:val="single" w:color="AACDE8" w:sz="4"/>
              <w:right w:val="single" w:color="AACDE8" w:sz="4"/>
            </w:tcBorders>
            <w:shd w:fill="EBF3FC" w:val="clear"/>
            <w:tcMar>
              <w:top w:type="dxa" w:w="100"/>
              <w:left w:type="dxa" w:w="160"/>
              <w:bottom w:type="dxa" w:w="100"/>
              <w:right w:type="dxa" w:w="100"/>
            </w:tcMar>
            <w:vAlign w:val="center"/>
          </w:tcPr>
          <w:p>
            <w:r>
              <w:rPr>
                <w:rFonts w:ascii="Arial" w:cs="Arial" w:eastAsia="Arial" w:hAnsi="Arial"/>
                <w:b w:val="false"/>
                <w:bCs w:val="false"/>
                <w:color w:val="404040"/>
                <w:sz w:val="20"/>
                <w:szCs w:val="20"/>
              </w:rPr>
              <w:t xml:space="preserve">Proveedor → Instalación → Oficina</w:t>
            </w:r>
          </w:p>
        </w:tc>
      </w:tr>
    </w:tbl>
    <w:p>
      <w:pPr>
        <w:spacing w:after="0"/>
      </w:pPr>
      <w:r>
        <w:t xml:space="preserve"/>
      </w:r>
    </w:p>
    <w:p>
      <w:pPr>
        <w:spacing w:after="160"/>
      </w:pPr>
      <w:r>
        <w:rPr>
          <w:rFonts w:ascii="Arial" w:cs="Arial" w:eastAsia="Arial" w:hAnsi="Arial"/>
          <w:color w:val="404040"/>
          <w:sz w:val="22"/>
          <w:szCs w:val="22"/>
        </w:rPr>
        <w:t xml:space="preserve">El albarán queda </w:t>
      </w:r>
      <w:r>
        <w:rPr>
          <w:rFonts w:ascii="Arial" w:cs="Arial" w:eastAsia="Arial" w:hAnsi="Arial"/>
          <w:b/>
          <w:bCs/>
          <w:color w:val="1A1A1A"/>
          <w:sz w:val="22"/>
          <w:szCs w:val="22"/>
        </w:rPr>
        <w:t xml:space="preserve">cerrado y bloqueado</w:t>
      </w:r>
      <w:r>
        <w:rPr>
          <w:rFonts w:ascii="Arial" w:cs="Arial" w:eastAsia="Arial" w:hAnsi="Arial"/>
          <w:color w:val="404040"/>
          <w:sz w:val="22"/>
          <w:szCs w:val="22"/>
        </w:rPr>
        <w:t xml:space="preserve"> únicamente cuando Oficina (usuario interno autenticado con Azure AD) completa la firma final. Hasta ese momento el documento sigue su ciclo pero no genera el PDF definitivo.</w:t>
      </w:r>
    </w:p>
    <w:p>
      <w:pPr>
        <w:spacing w:after="0"/>
      </w:pPr>
      <w:r>
        <w:t xml:space="preserve"/>
      </w:r>
    </w:p>
    <w:p>
      <w:pPr>
        <w:pStyle w:val="Heading1"/>
        <w:pBdr>
          <w:bottom w:val="single" w:color="2E75B6" w:sz="6" w:space="6"/>
        </w:pBdr>
        <w:spacing w:after="120" w:before="360"/>
      </w:pPr>
      <w:r>
        <w:rPr>
          <w:rFonts w:ascii="Arial" w:cs="Arial" w:eastAsia="Arial" w:hAnsi="Arial"/>
          <w:b/>
          <w:bCs/>
          <w:color w:val="1F4E79"/>
          <w:sz w:val="28"/>
          <w:szCs w:val="28"/>
        </w:rPr>
        <w:t xml:space="preserve">7. Notificaciones Automáticas</w:t>
      </w:r>
    </w:p>
    <w:p>
      <w:pPr>
        <w:spacing w:after="160"/>
      </w:pPr>
      <w:r>
        <w:rPr>
          <w:rFonts w:ascii="Arial" w:cs="Arial" w:eastAsia="Arial" w:hAnsi="Arial"/>
          <w:color w:val="404040"/>
          <w:sz w:val="22"/>
          <w:szCs w:val="22"/>
        </w:rPr>
        <w:t xml:space="preserve">El sistema envía notificaciones por correo ante los siguientes eventos (sin datos sensibles):</w:t>
      </w:r>
    </w:p>
    <w:p>
      <w:pPr>
        <w:pStyle w:val="ListParagraph"/>
        <w:numPr>
          <w:ilvl w:val="0"/>
          <w:numId w:val="2"/>
        </w:numPr>
        <w:spacing w:after="80"/>
      </w:pPr>
      <w:r>
        <w:rPr>
          <w:rFonts w:ascii="Arial" w:cs="Arial" w:eastAsia="Arial" w:hAnsi="Arial"/>
          <w:color w:val="404040"/>
          <w:sz w:val="22"/>
          <w:szCs w:val="22"/>
        </w:rPr>
        <w:t xml:space="preserve">Nuevo albarán creado.</w:t>
      </w:r>
    </w:p>
    <w:p>
      <w:pPr>
        <w:pStyle w:val="ListParagraph"/>
        <w:numPr>
          <w:ilvl w:val="0"/>
          <w:numId w:val="2"/>
        </w:numPr>
        <w:spacing w:after="80"/>
      </w:pPr>
      <w:r>
        <w:rPr>
          <w:rFonts w:ascii="Arial" w:cs="Arial" w:eastAsia="Arial" w:hAnsi="Arial"/>
          <w:color w:val="404040"/>
          <w:sz w:val="22"/>
          <w:szCs w:val="22"/>
        </w:rPr>
        <w:t xml:space="preserve">Firma registrada (indicando el rol que ha firmado).</w:t>
      </w:r>
    </w:p>
    <w:p>
      <w:pPr>
        <w:pStyle w:val="ListParagraph"/>
        <w:numPr>
          <w:ilvl w:val="0"/>
          <w:numId w:val="2"/>
        </w:numPr>
        <w:spacing w:after="80"/>
      </w:pPr>
      <w:r>
        <w:rPr>
          <w:rFonts w:ascii="Arial" w:cs="Arial" w:eastAsia="Arial" w:hAnsi="Arial"/>
          <w:color w:val="404040"/>
          <w:sz w:val="22"/>
          <w:szCs w:val="22"/>
        </w:rPr>
        <w:t xml:space="preserve">Albarán cerrado (con pesos y porcentaje de humedad).</w:t>
      </w:r>
    </w:p>
    <w:p>
      <w:pPr>
        <w:spacing w:after="0"/>
      </w:pPr>
      <w:r>
        <w:t xml:space="preserve"/>
      </w:r>
    </w:p>
    <w:p>
      <w:pPr>
        <w:pStyle w:val="Heading1"/>
        <w:pBdr>
          <w:bottom w:val="single" w:color="2E75B6" w:sz="6" w:space="6"/>
        </w:pBdr>
        <w:spacing w:after="120" w:before="360"/>
      </w:pPr>
      <w:r>
        <w:rPr>
          <w:rFonts w:ascii="Arial" w:cs="Arial" w:eastAsia="Arial" w:hAnsi="Arial"/>
          <w:b/>
          <w:bCs/>
          <w:color w:val="1F4E79"/>
          <w:sz w:val="28"/>
          <w:szCs w:val="28"/>
        </w:rPr>
        <w:t xml:space="preserve">8. Conclusión</w:t>
      </w:r>
    </w:p>
    <w:p>
      <w:pPr>
        <w:spacing w:after="160"/>
      </w:pPr>
      <w:r>
        <w:rPr>
          <w:rFonts w:ascii="Arial" w:cs="Arial" w:eastAsia="Arial" w:hAnsi="Arial"/>
          <w:color w:val="404040"/>
          <w:sz w:val="22"/>
          <w:szCs w:val="22"/>
        </w:rPr>
        <w:t xml:space="preserve">El sistema ha sido diseñado con la seguridad como </w:t>
      </w:r>
      <w:r>
        <w:rPr>
          <w:rFonts w:ascii="Arial" w:cs="Arial" w:eastAsia="Arial" w:hAnsi="Arial"/>
          <w:b/>
          <w:bCs/>
          <w:color w:val="1A1A1A"/>
          <w:sz w:val="22"/>
          <w:szCs w:val="22"/>
        </w:rPr>
        <w:t xml:space="preserve">requisito de primer nivel</w:t>
      </w:r>
      <w:r>
        <w:rPr>
          <w:rFonts w:ascii="Arial" w:cs="Arial" w:eastAsia="Arial" w:hAnsi="Arial"/>
          <w:color w:val="404040"/>
          <w:sz w:val="22"/>
          <w:szCs w:val="22"/>
        </w:rPr>
        <w:t xml:space="preserve">. Los usuarios internos operan bajo la identidad corporativa de Azure AD. Los usuarios externos disponen exclusivamente del acceso al albarán concreto para el que han sido invitados, </w:t>
      </w:r>
      <w:r>
        <w:rPr>
          <w:rFonts w:ascii="Arial" w:cs="Arial" w:eastAsia="Arial" w:hAnsi="Arial"/>
          <w:b/>
          <w:bCs/>
          <w:color w:val="1A1A1A"/>
          <w:sz w:val="22"/>
          <w:szCs w:val="22"/>
        </w:rPr>
        <w:t xml:space="preserve">sin ningún acceso posible a información privada de la organización o de otros albaranes</w:t>
      </w:r>
      <w:r>
        <w:rPr>
          <w:rFonts w:ascii="Arial" w:cs="Arial" w:eastAsia="Arial" w:hAnsi="Arial"/>
          <w:color w:val="404040"/>
          <w:sz w:val="22"/>
          <w:szCs w:val="22"/>
        </w:rPr>
        <w:t xml:space="preserve">. La arquitectura, el cifrado, el audit log inmutable y el control de acceso están alineados con los requisitos de la norma ISO/IEC 27001. Los dos controles pendientes quedarán completamente cerrados antes del despliegue definitivo en producción.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AAAAAA"/>
        <w:sz w:val="17"/>
        <w:szCs w:val="17"/>
      </w:rPr>
      <w:t xml:space="preserve">Sistema de Gestión de Albaranes de Biomasa — Seguridad y Cumplimiento ISO 27001 — Página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2E75B6"/>
        <w:sz w:val="18"/>
        <w:szCs w:val="18"/>
      </w:rPr>
      <w:t xml:space="preserve">COMSA  |  Sistema de Gestión de Albaranes de Biomasa</w:t>
    </w:r>
    <w:r>
      <w:rPr>
        <w:rFonts w:ascii="Arial" w:cs="Arial" w:eastAsia="Arial" w:hAnsi="Arial"/>
        <w:color w:val="AAAAAA"/>
        <w:sz w:val="18"/>
        <w:szCs w:val="18"/>
      </w:rPr>
      <w:t xml:space="preserve">     Confidencial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2026-05-27T10:39:21.757Z</dcterms:created>
  <dcterms:modified xsi:type="dcterms:W3CDTF">2026-05-27T10:39:21.757Z</dcterms:modified>
</cp:coreProperties>
</file>

<file path=docProps/custom.xml><?xml version="1.0" encoding="utf-8"?>
<Properties xmlns="http://schemas.openxmlformats.org/officeDocument/2006/custom-properties" xmlns:vt="http://schemas.openxmlformats.org/officeDocument/2006/docPropsVTypes"/>
</file>