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لا إله إلا الله وحده لا شريك له، له الملك وله الحمد وهو على كل شيء قدير (رواه البخاري)</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سبحان الله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أَعْلَمُ أَنَّ اللَّهَ عَلَى كُلِّ شَيْءٍ قَدِيرٌ، وَأَنَّ اللَّهَ قَدْ أَحَاطَ بِكُلِّ شَيْءٍ عِلْمًا،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الثاني والأربعون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لدخول مكان تهابه أو مقابلة شخص تخشاه، تُقرأ آية آل عمران 154: </w:t>
      </w:r>
      <w:r>
        <w:rPr>
          <w:rFonts w:ascii="Times New Roman" w:cs="Times New Roman" w:eastAsia="Times New Roman" w:hAnsi="Times New Roman"/>
          <w:b/>
          <w:bCs/>
          <w:color w:val="B23A2E"/>
          <w:sz w:val="24"/>
          <w:szCs w:val="24"/>
          <w:rtl/>
        </w:rPr>
        <w:t xml:space="preserve">﴿ثُمَّ أَنزَلَ عَلَيْكُم مِّن بَعْدِ الْغَمِّ أَمَنَةً نُّعَاسًا يَغْشَىٰ طَائِفَةً مِّنكُمْ﴾</w:t>
      </w:r>
      <w:r>
        <w:rPr>
          <w:rFonts w:ascii="Times New Roman" w:cs="Times New Roman" w:eastAsia="Times New Roman" w:hAnsi="Times New Roman"/>
          <w:sz w:val="24"/>
          <w:szCs w:val="24"/>
          <w:rtl/>
        </w:rPr>
        <w:t xml:space="preserve"> إلى آخرها، وآية الفتح 29: </w:t>
      </w:r>
      <w:r>
        <w:rPr>
          <w:rFonts w:ascii="Times New Roman" w:cs="Times New Roman" w:eastAsia="Times New Roman" w:hAnsi="Times New Roman"/>
          <w:b/>
          <w:bCs/>
          <w:color w:val="B23A2E"/>
          <w:sz w:val="24"/>
          <w:szCs w:val="24"/>
          <w:rtl/>
        </w:rPr>
        <w:t xml:space="preserve">﴿مُّحَمَّدٌ رَّسُولُ اللَّهِ وَالَّذِينَ مَعَهُ أَشِدَّاءُ عَلَى الْكُفَّارِ رُحَمَاءُ بَيْنَهُمْ﴾</w:t>
      </w:r>
      <w:r>
        <w:rPr>
          <w:rFonts w:ascii="Times New Roman" w:cs="Times New Roman" w:eastAsia="Times New Roman" w:hAnsi="Times New Roman"/>
          <w:sz w:val="24"/>
          <w:szCs w:val="24"/>
          <w:rtl/>
        </w:rPr>
        <w:t xml:space="preserve"> إلى آخرها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الدعاء الأول (دعاء تفريج الكرب الكامل، مكوّن من 4 أدعية): الدعاء الأول: «اللهم إن في تدبيرك ما يغني عن الحيل، وفي كرمك ما هو فوق الأمل، وفي عفوك ما يمحو الزلل. اللهم يا وليي في نعمتي، ويا مؤنسي في وحشتي، ويا ملاذي عند غربتي، اجعل ما أخافه وأحذره بردًا وسلامًا على قلبي، كما جعلت النار بردًا وسلامًا على إبراهيم». الدعاء الثاني: «اللهم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rFonts w:ascii="Times New Roman" w:cs="Times New Roman" w:eastAsia="Times New Roman" w:hAnsi="Times New Roman"/>
          <w:b/>
          <w:bCs/>
          <w:color w:val="B23A2E"/>
          <w:sz w:val="24"/>
          <w:szCs w:val="24"/>
          <w:rtl/>
        </w:rPr>
        <w:t xml:space="preserve">﴿إن وليي الله الذي نزل الكتاب، وهو يتولى الصالحين﴾</w:t>
      </w:r>
      <w:r>
        <w:rPr>
          <w:rFonts w:ascii="Times New Roman" w:cs="Times New Roman" w:eastAsia="Times New Roman" w:hAnsi="Times New Roman"/>
          <w:sz w:val="24"/>
          <w:szCs w:val="24"/>
          <w:rtl/>
        </w:rPr>
        <w:t xml:space="preserve">». الدعاء الثالث: «</w:t>
      </w:r>
      <w:r>
        <w:rPr>
          <w:rFonts w:ascii="Times New Roman" w:cs="Times New Roman" w:eastAsia="Times New Roman" w:hAnsi="Times New Roman"/>
          <w:b/>
          <w:bCs/>
          <w:color w:val="B23A2E"/>
          <w:sz w:val="24"/>
          <w:szCs w:val="24"/>
          <w:rtl/>
        </w:rPr>
        <w:t xml:space="preserve">﴿قُلِ اللَّهُمَّ فَاطِرَ السَّمَاوَاتِ وَالْأَرْضِ، عَالِمَ الْغَيْبِ وَالشَّهَادَةِ، أَنْتَ تَحْكُمُ بَيْنَ عِبَادِكَ فِي مَا كَانُوا فِيهِ يَخْتَلِفُونَ﴾</w:t>
      </w:r>
      <w:r>
        <w:rPr>
          <w:rFonts w:ascii="Times New Roman" w:cs="Times New Roman" w:eastAsia="Times New Roman" w:hAnsi="Times New Roman"/>
          <w:sz w:val="24"/>
          <w:szCs w:val="24"/>
          <w:rtl/>
        </w:rPr>
        <w:t xml:space="preserve">» ثم سل الله ما تشاء من خير الدنيا والآخرة، ثم الصلاة على النبي. الدعاء الرابع: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«لا إله إلا الله العظيم الحليم، لا إله إلا الله رب العرش العظيم، لا إله إلا الله رب السماوات ورب الأرض ورب العرش الكريم»</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 xml:space="preserve">الدعاء الرابع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 xml:space="preserve">الدعاء الخامس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 xml:space="preserve">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 xml:space="preserve">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 — ثم دعاء سيدنا الحسن البصري: «اللهم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لتيسير الدعاء: «اللهم إني أسألك وأتوسل إليك بنبيك محمد نبي الرحمة، يا محمد إني أتوسل إلى ربي في حاجتي هذه» (وسمّ حاجتك)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xml:space="preserve">،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ما يقول المتزوج إذا دخل على زوجته ليلة الزفاف: يأخذ بناصيتها ويقول: «اللهم إني أسألك من خيرها وخير ما جُبلت عليه، وأعوذ بك من شرها وشر ما جُبلت عليه»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النصف من شعبان: تُقرأ سورة الدخان، ثم: «اللهم يا ذا المنّ ولا يُمَنّ عليه، يا ذا الجلال والإكرام، يا ذا الطول والإنعام، اللهم إن كنت قد كتبتني عندك في أم الكتاب شقيًا أو محرومًا أو مقترًا علي في الرزق، فامحُ اللهم بفضلك شقاوتي وحرماني وتقتيري، وأثبتني عندك في أم الكتاب سعيدًا موفقًا مرزوقًا، فأنت قلت وقولك الحق المبين: يمحو الله ما يشاء ويثبت وعنده أم الكتاب»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أعوذ بك من زوال نعمتك، وتحوّل عافيتك، وفجاءة نقمتك، وجميع سخطك. اللهم أدِم علينا نعمك وبارك لنا فيها واحفظها من الزوال</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ما من عبد مسلم يعود مريضًا لم يحضر أجله، فيقول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«أسأل الله العظيم رب العرش العظيم أن يشفيك» إلا عوفي</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زيارة المريض، يُقال: «لا بأس، طهور إن شاء الله» و«اللهم اشفِ عبدك، ينكأ لك عدوًا، أو يمشي لك إلى جنازة»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18. أدعية طلب العلم والفهم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19.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20.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21.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22.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23.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24.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25.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