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A3C6E"/>
          <w:sz w:val="48"/>
          <w:szCs w:val="48"/>
        </w:rPr>
        <w:t xml:space="preserve">Accounting Assistant</w:t>
      </w:r>
    </w:p>
    <w:p>
      <w:pPr>
        <w:spacing w:after="40"/>
        <w:jc w:val="center"/>
      </w:pPr>
      <w:r>
        <w:rPr>
          <w:rFonts w:ascii="Arial" w:cs="Arial" w:eastAsia="Arial" w:hAnsi="Arial"/>
          <w:color w:val="2E5090"/>
          <w:sz w:val="32"/>
          <w:szCs w:val="32"/>
        </w:rPr>
        <w:t xml:space="preserve">Comprehensive Code Review</w:t>
      </w:r>
    </w:p>
    <w:p>
      <w:pPr>
        <w:spacing w:after="400"/>
        <w:jc w:val="center"/>
      </w:pPr>
      <w:r>
        <w:rPr>
          <w:rFonts w:ascii="Arial" w:cs="Arial" w:eastAsia="Arial" w:hAnsi="Arial"/>
          <w:color w:val="666666"/>
          <w:sz w:val="22"/>
          <w:szCs w:val="22"/>
        </w:rPr>
        <w:t xml:space="preserve">April 7, 2026</w:t>
      </w:r>
    </w:p>
    <w:p>
      <w:pPr>
        <w:pStyle w:val="Heading1"/>
      </w:pPr>
      <w:r>
        <w:t xml:space="preserve">1. Test Suite Results</w:t>
      </w:r>
    </w:p>
    <w:p>
      <w:pPr>
        <w:spacing w:after="120"/>
      </w:pPr>
      <w:r>
        <w:rPr>
          <w:rFonts w:ascii="Arial" w:cs="Arial" w:eastAsia="Arial" w:hAnsi="Arial"/>
          <w:sz w:val="22"/>
          <w:szCs w:val="22"/>
        </w:rPr>
        <w:t xml:space="preserve">The project has 286 tests covering security, chat/AI flows, date handling, transaction CRUD, financial reporting, entity management, and validation 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Passed</w:t>
            </w:r>
          </w:p>
        </w:tc>
        <w:tc>
          <w:tcPr>
            <w:tcW w:type="dxa" w:w="312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Failed</w:t>
            </w:r>
          </w:p>
        </w:tc>
        <w:tc>
          <w:tcPr>
            <w:tcW w:type="dxa" w:w="312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Total</w:t>
            </w:r>
          </w:p>
        </w:tc>
      </w:tr>
      <w:tr>
        <w:tc>
          <w:tcPr>
            <w:tcW w:type="dxa" w:w="15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20"/>
                <w:szCs w:val="20"/>
              </w:rPr>
              <w:t xml:space="preserve">283</w:t>
            </w:r>
          </w:p>
        </w:tc>
        <w:tc>
          <w:tcPr>
            <w:tcW w:type="dxa" w:w="156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sz w:val="20"/>
                <w:szCs w:val="20"/>
              </w:rPr>
              <w:t xml:space="preserve">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286</w:t>
            </w:r>
          </w:p>
        </w:tc>
      </w:tr>
    </w:tbl>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3 Failing Tests: </w:t>
      </w:r>
      <w:r>
        <w:rPr>
          <w:rFonts w:ascii="Arial" w:cs="Arial" w:eastAsia="Arial" w:hAnsi="Arial"/>
          <w:sz w:val="22"/>
          <w:szCs w:val="22"/>
        </w:rPr>
        <w:t xml:space="preserve">All in test_jalali.py, related to Jalali year inference when no year is provided. The functions try_parse_jalali() and find_and_replace_jalali_dates() use jdatetime.date.today().year to infer the current Jalali year. Because the tests hardcode expected Jalali year 1404 but we are now in 1405, the inferred year is off by one. This is a real bug that will affect users typing dates like "4th of Esfand" without a year.</w:t>
      </w:r>
    </w:p>
    <w:p>
      <w:r>
        <w:br w:type="page"/>
      </w:r>
    </w:p>
    <w:p>
      <w:pPr>
        <w:pStyle w:val="Heading1"/>
      </w:pPr>
      <w:r>
        <w:t xml:space="preserve">2. AI Chat Tab vs Voucher Duplication</w:t>
      </w:r>
    </w:p>
    <w:p>
      <w:pPr>
        <w:spacing w:after="120"/>
      </w:pPr>
      <w:r>
        <w:rPr>
          <w:rFonts w:ascii="Arial" w:cs="Arial" w:eastAsia="Arial" w:hAnsi="Arial"/>
          <w:sz w:val="22"/>
          <w:szCs w:val="22"/>
        </w:rPr>
        <w:t xml:space="preserve">You are correct that the AI Chat tab and the Voucher tab are essentially the same page. Here is exactly what happens in the code:</w:t>
      </w:r>
    </w:p>
    <w:p>
      <w:pPr>
        <w:pStyle w:val="ListParagraph"/>
        <w:numPr>
          <w:ilvl w:val="0"/>
          <w:numId w:val="2"/>
        </w:numPr>
        <w:spacing w:after="100"/>
      </w:pPr>
      <w:r>
        <w:rPr>
          <w:rFonts w:ascii="Arial" w:cs="Arial" w:eastAsia="Arial" w:hAnsi="Arial"/>
          <w:sz w:val="22"/>
          <w:szCs w:val="22"/>
        </w:rPr>
        <w:t xml:space="preserve">The nav bar has two separate buttons: </w:t>
      </w:r>
      <w:r>
        <w:rPr>
          <w:rFonts w:ascii="Arial" w:cs="Arial" w:eastAsia="Arial" w:hAnsi="Arial"/>
          <w:b/>
          <w:bCs/>
          <w:sz w:val="22"/>
          <w:szCs w:val="22"/>
        </w:rPr>
        <w:t xml:space="preserve">"AI chat"</w:t>
      </w:r>
      <w:r>
        <w:rPr>
          <w:rFonts w:ascii="Arial" w:cs="Arial" w:eastAsia="Arial" w:hAnsi="Arial"/>
          <w:sz w:val="22"/>
          <w:szCs w:val="22"/>
        </w:rPr>
        <w:t xml:space="preserve"> (data-page="chat") and </w:t>
      </w:r>
      <w:r>
        <w:rPr>
          <w:rFonts w:ascii="Arial" w:cs="Arial" w:eastAsia="Arial" w:hAnsi="Arial"/>
          <w:b/>
          <w:bCs/>
          <w:sz w:val="22"/>
          <w:szCs w:val="22"/>
        </w:rPr>
        <w:t xml:space="preserve">"Vouchers"</w:t>
      </w:r>
      <w:r>
        <w:rPr>
          <w:rFonts w:ascii="Arial" w:cs="Arial" w:eastAsia="Arial" w:hAnsi="Arial"/>
          <w:sz w:val="22"/>
          <w:szCs w:val="22"/>
        </w:rPr>
        <w:t xml:space="preserve"> (data-page="transactions").</w:t>
      </w:r>
    </w:p>
    <w:p>
      <w:pPr>
        <w:pStyle w:val="ListParagraph"/>
        <w:numPr>
          <w:ilvl w:val="0"/>
          <w:numId w:val="2"/>
        </w:numPr>
        <w:spacing w:after="100"/>
      </w:pPr>
      <w:r>
        <w:rPr>
          <w:rFonts w:ascii="Arial" w:cs="Arial" w:eastAsia="Arial" w:hAnsi="Arial"/>
          <w:sz w:val="22"/>
          <w:szCs w:val="22"/>
        </w:rPr>
        <w:t xml:space="preserve">In showPage(), when target === "chat", it simply redirects to the "transactions" page and calls openInlineChat() to expand the chat panel. There is no separate chat page.</w:t>
      </w:r>
    </w:p>
    <w:p>
      <w:pPr>
        <w:pStyle w:val="ListParagraph"/>
        <w:numPr>
          <w:ilvl w:val="0"/>
          <w:numId w:val="2"/>
        </w:numPr>
        <w:spacing w:after="100"/>
      </w:pPr>
      <w:r>
        <w:rPr>
          <w:rFonts w:ascii="Arial" w:cs="Arial" w:eastAsia="Arial" w:hAnsi="Arial"/>
          <w:sz w:val="22"/>
          <w:szCs w:val="22"/>
        </w:rPr>
        <w:t xml:space="preserve">Both tabs show the exact same UI — the voucher entry form with the inline AI chat sidebar. The only difference is the chat panel starts open vs closed.</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Recommendation: </w:t>
      </w:r>
      <w:r>
        <w:rPr>
          <w:rFonts w:ascii="Arial" w:cs="Arial" w:eastAsia="Arial" w:hAnsi="Arial"/>
          <w:sz w:val="22"/>
          <w:szCs w:val="22"/>
        </w:rPr>
        <w:t xml:space="preserve">Either (a) make the AI Chat tab a truly separate, dedicated conversational interface focused on Q&amp;A, report queries, and natural language bookkeeping — without the voucher form clutter, or (b) remove the separate AI Chat nav button entirely and just add a prominent "Open AI Assistant" toggle button on the Vouchers page. Having two nav tabs that go to the same page is confusing for users.</w:t>
      </w:r>
    </w:p>
    <w:p>
      <w:r>
        <w:br w:type="page"/>
      </w:r>
    </w:p>
    <w:p>
      <w:pPr>
        <w:pStyle w:val="Heading1"/>
      </w:pPr>
      <w:r>
        <w:t xml:space="preserve">3. What’s Good</w:t>
      </w:r>
    </w:p>
    <w:p>
      <w:pPr>
        <w:pStyle w:val="Heading2"/>
      </w:pPr>
      <w:r>
        <w:t xml:space="preserve">3.1 Architecture &amp; Code Organization</w:t>
      </w:r>
    </w:p>
    <w:p>
      <w:pPr>
        <w:pStyle w:val="ListParagraph"/>
        <w:numPr>
          <w:ilvl w:val="0"/>
          <w:numId w:val="3"/>
        </w:numPr>
        <w:spacing w:after="80"/>
      </w:pPr>
      <w:r>
        <w:rPr>
          <w:rFonts w:ascii="Arial" w:cs="Arial" w:eastAsia="Arial" w:hAnsi="Arial"/>
          <w:b/>
          <w:bCs/>
          <w:sz w:val="22"/>
          <w:szCs w:val="22"/>
        </w:rPr>
        <w:t xml:space="preserve">Clean separation of concerns: </w:t>
      </w:r>
      <w:r>
        <w:rPr>
          <w:rFonts w:ascii="Arial" w:cs="Arial" w:eastAsia="Arial" w:hAnsi="Arial"/>
          <w:sz w:val="22"/>
          <w:szCs w:val="22"/>
        </w:rPr>
        <w:t xml:space="preserve">Models, schemas, services, and API routes are properly separated. The reporting services are well-factored into individual modules (ledger, financial statements, cash flow, sales, operations, inventory).</w:t>
      </w:r>
    </w:p>
    <w:p>
      <w:pPr>
        <w:pStyle w:val="ListParagraph"/>
        <w:numPr>
          <w:ilvl w:val="0"/>
          <w:numId w:val="3"/>
        </w:numPr>
        <w:spacing w:after="80"/>
      </w:pPr>
      <w:r>
        <w:rPr>
          <w:rFonts w:ascii="Arial" w:cs="Arial" w:eastAsia="Arial" w:hAnsi="Arial"/>
          <w:b/>
          <w:bCs/>
          <w:sz w:val="22"/>
          <w:szCs w:val="22"/>
        </w:rPr>
        <w:t xml:space="preserve">Comprehensive feature set: </w:t>
      </w:r>
      <w:r>
        <w:rPr>
          <w:rFonts w:ascii="Arial" w:cs="Arial" w:eastAsia="Arial" w:hAnsi="Arial"/>
          <w:sz w:val="22"/>
          <w:szCs w:val="22"/>
        </w:rPr>
        <w:t xml:space="preserve">Double-entry bookkeeping, chart of accounts with hierarchy, invoicing, bank statement import/reconciliation, recurring rules, budgets, inventory tracking, transaction fees, CFO intelligence, and audit trails. This covers a lot of ground for an accounting app.</w:t>
      </w:r>
    </w:p>
    <w:p>
      <w:pPr>
        <w:pStyle w:val="ListParagraph"/>
        <w:numPr>
          <w:ilvl w:val="0"/>
          <w:numId w:val="3"/>
        </w:numPr>
        <w:spacing w:after="80"/>
      </w:pPr>
      <w:r>
        <w:rPr>
          <w:rFonts w:ascii="Arial" w:cs="Arial" w:eastAsia="Arial" w:hAnsi="Arial"/>
          <w:b/>
          <w:bCs/>
          <w:sz w:val="22"/>
          <w:szCs w:val="22"/>
        </w:rPr>
        <w:t xml:space="preserve">Multi-language support: </w:t>
      </w:r>
      <w:r>
        <w:rPr>
          <w:rFonts w:ascii="Arial" w:cs="Arial" w:eastAsia="Arial" w:hAnsi="Arial"/>
          <w:sz w:val="22"/>
          <w:szCs w:val="22"/>
        </w:rPr>
        <w:t xml:space="preserve">Full i18n for English, Persian, Spanish, and Arabic with proper RTL support. The Jalali calendar integration for Iranian users is thorough.</w:t>
      </w:r>
    </w:p>
    <w:p>
      <w:pPr>
        <w:pStyle w:val="ListParagraph"/>
        <w:numPr>
          <w:ilvl w:val="0"/>
          <w:numId w:val="3"/>
        </w:numPr>
        <w:spacing w:after="80"/>
      </w:pPr>
      <w:r>
        <w:rPr>
          <w:rFonts w:ascii="Arial" w:cs="Arial" w:eastAsia="Arial" w:hAnsi="Arial"/>
          <w:b/>
          <w:bCs/>
          <w:sz w:val="22"/>
          <w:szCs w:val="22"/>
        </w:rPr>
        <w:t xml:space="preserve">AI provider flexibility: </w:t>
      </w:r>
      <w:r>
        <w:rPr>
          <w:rFonts w:ascii="Arial" w:cs="Arial" w:eastAsia="Arial" w:hAnsi="Arial"/>
          <w:sz w:val="22"/>
          <w:szCs w:val="22"/>
        </w:rPr>
        <w:t xml:space="preserve">Supports LM Studio (local), MetisAI, and custom OpenAI-compatible backends. Hot-swappable via admin settings without restart.</w:t>
      </w:r>
    </w:p>
    <w:p>
      <w:pPr>
        <w:pStyle w:val="Heading2"/>
      </w:pPr>
      <w:r>
        <w:t xml:space="preserve">3.2 Security</w:t>
      </w:r>
    </w:p>
    <w:p>
      <w:pPr>
        <w:pStyle w:val="ListParagraph"/>
        <w:numPr>
          <w:ilvl w:val="0"/>
          <w:numId w:val="4"/>
        </w:numPr>
        <w:spacing w:after="80"/>
      </w:pPr>
      <w:r>
        <w:rPr>
          <w:rFonts w:ascii="Arial" w:cs="Arial" w:eastAsia="Arial" w:hAnsi="Arial"/>
          <w:sz w:val="22"/>
          <w:szCs w:val="22"/>
        </w:rPr>
        <w:t xml:space="preserve">PBKDF2 with 120,000 iterations and per-user salts for password hashing. HMAC-based session tokens with expiry. Constant-time comparison for signatures.</w:t>
      </w:r>
    </w:p>
    <w:p>
      <w:pPr>
        <w:pStyle w:val="ListParagraph"/>
        <w:numPr>
          <w:ilvl w:val="0"/>
          <w:numId w:val="4"/>
        </w:numPr>
        <w:spacing w:after="80"/>
      </w:pPr>
      <w:r>
        <w:rPr>
          <w:rFonts w:ascii="Arial" w:cs="Arial" w:eastAsia="Arial" w:hAnsi="Arial"/>
          <w:sz w:val="22"/>
          <w:szCs w:val="22"/>
        </w:rPr>
        <w:t xml:space="preserve">Auth middleware properly gates all protected routes. Rate limiting on the chat endpoint. Input validation tests for SQL injection and XSS.</w:t>
      </w:r>
    </w:p>
    <w:p>
      <w:pPr>
        <w:pStyle w:val="ListParagraph"/>
        <w:numPr>
          <w:ilvl w:val="0"/>
          <w:numId w:val="4"/>
        </w:numPr>
        <w:spacing w:after="80"/>
      </w:pPr>
      <w:r>
        <w:rPr>
          <w:rFonts w:ascii="Arial" w:cs="Arial" w:eastAsia="Arial" w:hAnsi="Arial"/>
          <w:sz w:val="22"/>
          <w:szCs w:val="22"/>
        </w:rPr>
        <w:t xml:space="preserve">Password complexity enforcement (min 8 chars, must have digits + letters).</w:t>
      </w:r>
    </w:p>
    <w:p>
      <w:pPr>
        <w:pStyle w:val="Heading2"/>
      </w:pPr>
      <w:r>
        <w:t xml:space="preserve">3.3 Testing</w:t>
      </w:r>
    </w:p>
    <w:p>
      <w:pPr>
        <w:pStyle w:val="ListParagraph"/>
        <w:numPr>
          <w:ilvl w:val="0"/>
          <w:numId w:val="5"/>
        </w:numPr>
        <w:spacing w:after="80"/>
      </w:pPr>
      <w:r>
        <w:rPr>
          <w:rFonts w:ascii="Arial" w:cs="Arial" w:eastAsia="Arial" w:hAnsi="Arial"/>
          <w:sz w:val="22"/>
          <w:szCs w:val="22"/>
        </w:rPr>
        <w:t xml:space="preserve">286 tests with strong coverage of date parsing, report intent detection, entity extraction, transaction validation, financial report correctness, and security edge cases.</w:t>
      </w:r>
    </w:p>
    <w:p>
      <w:pPr>
        <w:pStyle w:val="ListParagraph"/>
        <w:numPr>
          <w:ilvl w:val="0"/>
          <w:numId w:val="5"/>
        </w:numPr>
        <w:spacing w:after="80"/>
      </w:pPr>
      <w:r>
        <w:rPr>
          <w:rFonts w:ascii="Arial" w:cs="Arial" w:eastAsia="Arial" w:hAnsi="Arial"/>
          <w:sz w:val="22"/>
          <w:szCs w:val="22"/>
        </w:rPr>
        <w:t xml:space="preserve">Tests use SQLite in-memory DB with proper fixtures — fast and isolated. AI calls are mocked with deterministic responses.</w:t>
      </w:r>
    </w:p>
    <w:p>
      <w:pPr>
        <w:pStyle w:val="Heading2"/>
      </w:pPr>
      <w:r>
        <w:t xml:space="preserve">3.4 Accounting Features</w:t>
      </w:r>
    </w:p>
    <w:p>
      <w:pPr>
        <w:pStyle w:val="ListParagraph"/>
        <w:numPr>
          <w:ilvl w:val="0"/>
          <w:numId w:val="6"/>
        </w:numPr>
        <w:spacing w:after="80"/>
      </w:pPr>
      <w:r>
        <w:rPr>
          <w:rFonts w:ascii="Arial" w:cs="Arial" w:eastAsia="Arial" w:hAnsi="Arial"/>
          <w:sz w:val="22"/>
          <w:szCs w:val="22"/>
        </w:rPr>
        <w:t xml:space="preserve">Self-audit service checks accounting equation, debit/credit balance, duplicate payments, spending anomalies, negative balances, and backdated entries. Very solid.</w:t>
      </w:r>
    </w:p>
    <w:p>
      <w:pPr>
        <w:pStyle w:val="ListParagraph"/>
        <w:numPr>
          <w:ilvl w:val="0"/>
          <w:numId w:val="6"/>
        </w:numPr>
        <w:spacing w:after="80"/>
      </w:pPr>
      <w:r>
        <w:rPr>
          <w:rFonts w:ascii="Arial" w:cs="Arial" w:eastAsia="Arial" w:hAnsi="Arial"/>
          <w:sz w:val="22"/>
          <w:szCs w:val="22"/>
        </w:rPr>
        <w:t xml:space="preserve">CFO intelligence layer computes KPIs, cash runway, burn rate, profit margins, and risk scores without needing an LLM.</w:t>
      </w:r>
    </w:p>
    <w:p>
      <w:pPr>
        <w:pStyle w:val="ListParagraph"/>
        <w:numPr>
          <w:ilvl w:val="0"/>
          <w:numId w:val="6"/>
        </w:numPr>
        <w:spacing w:after="80"/>
      </w:pPr>
      <w:r>
        <w:rPr>
          <w:rFonts w:ascii="Arial" w:cs="Arial" w:eastAsia="Arial" w:hAnsi="Arial"/>
          <w:sz w:val="22"/>
          <w:szCs w:val="22"/>
        </w:rPr>
        <w:t xml:space="preserve">Bank reconciliation with multi-strategy matching (exact, date-tolerant, fuzzy, amount-only) and duplicate detection.</w:t>
      </w:r>
    </w:p>
    <w:p>
      <w:r>
        <w:br w:type="page"/>
      </w:r>
    </w:p>
    <w:p>
      <w:pPr>
        <w:pStyle w:val="Heading1"/>
      </w:pPr>
      <w:r>
        <w:t xml:space="preserve">4. What Can Be Better</w:t>
      </w:r>
    </w:p>
    <w:p>
      <w:pPr>
        <w:pStyle w:val="Heading2"/>
      </w:pPr>
      <w:r>
        <w:t xml:space="preserve">4.1 Critical Issues</w:t>
      </w:r>
    </w:p>
    <w:p>
      <w:pPr>
        <w:pStyle w:val="Heading3"/>
      </w:pPr>
      <w:r>
        <w:t xml:space="preserve">4.1.1 Hardcoded Secrets in .env (Committed to Git)</w:t>
      </w:r>
    </w:p>
    <w:p>
      <w:pPr>
        <w:spacing w:after="120"/>
      </w:pPr>
      <w:r>
        <w:rPr>
          <w:rFonts w:ascii="Arial" w:cs="Arial" w:eastAsia="Arial" w:hAnsi="Arial"/>
          <w:sz w:val="22"/>
          <w:szCs w:val="22"/>
        </w:rPr>
        <w:t xml:space="preserve">The .env file is committed to the repository and contains a real MetisAI API key (METIS_API_KEY=tpsg-c1r26dn97CxEgpxyrYcVmFoRejZxGDS). The auth_secret defaults to "change-this-in-production" and there is no enforcement to change it. The .gitignore should exclude .env and the key should be rotated immediately.</w:t>
      </w:r>
    </w:p>
    <w:p>
      <w:pPr>
        <w:pStyle w:val="Heading3"/>
      </w:pPr>
      <w:r>
        <w:t xml:space="preserve">4.1.2 Jalali Year Inference Bug</w:t>
      </w:r>
    </w:p>
    <w:p>
      <w:pPr>
        <w:spacing w:after="120"/>
      </w:pPr>
      <w:r>
        <w:rPr>
          <w:rFonts w:ascii="Arial" w:cs="Arial" w:eastAsia="Arial" w:hAnsi="Arial"/>
          <w:sz w:val="22"/>
          <w:szCs w:val="22"/>
        </w:rPr>
        <w:t xml:space="preserve">When users type dates without a year (e.g., "4th of Esfand"), the code uses jdatetime.date.today().year. This caused 3 test failures because the expected year (1404) no longer matches the current Jalali year (1405). The logic should be smarter — if the inferred date is more than ~6 months in the future, it should assume the previous year.</w:t>
      </w:r>
    </w:p>
    <w:p>
      <w:pPr>
        <w:pStyle w:val="Heading3"/>
      </w:pPr>
      <w:r>
        <w:t xml:space="preserve">4.1.3 Startup Migrations Are Fragile</w:t>
      </w:r>
    </w:p>
    <w:p>
      <w:pPr>
        <w:spacing w:after="120"/>
      </w:pPr>
      <w:r>
        <w:rPr>
          <w:rFonts w:ascii="Arial" w:cs="Arial" w:eastAsia="Arial" w:hAnsi="Arial"/>
          <w:sz w:val="22"/>
          <w:szCs w:val="22"/>
        </w:rPr>
        <w:t xml:space="preserve">The app runs raw ALTER TABLE and UPDATE statements on every startup (_apply_numeric_migrations, _apply_entity_cleanup_migrations, etc.) without any idempotency checks. If a column is already BIGINT, ALTER TABLE will still execute. If data has been cleaned, UPDATE still runs. These should use proper Alembic migrations with version tracking, or at minimum check column types before altering.</w:t>
      </w:r>
    </w:p>
    <w:p>
      <w:pPr>
        <w:pStyle w:val="Heading3"/>
      </w:pPr>
      <w:r>
        <w:t xml:space="preserve">4.1.4 The 5,400-Line index.html Monolith</w:t>
      </w:r>
    </w:p>
    <w:p>
      <w:pPr>
        <w:spacing w:after="120"/>
      </w:pPr>
      <w:r>
        <w:rPr>
          <w:rFonts w:ascii="Arial" w:cs="Arial" w:eastAsia="Arial" w:hAnsi="Arial"/>
          <w:sz w:val="22"/>
          <w:szCs w:val="22"/>
        </w:rPr>
        <w:t xml:space="preserve">The entire frontend — all HTML, CSS, and JavaScript for 13+ pages/sections — lives in a single 5,400-line file. This is extremely difficult to maintain, debug, or have multiple developers work on. It should be broken into components using a framework (React, Vue, Svelte) or at minimum split into separate JS/CSS files per feature area.</w:t>
      </w:r>
    </w:p>
    <w:p>
      <w:pPr>
        <w:pStyle w:val="Heading2"/>
      </w:pPr>
      <w:r>
        <w:t xml:space="preserve">4.2 Significant Issues</w:t>
      </w:r>
    </w:p>
    <w:p>
      <w:pPr>
        <w:pStyle w:val="Heading3"/>
      </w:pPr>
      <w:r>
        <w:t xml:space="preserve">4.2.1 No Database Migrations Tool</w:t>
      </w:r>
    </w:p>
    <w:p>
      <w:pPr>
        <w:spacing w:after="120"/>
      </w:pPr>
      <w:r>
        <w:rPr>
          <w:rFonts w:ascii="Arial" w:cs="Arial" w:eastAsia="Arial" w:hAnsi="Arial"/>
          <w:sz w:val="22"/>
          <w:szCs w:val="22"/>
        </w:rPr>
        <w:t xml:space="preserve">Alembic is in requirements.txt but is not actually used. The app relies on create_all() at startup and raw SQL migration statements. This means there is no way to safely evolve the schema in production, no migration history, and no rollback capability.</w:t>
      </w:r>
    </w:p>
    <w:p>
      <w:pPr>
        <w:pStyle w:val="Heading3"/>
      </w:pPr>
      <w:r>
        <w:t xml:space="preserve">4.2.2 Synchronous Database Access in Async App</w:t>
      </w:r>
    </w:p>
    <w:p>
      <w:pPr>
        <w:spacing w:after="120"/>
      </w:pPr>
      <w:r>
        <w:rPr>
          <w:rFonts w:ascii="Arial" w:cs="Arial" w:eastAsia="Arial" w:hAnsi="Arial"/>
          <w:sz w:val="22"/>
          <w:szCs w:val="22"/>
        </w:rPr>
        <w:t xml:space="preserve">FastAPI is async but all database operations use synchronous SQLAlchemy. Every DB query blocks the event loop. For a single-user app this is fine, but for any real multi-user deployment this will cause severe performance issues. Either use SQLAlchemy’s async engine or run DB operations in a thread pool.</w:t>
      </w:r>
    </w:p>
    <w:p>
      <w:pPr>
        <w:pStyle w:val="Heading3"/>
      </w:pPr>
      <w:r>
        <w:t xml:space="preserve">4.2.3 AI Runtime Config is In-Memory Only</w:t>
      </w:r>
    </w:p>
    <w:p>
      <w:pPr>
        <w:spacing w:after="120"/>
      </w:pPr>
      <w:r>
        <w:rPr>
          <w:rFonts w:ascii="Arial" w:cs="Arial" w:eastAsia="Arial" w:hAnsi="Arial"/>
          <w:sz w:val="22"/>
          <w:szCs w:val="22"/>
        </w:rPr>
        <w:t xml:space="preserve">The AI provider configuration (ai_runtime.py) is stored in a module-level dict protected by an RLock. If the server restarts, all AI config changes made via the admin panel are lost. This should be persisted to the database or a config file.</w:t>
      </w:r>
    </w:p>
    <w:p>
      <w:pPr>
        <w:pStyle w:val="Heading3"/>
      </w:pPr>
      <w:r>
        <w:t xml:space="preserve">4.2.4 No CSRF Protection</w:t>
      </w:r>
    </w:p>
    <w:p>
      <w:pPr>
        <w:spacing w:after="120"/>
      </w:pPr>
      <w:r>
        <w:rPr>
          <w:rFonts w:ascii="Arial" w:cs="Arial" w:eastAsia="Arial" w:hAnsi="Arial"/>
          <w:sz w:val="22"/>
          <w:szCs w:val="22"/>
        </w:rPr>
        <w:t xml:space="preserve">The app uses cookie-based authentication but has no CSRF token validation. Any malicious site could make requests on behalf of a logged-in user. Since this handles financial data, CSRF protection is important.</w:t>
      </w:r>
    </w:p>
    <w:p>
      <w:pPr>
        <w:pStyle w:val="Heading3"/>
      </w:pPr>
      <w:r>
        <w:t xml:space="preserve">4.2.5 Dashboard Cache is Process-Local</w:t>
      </w:r>
    </w:p>
    <w:p>
      <w:pPr>
        <w:spacing w:after="120"/>
      </w:pPr>
      <w:r>
        <w:rPr>
          <w:rFonts w:ascii="Arial" w:cs="Arial" w:eastAsia="Arial" w:hAnsi="Arial"/>
          <w:sz w:val="22"/>
          <w:szCs w:val="22"/>
        </w:rPr>
        <w:t xml:space="preserve">The owner dashboard caches results in a module-level dict with a 60-second TTL. In a multi-worker deployment, each worker has its own cache, leading to inconsistent data. Consider Redis or disable caching until needed.</w:t>
      </w:r>
    </w:p>
    <w:p>
      <w:r>
        <w:br w:type="page"/>
      </w:r>
    </w:p>
    <w:p>
      <w:pPr>
        <w:pStyle w:val="Heading2"/>
      </w:pPr>
      <w:r>
        <w:t xml:space="preserve">4.3 Code Quality Improvements</w:t>
      </w:r>
    </w:p>
    <w:p>
      <w:pPr>
        <w:pStyle w:val="Heading3"/>
      </w:pPr>
      <w:r>
        <w:t xml:space="preserve">4.3.1 transactions.py is 2,448 Lines</w:t>
      </w:r>
    </w:p>
    <w:p>
      <w:pPr>
        <w:spacing w:after="120"/>
      </w:pPr>
      <w:r>
        <w:rPr>
          <w:rFonts w:ascii="Arial" w:cs="Arial" w:eastAsia="Arial" w:hAnsi="Arial"/>
          <w:sz w:val="22"/>
          <w:szCs w:val="22"/>
        </w:rPr>
        <w:t xml:space="preserve">This single API file handles transaction CRUD, AI chat, entity resolution, fee calculations, report generation, attachment uploads, and payment processing. It should be split into separate routers: transactions_crud.py, chat.py, transaction_fees.py, and attachments.py.</w:t>
      </w:r>
    </w:p>
    <w:p>
      <w:pPr>
        <w:pStyle w:val="Heading3"/>
      </w:pPr>
      <w:r>
        <w:t xml:space="preserve">4.3.2 Duplicated Entity Resolution Logic</w:t>
      </w:r>
    </w:p>
    <w:p>
      <w:pPr>
        <w:spacing w:after="120"/>
      </w:pPr>
      <w:r>
        <w:rPr>
          <w:rFonts w:ascii="Arial" w:cs="Arial" w:eastAsia="Arial" w:hAnsi="Arial"/>
          <w:sz w:val="22"/>
          <w:szCs w:val="22"/>
        </w:rPr>
        <w:t xml:space="preserve">Entity matching/creation logic is scattered across transactions.py, entities.py, and the AI suggest service. A single EntityService class should handle all resolution, fuzzy matching, and creation.</w:t>
      </w:r>
    </w:p>
    <w:p>
      <w:pPr>
        <w:pStyle w:val="Heading3"/>
      </w:pPr>
      <w:r>
        <w:t xml:space="preserve">4.3.3 No Type Hints on Many Functions</w:t>
      </w:r>
    </w:p>
    <w:p>
      <w:pPr>
        <w:spacing w:after="120"/>
      </w:pPr>
      <w:r>
        <w:rPr>
          <w:rFonts w:ascii="Arial" w:cs="Arial" w:eastAsia="Arial" w:hAnsi="Arial"/>
          <w:sz w:val="22"/>
          <w:szCs w:val="22"/>
        </w:rPr>
        <w:t xml:space="preserve">Several helper functions in transactions.py and the reporting services lack return type annotations, making it harder to reason about the code and catch bugs with static analysis.</w:t>
      </w:r>
    </w:p>
    <w:p>
      <w:pPr>
        <w:pStyle w:val="Heading3"/>
      </w:pPr>
      <w:r>
        <w:t xml:space="preserve">4.3.4 Error Handling Inconsistency</w:t>
      </w:r>
    </w:p>
    <w:p>
      <w:pPr>
        <w:spacing w:after="120"/>
      </w:pPr>
      <w:r>
        <w:rPr>
          <w:rFonts w:ascii="Arial" w:cs="Arial" w:eastAsia="Arial" w:hAnsi="Arial"/>
          <w:sz w:val="22"/>
          <w:szCs w:val="22"/>
        </w:rPr>
        <w:t xml:space="preserve">Some endpoints return HTTPException with detail messages, others return plain dicts with error keys, and some AI errors are silently caught and returned as fallback responses. A consistent error response schema would help frontend consumers.</w:t>
      </w:r>
    </w:p>
    <w:p>
      <w:pPr>
        <w:pStyle w:val="Heading2"/>
      </w:pPr>
      <w:r>
        <w:t xml:space="preserve">4.4 Infrastructure &amp; DevOps</w:t>
      </w:r>
    </w:p>
    <w:p>
      <w:pPr>
        <w:pStyle w:val="Heading3"/>
      </w:pPr>
      <w:r>
        <w:t xml:space="preserve">4.4.1 No Health Check Endpoint</w:t>
      </w:r>
    </w:p>
    <w:p>
      <w:pPr>
        <w:spacing w:after="120"/>
      </w:pPr>
      <w:r>
        <w:rPr>
          <w:rFonts w:ascii="Arial" w:cs="Arial" w:eastAsia="Arial" w:hAnsi="Arial"/>
          <w:sz w:val="22"/>
          <w:szCs w:val="22"/>
        </w:rPr>
        <w:t xml:space="preserve">The Docker Compose setup has no healthcheck for the API or database. A /health endpoint that checks DB connectivity would enable proper container orchestration and monitoring.</w:t>
      </w:r>
    </w:p>
    <w:p>
      <w:pPr>
        <w:pStyle w:val="Heading3"/>
      </w:pPr>
      <w:r>
        <w:t xml:space="preserve">4.4.2 No Logging Configuration for Production</w:t>
      </w:r>
    </w:p>
    <w:p>
      <w:pPr>
        <w:spacing w:after="120"/>
      </w:pPr>
      <w:r>
        <w:rPr>
          <w:rFonts w:ascii="Arial" w:cs="Arial" w:eastAsia="Arial" w:hAnsi="Arial"/>
          <w:sz w:val="22"/>
          <w:szCs w:val="22"/>
        </w:rPr>
        <w:t xml:space="preserve">Logging is set to INFO globally with no structured logging format. For production, consider JSON-formatted logs with correlation IDs (the x-request-id is a good start but isn’t passed through to service-layer logs).</w:t>
      </w:r>
    </w:p>
    <w:p>
      <w:pPr>
        <w:pStyle w:val="Heading3"/>
      </w:pPr>
      <w:r>
        <w:t xml:space="preserve">4.4.3 Volume Mount in Docker Compose</w:t>
      </w:r>
    </w:p>
    <w:p>
      <w:pPr>
        <w:spacing w:after="120"/>
      </w:pPr>
      <w:r>
        <w:rPr>
          <w:rFonts w:ascii="Arial" w:cs="Arial" w:eastAsia="Arial" w:hAnsi="Arial"/>
          <w:sz w:val="22"/>
          <w:szCs w:val="22"/>
        </w:rPr>
        <w:t xml:space="preserve">The docker-compose.yml mounts the entire project directory (.:/app) into the container. This is fine for development but means the production image’s COPY . /app is overridden. A separate docker-compose.prod.yml should be created.</w:t>
      </w:r>
    </w:p>
    <w:p>
      <w:pPr>
        <w:pStyle w:val="Heading3"/>
      </w:pPr>
      <w:r>
        <w:t xml:space="preserve">4.4.4 Missing requirements.txt Pinning</w:t>
      </w:r>
    </w:p>
    <w:p>
      <w:pPr>
        <w:spacing w:after="120"/>
      </w:pPr>
      <w:r>
        <w:rPr>
          <w:rFonts w:ascii="Arial" w:cs="Arial" w:eastAsia="Arial" w:hAnsi="Arial"/>
          <w:sz w:val="22"/>
          <w:szCs w:val="22"/>
        </w:rPr>
        <w:t xml:space="preserve">Dependencies are unpinned (just "fastapi", "sqlalchemy", etc.). A pip freeze or poetry.lock should be used to ensure reproducible builds.</w:t>
      </w:r>
    </w:p>
    <w:p>
      <w:r>
        <w:br w:type="page"/>
      </w:r>
    </w:p>
    <w:p>
      <w:pPr>
        <w:pStyle w:val="Heading1"/>
      </w:pPr>
      <w:r>
        <w:t xml:space="preserve">5. Priority Summary</w:t>
      </w:r>
    </w:p>
    <w:p>
      <w:pPr>
        <w:spacing w:after="120"/>
      </w:pPr>
      <w:r>
        <w:rPr>
          <w:rFonts w:ascii="Arial" w:cs="Arial" w:eastAsia="Arial" w:hAnsi="Arial"/>
          <w:sz w:val="22"/>
          <w:szCs w:val="22"/>
        </w:rPr>
        <w:t xml:space="preserve">Issues ranked by impact and effort: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3900"/>
        <w:gridCol w:w="1560"/>
        <w:gridCol w:w="1560"/>
        <w:gridCol w:w="1560"/>
      </w:tblGrid>
      <w:tr>
        <w:tc>
          <w:tcPr>
            <w:tcW w:type="dxa" w:w="78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9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15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15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15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key committed in .env</w:t>
            </w:r>
          </w:p>
        </w:tc>
        <w:tc>
          <w:tcPr>
            <w:tcW w:type="dxa" w:w="156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sz w:val="20"/>
                <w:szCs w:val="20"/>
              </w:rPr>
              <w:t xml:space="preserve">Critical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min</w:t>
            </w:r>
          </w:p>
        </w:tc>
        <w:tc>
          <w:tcPr>
            <w:tcW w:type="dxa" w:w="156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sz w:val="20"/>
                <w:szCs w:val="20"/>
              </w:rPr>
              <w:t xml:space="preserve">P0</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auth_secret default unchanged</w:t>
            </w:r>
          </w:p>
        </w:tc>
        <w:tc>
          <w:tcPr>
            <w:tcW w:type="dxa" w:w="156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sz w:val="20"/>
                <w:szCs w:val="20"/>
              </w:rPr>
              <w:t xml:space="preserve">Critical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min</w:t>
            </w:r>
          </w:p>
        </w:tc>
        <w:tc>
          <w:tcPr>
            <w:tcW w:type="dxa" w:w="156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sz w:val="20"/>
                <w:szCs w:val="20"/>
              </w:rPr>
              <w:t xml:space="preserve">P0</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Jalali year inference bug</w:t>
            </w:r>
          </w:p>
        </w:tc>
        <w:tc>
          <w:tcPr>
            <w:tcW w:type="dxa" w:w="15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sz w:val="20"/>
                <w:szCs w:val="20"/>
              </w:rPr>
              <w:t xml:space="preserve">High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hour</w:t>
            </w:r>
          </w:p>
        </w:tc>
        <w:tc>
          <w:tcPr>
            <w:tcW w:type="dxa" w:w="15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sz w:val="20"/>
                <w:szCs w:val="20"/>
              </w:rPr>
              <w:t xml:space="preserve">P1</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CSRF protection</w:t>
            </w:r>
          </w:p>
        </w:tc>
        <w:tc>
          <w:tcPr>
            <w:tcW w:type="dxa" w:w="15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sz w:val="20"/>
                <w:szCs w:val="20"/>
              </w:rPr>
              <w:t xml:space="preserve">High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hours</w:t>
            </w:r>
          </w:p>
        </w:tc>
        <w:tc>
          <w:tcPr>
            <w:tcW w:type="dxa" w:w="15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sz w:val="20"/>
                <w:szCs w:val="20"/>
              </w:rPr>
              <w:t xml:space="preserve">P1</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chat tab = voucher tab</w:t>
            </w:r>
          </w:p>
        </w:tc>
        <w:tc>
          <w:tcPr>
            <w:tcW w:type="dxa" w:w="156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tcPr>
          <w:p>
            <w:pPr>
              <w:jc w:val="center"/>
            </w:pPr>
            <w:r>
              <w:rPr>
                <w:rFonts w:ascii="Arial" w:cs="Arial" w:eastAsia="Arial" w:hAnsi="Arial"/>
                <w:b/>
                <w:bCs/>
                <w:sz w:val="20"/>
                <w:szCs w:val="20"/>
              </w:rPr>
              <w:t xml:space="preserve">Medium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hours</w:t>
            </w:r>
          </w:p>
        </w:tc>
        <w:tc>
          <w:tcPr>
            <w:tcW w:type="dxa" w:w="156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tcPr>
          <w:p>
            <w:pPr>
              <w:jc w:val="center"/>
            </w:pPr>
            <w:r>
              <w:rPr>
                <w:rFonts w:ascii="Arial" w:cs="Arial" w:eastAsia="Arial" w:hAnsi="Arial"/>
                <w:b/>
                <w:bCs/>
                <w:sz w:val="20"/>
                <w:szCs w:val="20"/>
              </w:rPr>
              <w:t xml:space="preserve">P2</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Alembic migrations</w:t>
            </w:r>
          </w:p>
        </w:tc>
        <w:tc>
          <w:tcPr>
            <w:tcW w:type="dxa" w:w="15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sz w:val="20"/>
                <w:szCs w:val="20"/>
              </w:rPr>
              <w:t xml:space="preserve">High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day</w:t>
            </w:r>
          </w:p>
        </w:tc>
        <w:tc>
          <w:tcPr>
            <w:tcW w:type="dxa" w:w="156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tcPr>
          <w:p>
            <w:pPr>
              <w:jc w:val="center"/>
            </w:pPr>
            <w:r>
              <w:rPr>
                <w:rFonts w:ascii="Arial" w:cs="Arial" w:eastAsia="Arial" w:hAnsi="Arial"/>
                <w:b/>
                <w:bCs/>
                <w:sz w:val="20"/>
                <w:szCs w:val="20"/>
              </w:rPr>
              <w:t xml:space="preserve">P2</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Startup SQL migrations fragile</w:t>
            </w:r>
          </w:p>
        </w:tc>
        <w:tc>
          <w:tcPr>
            <w:tcW w:type="dxa" w:w="156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tcPr>
          <w:p>
            <w:pPr>
              <w:jc w:val="center"/>
            </w:pPr>
            <w:r>
              <w:rPr>
                <w:rFonts w:ascii="Arial" w:cs="Arial" w:eastAsia="Arial" w:hAnsi="Arial"/>
                <w:b/>
                <w:bCs/>
                <w:sz w:val="20"/>
                <w:szCs w:val="20"/>
              </w:rPr>
              <w:t xml:space="preserve">Medium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hours</w:t>
            </w:r>
          </w:p>
        </w:tc>
        <w:tc>
          <w:tcPr>
            <w:tcW w:type="dxa" w:w="156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tcPr>
          <w:p>
            <w:pPr>
              <w:jc w:val="center"/>
            </w:pPr>
            <w:r>
              <w:rPr>
                <w:rFonts w:ascii="Arial" w:cs="Arial" w:eastAsia="Arial" w:hAnsi="Arial"/>
                <w:b/>
                <w:bCs/>
                <w:sz w:val="20"/>
                <w:szCs w:val="20"/>
              </w:rPr>
              <w:t xml:space="preserve">P2</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Sync DB in async app</w:t>
            </w:r>
          </w:p>
        </w:tc>
        <w:tc>
          <w:tcPr>
            <w:tcW w:type="dxa" w:w="156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tcPr>
          <w:p>
            <w:pPr>
              <w:jc w:val="center"/>
            </w:pPr>
            <w:r>
              <w:rPr>
                <w:rFonts w:ascii="Arial" w:cs="Arial" w:eastAsia="Arial" w:hAnsi="Arial"/>
                <w:b/>
                <w:bCs/>
                <w:sz w:val="20"/>
                <w:szCs w:val="20"/>
              </w:rPr>
              <w:t xml:space="preserve">Medium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day</w:t>
            </w:r>
          </w:p>
        </w:tc>
        <w:tc>
          <w:tcPr>
            <w:tcW w:type="dxa" w:w="156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tcPr>
          <w:p>
            <w:pPr>
              <w:jc w:val="center"/>
            </w:pPr>
            <w:r>
              <w:rPr>
                <w:rFonts w:ascii="Arial" w:cs="Arial" w:eastAsia="Arial" w:hAnsi="Arial"/>
                <w:b/>
                <w:bCs/>
                <w:sz w:val="20"/>
                <w:szCs w:val="20"/>
              </w:rPr>
              <w:t xml:space="preserve">P2</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config not persisted</w:t>
            </w:r>
          </w:p>
        </w:tc>
        <w:tc>
          <w:tcPr>
            <w:tcW w:type="dxa" w:w="156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tcPr>
          <w:p>
            <w:pPr>
              <w:jc w:val="center"/>
            </w:pPr>
            <w:r>
              <w:rPr>
                <w:rFonts w:ascii="Arial" w:cs="Arial" w:eastAsia="Arial" w:hAnsi="Arial"/>
                <w:b/>
                <w:bCs/>
                <w:sz w:val="20"/>
                <w:szCs w:val="20"/>
              </w:rPr>
              <w:t xml:space="preserve">Medium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hours</w:t>
            </w:r>
          </w:p>
        </w:tc>
        <w:tc>
          <w:tcPr>
            <w:tcW w:type="dxa" w:w="156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tcPr>
          <w:p>
            <w:pPr>
              <w:jc w:val="center"/>
            </w:pPr>
            <w:r>
              <w:rPr>
                <w:rFonts w:ascii="Arial" w:cs="Arial" w:eastAsia="Arial" w:hAnsi="Arial"/>
                <w:b/>
                <w:bCs/>
                <w:sz w:val="20"/>
                <w:szCs w:val="20"/>
              </w:rPr>
              <w:t xml:space="preserve">P2</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5,400-line monolith frontend</w:t>
            </w:r>
          </w:p>
        </w:tc>
        <w:tc>
          <w:tcPr>
            <w:tcW w:type="dxa" w:w="156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tcPr>
          <w:p>
            <w:pPr>
              <w:jc w:val="center"/>
            </w:pPr>
            <w:r>
              <w:rPr>
                <w:rFonts w:ascii="Arial" w:cs="Arial" w:eastAsia="Arial" w:hAnsi="Arial"/>
                <w:b/>
                <w:bCs/>
                <w:sz w:val="20"/>
                <w:szCs w:val="20"/>
              </w:rPr>
              <w:t xml:space="preserve">Medium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Multi-day</w:t>
            </w:r>
          </w:p>
        </w:tc>
        <w:tc>
          <w:tcPr>
            <w:tcW w:type="dxa" w:w="1560"/>
            <w:tcBorders>
              <w:top w:val="single" w:color="CCCCCC" w:sz="1"/>
              <w:left w:val="single" w:color="CCCCCC" w:sz="1"/>
              <w:bottom w:val="single" w:color="CCCCCC" w:sz="1"/>
              <w:right w:val="single" w:color="CCCCCC" w:sz="1"/>
            </w:tcBorders>
            <w:shd w:fill="CCE5FF" w:val="clear"/>
            <w:tcMar>
              <w:top w:type="dxa" w:w="80"/>
              <w:left w:type="dxa" w:w="120"/>
              <w:bottom w:type="dxa" w:w="80"/>
              <w:right w:type="dxa" w:w="120"/>
            </w:tcMar>
          </w:tcPr>
          <w:p>
            <w:pPr>
              <w:jc w:val="center"/>
            </w:pPr>
            <w:r>
              <w:rPr>
                <w:rFonts w:ascii="Arial" w:cs="Arial" w:eastAsia="Arial" w:hAnsi="Arial"/>
                <w:b/>
                <w:bCs/>
                <w:sz w:val="20"/>
                <w:szCs w:val="20"/>
              </w:rPr>
              <w:t xml:space="preserve">P3</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transactions.py 2,400+ lines</w:t>
            </w:r>
          </w:p>
        </w:tc>
        <w:tc>
          <w:tcPr>
            <w:tcW w:type="dxa" w:w="15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20"/>
                <w:szCs w:val="20"/>
              </w:rPr>
              <w:t xml:space="preserve">Low</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Half day</w:t>
            </w:r>
          </w:p>
        </w:tc>
        <w:tc>
          <w:tcPr>
            <w:tcW w:type="dxa" w:w="1560"/>
            <w:tcBorders>
              <w:top w:val="single" w:color="CCCCCC" w:sz="1"/>
              <w:left w:val="single" w:color="CCCCCC" w:sz="1"/>
              <w:bottom w:val="single" w:color="CCCCCC" w:sz="1"/>
              <w:right w:val="single" w:color="CCCCCC" w:sz="1"/>
            </w:tcBorders>
            <w:shd w:fill="CCE5FF" w:val="clear"/>
            <w:tcMar>
              <w:top w:type="dxa" w:w="80"/>
              <w:left w:type="dxa" w:w="120"/>
              <w:bottom w:type="dxa" w:w="80"/>
              <w:right w:type="dxa" w:w="120"/>
            </w:tcMar>
          </w:tcPr>
          <w:p>
            <w:pPr>
              <w:jc w:val="center"/>
            </w:pPr>
            <w:r>
              <w:rPr>
                <w:rFonts w:ascii="Arial" w:cs="Arial" w:eastAsia="Arial" w:hAnsi="Arial"/>
                <w:b/>
                <w:bCs/>
                <w:sz w:val="20"/>
                <w:szCs w:val="20"/>
              </w:rPr>
              <w:t xml:space="preserve">P3</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Pin dependency versions</w:t>
            </w:r>
          </w:p>
        </w:tc>
        <w:tc>
          <w:tcPr>
            <w:tcW w:type="dxa" w:w="15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20"/>
                <w:szCs w:val="20"/>
              </w:rPr>
              <w:t xml:space="preserve">Low</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 min</w:t>
            </w:r>
          </w:p>
        </w:tc>
        <w:tc>
          <w:tcPr>
            <w:tcW w:type="dxa" w:w="1560"/>
            <w:tcBorders>
              <w:top w:val="single" w:color="CCCCCC" w:sz="1"/>
              <w:left w:val="single" w:color="CCCCCC" w:sz="1"/>
              <w:bottom w:val="single" w:color="CCCCCC" w:sz="1"/>
              <w:right w:val="single" w:color="CCCCCC" w:sz="1"/>
            </w:tcBorders>
            <w:shd w:fill="CCE5FF" w:val="clear"/>
            <w:tcMar>
              <w:top w:type="dxa" w:w="80"/>
              <w:left w:type="dxa" w:w="120"/>
              <w:bottom w:type="dxa" w:w="80"/>
              <w:right w:type="dxa" w:w="120"/>
            </w:tcMar>
          </w:tcPr>
          <w:p>
            <w:pPr>
              <w:jc w:val="center"/>
            </w:pPr>
            <w:r>
              <w:rPr>
                <w:rFonts w:ascii="Arial" w:cs="Arial" w:eastAsia="Arial" w:hAnsi="Arial"/>
                <w:b/>
                <w:bCs/>
                <w:sz w:val="20"/>
                <w:szCs w:val="20"/>
              </w:rPr>
              <w:t xml:space="preserve">P3</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/health endpoint</w:t>
            </w:r>
          </w:p>
        </w:tc>
        <w:tc>
          <w:tcPr>
            <w:tcW w:type="dxa" w:w="15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20"/>
                <w:szCs w:val="20"/>
              </w:rPr>
              <w:t xml:space="preserve">Low</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 min</w:t>
            </w:r>
          </w:p>
        </w:tc>
        <w:tc>
          <w:tcPr>
            <w:tcW w:type="dxa" w:w="1560"/>
            <w:tcBorders>
              <w:top w:val="single" w:color="CCCCCC" w:sz="1"/>
              <w:left w:val="single" w:color="CCCCCC" w:sz="1"/>
              <w:bottom w:val="single" w:color="CCCCCC" w:sz="1"/>
              <w:right w:val="single" w:color="CCCCCC" w:sz="1"/>
            </w:tcBorders>
            <w:shd w:fill="CCE5FF" w:val="clear"/>
            <w:tcMar>
              <w:top w:type="dxa" w:w="80"/>
              <w:left w:type="dxa" w:w="120"/>
              <w:bottom w:type="dxa" w:w="80"/>
              <w:right w:type="dxa" w:w="120"/>
            </w:tcMar>
          </w:tcPr>
          <w:p>
            <w:pPr>
              <w:jc w:val="center"/>
            </w:pPr>
            <w:r>
              <w:rPr>
                <w:rFonts w:ascii="Arial" w:cs="Arial" w:eastAsia="Arial" w:hAnsi="Arial"/>
                <w:b/>
                <w:bCs/>
                <w:sz w:val="20"/>
                <w:szCs w:val="20"/>
              </w:rPr>
              <w:t xml:space="preserve">P3</w:t>
            </w:r>
          </w:p>
        </w:tc>
      </w:tr>
    </w:tbl>
    <w:p>
      <w:r>
        <w:br w:type="page"/>
      </w:r>
    </w:p>
    <w:p>
      <w:pPr>
        <w:pStyle w:val="Heading1"/>
      </w:pPr>
      <w:r>
        <w:t xml:space="preserve">6. Overall Assessment</w:t>
      </w:r>
    </w:p>
    <w:p>
      <w:pPr>
        <w:spacing w:after="120"/>
      </w:pPr>
      <w:r>
        <w:rPr>
          <w:rFonts w:ascii="Arial" w:cs="Arial" w:eastAsia="Arial" w:hAnsi="Arial"/>
          <w:sz w:val="22"/>
          <w:szCs w:val="22"/>
        </w:rPr>
        <w:t xml:space="preserve">This is an impressively full-featured accounting application for what appears to be a relatively young project. The core accounting logic is sound — double-entry bookkeeping is enforced, the chart of accounts hierarchy works correctly, financial statements balance, and the self-audit system catches real issues. The AI integration for conversational bookkeeping and bank reconciliation is creative and well-implemented.</w:t>
      </w:r>
    </w:p>
    <w:p>
      <w:pPr>
        <w:spacing w:after="120"/>
      </w:pPr>
      <w:r>
        <w:rPr>
          <w:rFonts w:ascii="Arial" w:cs="Arial" w:eastAsia="Arial" w:hAnsi="Arial"/>
          <w:sz w:val="22"/>
          <w:szCs w:val="22"/>
        </w:rPr>
        <w:t xml:space="preserve">The test suite is strong at 286 tests with good coverage of edge cases, security, and accounting correctness. The multi-language support with Jalali calendar integration shows real thought about the target users.</w:t>
      </w:r>
    </w:p>
    <w:p>
      <w:pPr>
        <w:spacing w:after="120"/>
      </w:pPr>
      <w:r>
        <w:rPr>
          <w:rFonts w:ascii="Arial" w:cs="Arial" w:eastAsia="Arial" w:hAnsi="Arial"/>
          <w:sz w:val="22"/>
          <w:szCs w:val="22"/>
        </w:rPr>
        <w:t xml:space="preserve">The main areas for improvement are operational: secret management, migration tooling, the monolithic frontend, and the AI chat/voucher tab confusion you noticed. None of these are architectural problems — they are incremental improvements that can be addressed one by one.</w:t>
      </w:r>
    </w:p>
    <w:p>
      <w:pPr>
        <w:spacing w:after="120"/>
      </w:pPr>
      <w:r>
        <w:rPr>
          <w:rFonts w:ascii="Arial" w:cs="Arial" w:eastAsia="Arial" w:hAnsi="Arial"/>
          <w:sz w:val="22"/>
          <w:szCs w:val="22"/>
        </w:rPr>
        <w:t xml:space="preserve">The two immediate actions should be: (1) rotate the exposed API key and add .env to .gitignore, and (2) fix the Jalali year inference bug since it actively affects users right now.</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090" w:sz="6" w:space="4"/>
      </w:pBdr>
      <w:jc w:val="right"/>
    </w:pPr>
    <w:r>
      <w:rPr>
        <w:rFonts w:ascii="Arial" w:cs="Arial" w:eastAsia="Arial" w:hAnsi="Arial"/>
        <w:color w:val="888888"/>
        <w:sz w:val="18"/>
        <w:szCs w:val="18"/>
      </w:rPr>
      <w:t xml:space="preserve">Accounting Assistant — Code Review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10"/>
    <w:lvlOverride w:ilvl="0">
      <w:startOverride w:val="1"/>
    </w:lvlOverride>
  </w:num>
  <w:num w:numId="3">
    <w:abstractNumId w:val="2"/>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C6E"/>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509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A6BB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2026-04-07T03:04:53.191Z</dcterms:created>
  <dcterms:modified xsi:type="dcterms:W3CDTF">2026-04-07T03:04:53.192Z</dcterms:modified>
</cp:coreProperties>
</file>

<file path=docProps/custom.xml><?xml version="1.0" encoding="utf-8"?>
<Properties xmlns="http://schemas.openxmlformats.org/officeDocument/2006/custom-properties" xmlns:vt="http://schemas.openxmlformats.org/officeDocument/2006/docPropsVTypes"/>
</file>