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"schemaVersion": "1.0",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"recordType": "synthetic-sas-viya-case-intake",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"caseRef": "VIYA-FNB-CF-51204",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"createdAt": "2026-08-12T21:02:00+02:00",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"channel": "inbound-telephone-24hr-fraud-line",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"customerRef": "CUS-51204",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"cardToken": "TOKEN-FNB-CF-51204-7314",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"alertScore": 0.93,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"alertModel": "CNP-velocity-merchant-novelty-v4.2",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"queue": "Retail Card Fraud - High",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"caseStatus": "open-awaiting-screen-1-review",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"reportedItems": [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"AUTH-51204-01",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12400.0,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"disputed": true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"AUTH-51204-02",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31900.0,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"disputed": true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"ref": "AUTH-51204-03",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"amount": 28000.0,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"currency": "ZAR",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"disputed": false,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"context": "declined"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"containmentAtIntake": [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"action": "card-block",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"completedAt": "2026-08-12T20:56:00+02:00",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"actor": "agent-4471"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"action": "replacement-card-order",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"completedAt": "2026-08-12T21:01:00+02:00",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"actor": "agent-4471"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"sourceRefs": [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"contact-note-51204.pdf",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"auth-log-51204.xlsx"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"decision": null,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"note": "Raw case-orchestration record. No fraud classification, liability, recovery or regulatory conclusion is encoded."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