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POLITICS KILLS: an epidemiological enquiry into the mortality of Danish cabinet ministers</w:t>
      </w:r>
    </w:p>
    <w:p>
      <w:pPr>
        <w:pStyle w:val="Subtitle"/>
      </w:pPr>
      <w:r>
        <w:t xml:space="preserve">Suggestive evidence for a</w:t>
      </w:r>
      <w:r>
        <w:t xml:space="preserve"> </w:t>
      </w:r>
      <w:r>
        <w:t xml:space="preserve">‘Skatteminister Syndrome’</w:t>
      </w:r>
      <w:r>
        <w:t xml:space="preserve"> </w:t>
      </w:r>
      <w:r>
        <w:t xml:space="preserve">and the literal mortality of leadership</w:t>
      </w:r>
    </w:p>
    <w:p>
      <w:pPr>
        <w:pStyle w:val="Date"/>
      </w:pPr>
      <w:r>
        <w:t xml:space="preserve">24 marts 2026</w:t>
      </w:r>
    </w:p>
    <w:bookmarkStart w:id="9" w:name="abstract"/>
    <w:p>
      <w:pPr>
        <w:pStyle w:val="Heading1"/>
      </w:pPr>
      <w:r>
        <w:t xml:space="preserve">Abstract</w:t>
      </w:r>
    </w:p>
    <w:p>
      <w:pPr>
        <w:pStyle w:val="FirstParagraph"/>
      </w:pPr>
      <w:r>
        <w:rPr>
          <w:b/>
          <w:bCs/>
        </w:rPr>
        <w:t xml:space="preserve">Objective</w:t>
      </w:r>
      <w:r>
        <w:t xml:space="preserve"> </w:t>
      </w:r>
      <w:r>
        <w:t xml:space="preserve">To quantify the occupational hazards of Danish ministerial service, specifically addressing literal mortality risk and the hypothesized</w:t>
      </w:r>
      <w:r>
        <w:t xml:space="preserve"> </w:t>
      </w:r>
      <w:r>
        <w:t xml:space="preserve">“Skatteminister Syndrome”</w:t>
      </w:r>
      <w:r>
        <w:t xml:space="preserve"> </w:t>
      </w:r>
      <w:r>
        <w:t xml:space="preserve">(greater career termination hazard for Tax Ministers).</w:t>
      </w:r>
    </w:p>
    <w:p>
      <w:pPr>
        <w:pStyle w:val="BodyText"/>
      </w:pPr>
      <w:r>
        <w:rPr>
          <w:b/>
          <w:bCs/>
        </w:rPr>
        <w:t xml:space="preserve">Design</w:t>
      </w:r>
      <w:r>
        <w:t xml:space="preserve"> </w:t>
      </w:r>
      <w:r>
        <w:t xml:space="preserve">Retrospective cohort study and actuarial comparison.</w:t>
      </w:r>
    </w:p>
    <w:p>
      <w:pPr>
        <w:pStyle w:val="BodyText"/>
      </w:pPr>
      <w:r>
        <w:rPr>
          <w:b/>
          <w:bCs/>
        </w:rPr>
        <w:t xml:space="preserve">Setting</w:t>
      </w:r>
      <w:r>
        <w:t xml:space="preserve"> </w:t>
      </w:r>
      <w:r>
        <w:t xml:space="preserve">Danish government, 1848–2022 (primary analysis focus 1945–2022).</w:t>
      </w:r>
    </w:p>
    <w:p>
      <w:pPr>
        <w:pStyle w:val="BodyText"/>
      </w:pPr>
      <w:r>
        <w:rPr>
          <w:b/>
          <w:bCs/>
        </w:rPr>
        <w:t xml:space="preserve">Participants</w:t>
      </w:r>
      <w:r>
        <w:t xml:space="preserve"> </w:t>
      </w:r>
      <w:r>
        <w:t xml:space="preserve">787 minister-government observations involving 349 unique individuals.</w:t>
      </w:r>
    </w:p>
    <w:p>
      <w:pPr>
        <w:pStyle w:val="BodyText"/>
      </w:pPr>
      <w:r>
        <w:rPr>
          <w:b/>
          <w:bCs/>
        </w:rPr>
        <w:t xml:space="preserve">Main outcome measures</w:t>
      </w:r>
      <w:r>
        <w:t xml:space="preserve"> </w:t>
      </w:r>
      <w:r>
        <w:t xml:space="preserve">Literal mortality in office; career survival (time to mid-term dismissal); comparison to hazardous civilian occupations (commercial fishing).</w:t>
      </w:r>
    </w:p>
    <w:p>
      <w:pPr>
        <w:pStyle w:val="BodyText"/>
      </w:pPr>
      <w:r>
        <w:rPr>
          <w:b/>
          <w:bCs/>
        </w:rPr>
        <w:t xml:space="preserve">Results</w:t>
      </w:r>
      <w:r>
        <w:t xml:space="preserve"> </w:t>
      </w:r>
      <w:r>
        <w:t xml:space="preserve">Eight ministers literally died in office between 1942 and 2022, including three Prime Ministers. For Prime Ministers during the perilous 1942–1960 era, the annualized fatality rate was 16,667 per 100,000, exceeding commercial fishing (145 per 100,000) by 115-fold. Regarding career survival, the</w:t>
      </w:r>
      <w:r>
        <w:t xml:space="preserve"> </w:t>
      </w:r>
      <w:r>
        <w:t xml:space="preserve">“Skatteminister Syndrome”</w:t>
      </w:r>
      <w:r>
        <w:t xml:space="preserve"> </w:t>
      </w:r>
      <w:r>
        <w:t xml:space="preserve">yielded an unadjusted Hazard Ratio (HR) of 1.67 (95% CI 1.12–2.49). After adjustment for political bloc and era, the HR was 1.52 (95% CI 0.98–2.36; p=0.062). No individual portfolio comparison achieved statistical significance after Bonferroni correction for multiple testing. Annual</w:t>
      </w:r>
      <w:r>
        <w:t xml:space="preserve"> </w:t>
      </w:r>
      <w:r>
        <w:t xml:space="preserve">“career death”</w:t>
      </w:r>
      <w:r>
        <w:t xml:space="preserve"> </w:t>
      </w:r>
      <w:r>
        <w:t xml:space="preserve">(dismissal) occurred at a rate 51 times higher than the literal mortality of commercial fishing.</w:t>
      </w:r>
    </w:p>
    <w:p>
      <w:pPr>
        <w:pStyle w:val="BodyText"/>
      </w:pPr>
      <w:r>
        <w:rPr>
          <w:b/>
          <w:bCs/>
        </w:rPr>
        <w:t xml:space="preserve">Conclusions</w:t>
      </w:r>
      <w:r>
        <w:t xml:space="preserve"> </w:t>
      </w:r>
      <w:r>
        <w:t xml:space="preserve">Danish ministers are undercompensated for occupational hazards. While evidence for the</w:t>
      </w:r>
      <w:r>
        <w:t xml:space="preserve"> </w:t>
      </w:r>
      <w:r>
        <w:t xml:space="preserve">“Skatteminister Syndrome”</w:t>
      </w:r>
      <w:r>
        <w:t xml:space="preserve"> </w:t>
      </w:r>
      <w:r>
        <w:t xml:space="preserve">remains suggestive rather than definitive post-correction, the literal mortality of mid-century leadership remains more dangerous than any documented civilian occupation. We recommend actuarial review of ministerial life insurance and hazard pay supplements of at least $1 million per year.</w:t>
      </w:r>
    </w:p>
    <w:p>
      <w:r>
        <w:pict>
          <v:rect style="width:0;height:1.5pt" o:hralign="center" o:hrstd="t" o:hr="t"/>
        </w:pict>
      </w:r>
    </w:p>
    <w:bookmarkEnd w:id="9"/>
    <w:bookmarkStart w:id="10" w:name="introduction"/>
    <w:p>
      <w:pPr>
        <w:pStyle w:val="Heading1"/>
      </w:pPr>
      <w:r>
        <w:t xml:space="preserve">Introduction</w:t>
      </w:r>
    </w:p>
    <w:p>
      <w:pPr>
        <w:pStyle w:val="FirstParagraph"/>
      </w:pPr>
      <w:r>
        <w:t xml:space="preserve">The principle of hazard pay holds that workers facing greater mortality risk deserve additional compensation. Commercial fishermen, logging workers, and aircraft pilots receive wage premiums reflecting their occupational risks. No similar framework exists for political office, where</w:t>
      </w:r>
      <w:r>
        <w:t xml:space="preserve"> </w:t>
      </w:r>
      <w:r>
        <w:t xml:space="preserve">“getting fired”</w:t>
      </w:r>
      <w:r>
        <w:t xml:space="preserve"> </w:t>
      </w:r>
      <w:r>
        <w:t xml:space="preserve">is considered a character building exercise, and</w:t>
      </w:r>
      <w:r>
        <w:t xml:space="preserve"> </w:t>
      </w:r>
      <w:r>
        <w:t xml:space="preserve">“dying in office”</w:t>
      </w:r>
      <w:r>
        <w:t xml:space="preserve"> </w:t>
      </w:r>
      <w:r>
        <w:t xml:space="preserve">is considered a breach of protocol.</w:t>
      </w:r>
    </w:p>
    <w:p>
      <w:pPr>
        <w:pStyle w:val="BodyText"/>
      </w:pPr>
      <w:r>
        <w:t xml:space="preserve">We questioned this omission. Danish political folklore speaks of the</w:t>
      </w:r>
      <w:r>
        <w:t xml:space="preserve"> </w:t>
      </w:r>
      <w:r>
        <w:t xml:space="preserve">“Tax Minister Curse”</w:t>
      </w:r>
      <w:r>
        <w:t xml:space="preserve"> </w:t>
      </w:r>
      <w:r>
        <w:t xml:space="preserve">(</w:t>
      </w:r>
      <w:r>
        <w:rPr>
          <w:i/>
          <w:iCs/>
        </w:rPr>
        <w:t xml:space="preserve">Skatteminister-forbandelsen</w:t>
      </w:r>
      <w:r>
        <w:t xml:space="preserve">), while the literal mortality of Danish leaders suggests a greater hazard. We applied epidemiological methods to Danish cabinet records from 1945–2022, using the 1942 death of Thorvald Stauning as a sobering pre-study benchmark.</w:t>
      </w:r>
    </w:p>
    <w:p>
      <w:pPr>
        <w:pStyle w:val="BodyText"/>
      </w:pPr>
      <w:r>
        <w:t xml:space="preserve">Our hypotheses were:</w:t>
      </w:r>
      <w:r>
        <w:t xml:space="preserve"> </w:t>
      </w:r>
      <w:r>
        <w:t xml:space="preserve">1. Being a Danish minister is more dangerous than being a commercial fisherman.</w:t>
      </w:r>
      <w:r>
        <w:t xml:space="preserve"> </w:t>
      </w:r>
      <w:r>
        <w:t xml:space="preserve">2. Tax Ministers face an elevated risk of mid-term</w:t>
      </w:r>
      <w:r>
        <w:t xml:space="preserve"> </w:t>
      </w:r>
      <w:r>
        <w:t xml:space="preserve">“career death”</w:t>
      </w:r>
      <w:r>
        <w:t xml:space="preserve"> </w:t>
      </w:r>
      <w:r>
        <w:t xml:space="preserve">compared to their colleagues.</w:t>
      </w:r>
    </w:p>
    <w:p>
      <w:r>
        <w:pict>
          <v:rect style="width:0;height:1.5pt" o:hralign="center" o:hrstd="t" o:hr="t"/>
        </w:pict>
      </w:r>
    </w:p>
    <w:bookmarkEnd w:id="10"/>
    <w:bookmarkStart w:id="12" w:name="methods"/>
    <w:p>
      <w:pPr>
        <w:pStyle w:val="Heading1"/>
      </w:pPr>
      <w:r>
        <w:t xml:space="preserve">Methods</w:t>
      </w:r>
    </w:p>
    <w:p>
      <w:pPr>
        <w:pStyle w:val="SourceCode"/>
      </w:pPr>
      <w:r>
        <w:rPr>
          <w:rStyle w:val="CommentTok"/>
        </w:rPr>
        <w:t xml:space="preserve"># Load Danish ministerial data</w:t>
      </w:r>
      <w:r>
        <w:br/>
      </w:r>
      <w:r>
        <w:rPr>
          <w:rStyle w:val="NormalTok"/>
        </w:rPr>
        <w:t xml:space="preserve">dk_data </w:t>
      </w:r>
      <w:r>
        <w:rPr>
          <w:rStyle w:val="OtherTok"/>
        </w:rPr>
        <w:t xml:space="preserve">&lt;-</w:t>
      </w:r>
      <w:r>
        <w:rPr>
          <w:rStyle w:val="NormalTok"/>
        </w:rPr>
        <w:t xml:space="preserve"> </w:t>
      </w:r>
      <w:r>
        <w:rPr>
          <w:rStyle w:val="FunctionTok"/>
        </w:rPr>
        <w:t xml:space="preserve">fread</w:t>
      </w:r>
      <w:r>
        <w:rPr>
          <w:rStyle w:val="NormalTok"/>
        </w:rPr>
        <w:t xml:space="preserve">(</w:t>
      </w:r>
      <w:r>
        <w:rPr>
          <w:rStyle w:val="StringTok"/>
        </w:rPr>
        <w:t xml:space="preserve">"../data/danish_cabinets.csv"</w:t>
      </w:r>
      <w:r>
        <w:rPr>
          <w:rStyle w:val="NormalTok"/>
        </w:rPr>
        <w:t xml:space="preserve">, </w:t>
      </w:r>
      <w:r>
        <w:rPr>
          <w:rStyle w:val="AttributeTok"/>
        </w:rPr>
        <w:t xml:space="preserve">encoding =</w:t>
      </w:r>
      <w:r>
        <w:rPr>
          <w:rStyle w:val="NormalTok"/>
        </w:rPr>
        <w:t xml:space="preserve"> </w:t>
      </w:r>
      <w:r>
        <w:rPr>
          <w:rStyle w:val="StringTok"/>
        </w:rPr>
        <w:t xml:space="preserve">"Latin-1"</w:t>
      </w:r>
      <w:r>
        <w:rPr>
          <w:rStyle w:val="NormalTok"/>
        </w:rPr>
        <w:t xml:space="preserve">)</w:t>
      </w:r>
      <w:r>
        <w:br/>
      </w:r>
      <w:r>
        <w:rPr>
          <w:rStyle w:val="NormalTok"/>
        </w:rPr>
        <w:t xml:space="preserve">dk_data[, V1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FunctionTok"/>
        </w:rPr>
        <w:t xml:space="preserve">Encoding</w:t>
      </w:r>
      <w:r>
        <w:rPr>
          <w:rStyle w:val="NormalTok"/>
        </w:rPr>
        <w:t xml:space="preserve">(dk_data</w:t>
      </w:r>
      <w:r>
        <w:rPr>
          <w:rStyle w:val="SpecialCharTok"/>
        </w:rPr>
        <w:t xml:space="preserve">$</w:t>
      </w:r>
      <w:r>
        <w:rPr>
          <w:rStyle w:val="NormalTok"/>
        </w:rPr>
        <w:t xml:space="preserve">ministerpost) </w:t>
      </w:r>
      <w:r>
        <w:rPr>
          <w:rStyle w:val="OtherTok"/>
        </w:rPr>
        <w:t xml:space="preserve">&lt;-</w:t>
      </w:r>
      <w:r>
        <w:rPr>
          <w:rStyle w:val="NormalTok"/>
        </w:rPr>
        <w:t xml:space="preserve"> </w:t>
      </w:r>
      <w:r>
        <w:rPr>
          <w:rStyle w:val="StringTok"/>
        </w:rPr>
        <w:t xml:space="preserve">"latin1"</w:t>
      </w:r>
      <w:r>
        <w:br/>
      </w:r>
      <w:r>
        <w:br/>
      </w:r>
      <w:r>
        <w:rPr>
          <w:rStyle w:val="CommentTok"/>
        </w:rPr>
        <w:t xml:space="preserve"># Data Quality Corrections (Addressing Peer Review 1 &amp; 2)</w:t>
      </w:r>
      <w:r>
        <w:br/>
      </w:r>
      <w:r>
        <w:rPr>
          <w:rStyle w:val="CommentTok"/>
        </w:rPr>
        <w:t xml:space="preserve"># Fix: J.N. Madvig (2051 -&gt; 1851 tenure error)</w:t>
      </w:r>
      <w:r>
        <w:br/>
      </w:r>
      <w:r>
        <w:rPr>
          <w:rStyle w:val="NormalTok"/>
        </w:rPr>
        <w:t xml:space="preserve">dk_data[</w:t>
      </w:r>
      <w:r>
        <w:rPr>
          <w:rStyle w:val="FunctionTok"/>
        </w:rPr>
        <w:t xml:space="preserve">year</w:t>
      </w:r>
      <w:r>
        <w:rPr>
          <w:rStyle w:val="NormalTok"/>
        </w:rPr>
        <w:t xml:space="preserve">(stop) </w:t>
      </w:r>
      <w:r>
        <w:rPr>
          <w:rStyle w:val="SpecialCharTok"/>
        </w:rPr>
        <w:t xml:space="preserve">==</w:t>
      </w:r>
      <w:r>
        <w:rPr>
          <w:rStyle w:val="NormalTok"/>
        </w:rPr>
        <w:t xml:space="preserve"> </w:t>
      </w:r>
      <w:r>
        <w:rPr>
          <w:rStyle w:val="DecValTok"/>
        </w:rPr>
        <w:t xml:space="preserve">2051</w:t>
      </w:r>
      <w:r>
        <w:rPr>
          <w:rStyle w:val="NormalTok"/>
        </w:rPr>
        <w:t xml:space="preserve">, stop </w:t>
      </w:r>
      <w:r>
        <w:rPr>
          <w:rStyle w:val="SpecialCharTok"/>
        </w:rPr>
        <w:t xml:space="preserve">:=</w:t>
      </w:r>
      <w:r>
        <w:rPr>
          <w:rStyle w:val="NormalTok"/>
        </w:rPr>
        <w:t xml:space="preserve"> stop </w:t>
      </w:r>
      <w:r>
        <w:rPr>
          <w:rStyle w:val="SpecialCharTok"/>
        </w:rPr>
        <w:t xml:space="preserve">-</w:t>
      </w:r>
      <w:r>
        <w:rPr>
          <w:rStyle w:val="NormalTok"/>
        </w:rPr>
        <w:t xml:space="preserve"> </w:t>
      </w:r>
      <w:r>
        <w:rPr>
          <w:rStyle w:val="FunctionTok"/>
        </w:rPr>
        <w:t xml:space="preserve">years</w:t>
      </w:r>
      <w:r>
        <w:rPr>
          <w:rStyle w:val="NormalTok"/>
        </w:rPr>
        <w:t xml:space="preserve">(</w:t>
      </w:r>
      <w:r>
        <w:rPr>
          <w:rStyle w:val="DecValTok"/>
        </w:rPr>
        <w:t xml:space="preserve">200</w:t>
      </w:r>
      <w:r>
        <w:rPr>
          <w:rStyle w:val="NormalTok"/>
        </w:rPr>
        <w:t xml:space="preserve">)]</w:t>
      </w:r>
      <w:r>
        <w:br/>
      </w:r>
      <w:r>
        <w:br/>
      </w:r>
      <w:r>
        <w:rPr>
          <w:rStyle w:val="CommentTok"/>
        </w:rPr>
        <w:t xml:space="preserve"># Fix: Standardize dates</w:t>
      </w:r>
      <w:r>
        <w:br/>
      </w:r>
      <w:r>
        <w:rPr>
          <w:rStyle w:val="NormalTok"/>
        </w:rPr>
        <w:t xml:space="preserve">dk_data[, start </w:t>
      </w:r>
      <w:r>
        <w:rPr>
          <w:rStyle w:val="SpecialCharTok"/>
        </w:rPr>
        <w:t xml:space="preserve">:=</w:t>
      </w:r>
      <w:r>
        <w:rPr>
          <w:rStyle w:val="NormalTok"/>
        </w:rPr>
        <w:t xml:space="preserve"> </w:t>
      </w:r>
      <w:r>
        <w:rPr>
          <w:rStyle w:val="FunctionTok"/>
        </w:rPr>
        <w:t xml:space="preserve">as.Date</w:t>
      </w:r>
      <w:r>
        <w:rPr>
          <w:rStyle w:val="NormalTok"/>
        </w:rPr>
        <w:t xml:space="preserve">(start)]</w:t>
      </w:r>
      <w:r>
        <w:br/>
      </w:r>
      <w:r>
        <w:rPr>
          <w:rStyle w:val="NormalTok"/>
        </w:rPr>
        <w:t xml:space="preserve">dk_data[, stop </w:t>
      </w:r>
      <w:r>
        <w:rPr>
          <w:rStyle w:val="SpecialCharTok"/>
        </w:rPr>
        <w:t xml:space="preserve">:=</w:t>
      </w:r>
      <w:r>
        <w:rPr>
          <w:rStyle w:val="NormalTok"/>
        </w:rPr>
        <w:t xml:space="preserve"> </w:t>
      </w:r>
      <w:r>
        <w:rPr>
          <w:rStyle w:val="FunctionTok"/>
        </w:rPr>
        <w:t xml:space="preserve">as.Date</w:t>
      </w:r>
      <w:r>
        <w:rPr>
          <w:rStyle w:val="NormalTok"/>
        </w:rPr>
        <w:t xml:space="preserve">(stop)]</w:t>
      </w:r>
      <w:r>
        <w:br/>
      </w:r>
      <w:r>
        <w:br/>
      </w:r>
      <w:r>
        <w:rPr>
          <w:rStyle w:val="CommentTok"/>
        </w:rPr>
        <w:t xml:space="preserve"># Identify literal deaths (marked with †)</w:t>
      </w:r>
      <w:r>
        <w:br/>
      </w:r>
      <w:r>
        <w:rPr>
          <w:rStyle w:val="NormalTok"/>
        </w:rPr>
        <w:t xml:space="preserve">dk_data[, died_in_office </w:t>
      </w:r>
      <w:r>
        <w:rPr>
          <w:rStyle w:val="SpecialCharTok"/>
        </w:rPr>
        <w:t xml:space="preserve">:=</w:t>
      </w:r>
      <w:r>
        <w:rPr>
          <w:rStyle w:val="NormalTok"/>
        </w:rPr>
        <w:t xml:space="preserve"> </w:t>
      </w:r>
      <w:r>
        <w:rPr>
          <w:rStyle w:val="FunctionTok"/>
        </w:rPr>
        <w:t xml:space="preserve">grepl</w:t>
      </w:r>
      <w:r>
        <w:rPr>
          <w:rStyle w:val="NormalTok"/>
        </w:rPr>
        <w:t xml:space="preserve">(</w:t>
      </w:r>
      <w:r>
        <w:rPr>
          <w:rStyle w:val="StringTok"/>
        </w:rPr>
        <w:t xml:space="preserve">"†"</w:t>
      </w:r>
      <w:r>
        <w:rPr>
          <w:rStyle w:val="NormalTok"/>
        </w:rPr>
        <w:t xml:space="preserve">, ministerpost)]</w:t>
      </w:r>
      <w:r>
        <w:br/>
      </w:r>
      <w:r>
        <w:br/>
      </w:r>
      <w:r>
        <w:rPr>
          <w:rStyle w:val="CommentTok"/>
        </w:rPr>
        <w:t xml:space="preserve"># Ministry classification</w:t>
      </w:r>
      <w:r>
        <w:br/>
      </w:r>
      <w:r>
        <w:rPr>
          <w:rStyle w:val="NormalTok"/>
        </w:rPr>
        <w:t xml:space="preserve">extract_ministry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w:t>
      </w:r>
      <w:r>
        <w:rPr>
          <w:rStyle w:val="FunctionTok"/>
        </w:rPr>
        <w:t xml:space="preserve">tryCatch</w:t>
      </w:r>
      <w:r>
        <w:rPr>
          <w:rStyle w:val="NormalTok"/>
        </w:rPr>
        <w:t xml:space="preserve">(</w:t>
      </w:r>
      <w:r>
        <w:rPr>
          <w:rStyle w:val="FunctionTok"/>
        </w:rPr>
        <w:t xml:space="preserve">tolower</w:t>
      </w:r>
      <w:r>
        <w:rPr>
          <w:rStyle w:val="NormalTok"/>
        </w:rPr>
        <w:t xml:space="preserve">(x), </w:t>
      </w:r>
      <w:r>
        <w:rPr>
          <w:rStyle w:val="AttributeTok"/>
        </w:rPr>
        <w:t xml:space="preserve">error =</w:t>
      </w:r>
      <w:r>
        <w:rPr>
          <w:rStyle w:val="NormalTok"/>
        </w:rPr>
        <w:t xml:space="preserve"> </w:t>
      </w:r>
      <w:r>
        <w:rPr>
          <w:rStyle w:val="ControlFlowTok"/>
        </w:rPr>
        <w:t xml:space="preserve">function</w:t>
      </w:r>
      <w:r>
        <w:rPr>
          <w:rStyle w:val="NormalTok"/>
        </w:rPr>
        <w:t xml:space="preserve">(e) x)</w:t>
      </w:r>
      <w:r>
        <w:br/>
      </w:r>
      <w:r>
        <w:rPr>
          <w:rStyle w:val="NormalTok"/>
        </w:rPr>
        <w:t xml:space="preserve">  </w:t>
      </w:r>
      <w:r>
        <w:rPr>
          <w:rStyle w:val="ControlFlowTok"/>
        </w:rPr>
        <w:t xml:space="preserve">if</w:t>
      </w:r>
      <w:r>
        <w:rPr>
          <w:rStyle w:val="NormalTok"/>
        </w:rPr>
        <w:t xml:space="preserve"> (</w:t>
      </w:r>
      <w:r>
        <w:rPr>
          <w:rStyle w:val="FunctionTok"/>
        </w:rPr>
        <w:t xml:space="preserve">is.na</w:t>
      </w:r>
      <w:r>
        <w:rPr>
          <w:rStyle w:val="NormalTok"/>
        </w:rPr>
        <w:t xml:space="preserve">(x)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StringTok"/>
        </w:rPr>
        <w:t xml:space="preserve">""</w:t>
      </w:r>
      <w:r>
        <w:rPr>
          <w:rStyle w:val="NormalTok"/>
        </w:rPr>
        <w:t xml:space="preserve">) </w:t>
      </w:r>
      <w:r>
        <w:rPr>
          <w:rStyle w:val="FunctionTok"/>
        </w:rPr>
        <w:t xml:space="preserve">return</w:t>
      </w:r>
      <w:r>
        <w:rPr>
          <w:rStyle w:val="NormalTok"/>
        </w:rPr>
        <w:t xml:space="preserve">(</w:t>
      </w:r>
      <w:r>
        <w:rPr>
          <w:rStyle w:val="StringTok"/>
        </w:rPr>
        <w:t xml:space="preserve">"Other"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"statsminister|premierminister"</w:t>
      </w:r>
      <w:r>
        <w:rPr>
          <w:rStyle w:val="NormalTok"/>
        </w:rPr>
        <w:t xml:space="preserve">, x)) </w:t>
      </w:r>
      <w:r>
        <w:rPr>
          <w:rStyle w:val="FunctionTok"/>
        </w:rPr>
        <w:t xml:space="preserve">return</w:t>
      </w:r>
      <w:r>
        <w:rPr>
          <w:rStyle w:val="NormalTok"/>
        </w:rPr>
        <w:t xml:space="preserve">(</w:t>
      </w:r>
      <w:r>
        <w:rPr>
          <w:rStyle w:val="StringTok"/>
        </w:rPr>
        <w:t xml:space="preserve">"Prime Minister"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"skatteminister"</w:t>
      </w:r>
      <w:r>
        <w:rPr>
          <w:rStyle w:val="NormalTok"/>
        </w:rPr>
        <w:t xml:space="preserve">, x)) </w:t>
      </w:r>
      <w:r>
        <w:rPr>
          <w:rStyle w:val="FunctionTok"/>
        </w:rPr>
        <w:t xml:space="preserve">return</w:t>
      </w:r>
      <w:r>
        <w:rPr>
          <w:rStyle w:val="NormalTok"/>
        </w:rPr>
        <w:t xml:space="preserve">(</w:t>
      </w:r>
      <w:r>
        <w:rPr>
          <w:rStyle w:val="StringTok"/>
        </w:rPr>
        <w:t xml:space="preserve">"Tax Minister"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"finansminister"</w:t>
      </w:r>
      <w:r>
        <w:rPr>
          <w:rStyle w:val="NormalTok"/>
        </w:rPr>
        <w:t xml:space="preserve">, x)) </w:t>
      </w:r>
      <w:r>
        <w:rPr>
          <w:rStyle w:val="FunctionTok"/>
        </w:rPr>
        <w:t xml:space="preserve">return</w:t>
      </w:r>
      <w:r>
        <w:rPr>
          <w:rStyle w:val="NormalTok"/>
        </w:rPr>
        <w:t xml:space="preserve">(</w:t>
      </w:r>
      <w:r>
        <w:rPr>
          <w:rStyle w:val="StringTok"/>
        </w:rPr>
        <w:t xml:space="preserve">"Finance"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"udenrigsminister"</w:t>
      </w:r>
      <w:r>
        <w:rPr>
          <w:rStyle w:val="NormalTok"/>
        </w:rPr>
        <w:t xml:space="preserve">, x)) </w:t>
      </w:r>
      <w:r>
        <w:rPr>
          <w:rStyle w:val="FunctionTok"/>
        </w:rPr>
        <w:t xml:space="preserve">return</w:t>
      </w:r>
      <w:r>
        <w:rPr>
          <w:rStyle w:val="NormalTok"/>
        </w:rPr>
        <w:t xml:space="preserve">(</w:t>
      </w:r>
      <w:r>
        <w:rPr>
          <w:rStyle w:val="StringTok"/>
        </w:rPr>
        <w:t xml:space="preserve">"Foreign"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"justitsminister"</w:t>
      </w:r>
      <w:r>
        <w:rPr>
          <w:rStyle w:val="NormalTok"/>
        </w:rPr>
        <w:t xml:space="preserve">, x)) </w:t>
      </w:r>
      <w:r>
        <w:rPr>
          <w:rStyle w:val="FunctionTok"/>
        </w:rPr>
        <w:t xml:space="preserve">return</w:t>
      </w:r>
      <w:r>
        <w:rPr>
          <w:rStyle w:val="NormalTok"/>
        </w:rPr>
        <w:t xml:space="preserve">(</w:t>
      </w:r>
      <w:r>
        <w:rPr>
          <w:rStyle w:val="StringTok"/>
        </w:rPr>
        <w:t xml:space="preserve">"Justice"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grepl</w:t>
      </w:r>
      <w:r>
        <w:rPr>
          <w:rStyle w:val="NormalTok"/>
        </w:rPr>
        <w:t xml:space="preserve">(</w:t>
      </w:r>
      <w:r>
        <w:rPr>
          <w:rStyle w:val="StringTok"/>
        </w:rPr>
        <w:t xml:space="preserve">"transport|trafik"</w:t>
      </w:r>
      <w:r>
        <w:rPr>
          <w:rStyle w:val="NormalTok"/>
        </w:rPr>
        <w:t xml:space="preserve">, x)) </w:t>
      </w:r>
      <w:r>
        <w:rPr>
          <w:rStyle w:val="FunctionTok"/>
        </w:rPr>
        <w:t xml:space="preserve">return</w:t>
      </w:r>
      <w:r>
        <w:rPr>
          <w:rStyle w:val="NormalTok"/>
        </w:rPr>
        <w:t xml:space="preserve">(</w:t>
      </w:r>
      <w:r>
        <w:rPr>
          <w:rStyle w:val="StringTok"/>
        </w:rPr>
        <w:t xml:space="preserve">"Transport"</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StringTok"/>
        </w:rPr>
        <w:t xml:space="preserve">"Other"</w:t>
      </w:r>
      <w:r>
        <w:rPr>
          <w:rStyle w:val="NormalTok"/>
        </w:rPr>
        <w:t xml:space="preserve">)</w:t>
      </w:r>
      <w:r>
        <w:br/>
      </w:r>
      <w:r>
        <w:rPr>
          <w:rStyle w:val="NormalTok"/>
        </w:rPr>
        <w:t xml:space="preserve">}</w:t>
      </w:r>
      <w:r>
        <w:br/>
      </w:r>
      <w:r>
        <w:rPr>
          <w:rStyle w:val="NormalTok"/>
        </w:rPr>
        <w:t xml:space="preserve">dk_data[, ministry </w:t>
      </w:r>
      <w:r>
        <w:rPr>
          <w:rStyle w:val="SpecialCharTok"/>
        </w:rPr>
        <w:t xml:space="preserve">:=</w:t>
      </w:r>
      <w:r>
        <w:rPr>
          <w:rStyle w:val="NormalTok"/>
        </w:rPr>
        <w:t xml:space="preserve"> </w:t>
      </w:r>
      <w:r>
        <w:rPr>
          <w:rStyle w:val="FunctionTok"/>
        </w:rPr>
        <w:t xml:space="preserve">sapply</w:t>
      </w:r>
      <w:r>
        <w:rPr>
          <w:rStyle w:val="NormalTok"/>
        </w:rPr>
        <w:t xml:space="preserve">(ministerpost, extract_ministry)]</w:t>
      </w:r>
      <w:r>
        <w:br/>
      </w:r>
      <w:r>
        <w:br/>
      </w:r>
      <w:r>
        <w:rPr>
          <w:rStyle w:val="CommentTok"/>
        </w:rPr>
        <w:t xml:space="preserve"># Calculate Government-level dates (Denominator for 'Fired')</w:t>
      </w:r>
      <w:r>
        <w:br/>
      </w:r>
      <w:r>
        <w:rPr>
          <w:rStyle w:val="NormalTok"/>
        </w:rPr>
        <w:t xml:space="preserve">dk_data[, r_start </w:t>
      </w:r>
      <w:r>
        <w:rPr>
          <w:rStyle w:val="SpecialCharTok"/>
        </w:rPr>
        <w:t xml:space="preserve">:=</w:t>
      </w:r>
      <w:r>
        <w:rPr>
          <w:rStyle w:val="NormalTok"/>
        </w:rPr>
        <w:t xml:space="preserve"> </w:t>
      </w:r>
      <w:r>
        <w:rPr>
          <w:rStyle w:val="FunctionTok"/>
        </w:rPr>
        <w:t xml:space="preserve">min</w:t>
      </w:r>
      <w:r>
        <w:rPr>
          <w:rStyle w:val="NormalTok"/>
        </w:rPr>
        <w:t xml:space="preserve">(start, </w:t>
      </w:r>
      <w:r>
        <w:rPr>
          <w:rStyle w:val="AttributeTok"/>
        </w:rPr>
        <w:t xml:space="preserve">na.rm =</w:t>
      </w:r>
      <w:r>
        <w:rPr>
          <w:rStyle w:val="NormalTok"/>
        </w:rPr>
        <w:t xml:space="preserve"> </w:t>
      </w:r>
      <w:r>
        <w:rPr>
          <w:rStyle w:val="ConstantTok"/>
        </w:rPr>
        <w:t xml:space="preserve">TRUE</w:t>
      </w:r>
      <w:r>
        <w:rPr>
          <w:rStyle w:val="NormalTok"/>
        </w:rPr>
        <w:t xml:space="preserve">), by </w:t>
      </w:r>
      <w:r>
        <w:rPr>
          <w:rStyle w:val="OtherTok"/>
        </w:rPr>
        <w:t xml:space="preserve">=</w:t>
      </w:r>
      <w:r>
        <w:rPr>
          <w:rStyle w:val="NormalTok"/>
        </w:rPr>
        <w:t xml:space="preserve"> regering]</w:t>
      </w:r>
      <w:r>
        <w:br/>
      </w:r>
      <w:r>
        <w:rPr>
          <w:rStyle w:val="NormalTok"/>
        </w:rPr>
        <w:t xml:space="preserve">dk_data[, r_stop </w:t>
      </w:r>
      <w:r>
        <w:rPr>
          <w:rStyle w:val="SpecialCharTok"/>
        </w:rPr>
        <w:t xml:space="preserve">:=</w:t>
      </w:r>
      <w:r>
        <w:rPr>
          <w:rStyle w:val="NormalTok"/>
        </w:rPr>
        <w:t xml:space="preserve"> </w:t>
      </w:r>
      <w:r>
        <w:rPr>
          <w:rStyle w:val="FunctionTok"/>
        </w:rPr>
        <w:t xml:space="preserve">max</w:t>
      </w:r>
      <w:r>
        <w:rPr>
          <w:rStyle w:val="NormalTok"/>
        </w:rPr>
        <w:t xml:space="preserve">(stop, </w:t>
      </w:r>
      <w:r>
        <w:rPr>
          <w:rStyle w:val="AttributeTok"/>
        </w:rPr>
        <w:t xml:space="preserve">na.rm =</w:t>
      </w:r>
      <w:r>
        <w:rPr>
          <w:rStyle w:val="NormalTok"/>
        </w:rPr>
        <w:t xml:space="preserve"> </w:t>
      </w:r>
      <w:r>
        <w:rPr>
          <w:rStyle w:val="ConstantTok"/>
        </w:rPr>
        <w:t xml:space="preserve">TRUE</w:t>
      </w:r>
      <w:r>
        <w:rPr>
          <w:rStyle w:val="NormalTok"/>
        </w:rPr>
        <w:t xml:space="preserve">), by </w:t>
      </w:r>
      <w:r>
        <w:rPr>
          <w:rStyle w:val="OtherTok"/>
        </w:rPr>
        <w:t xml:space="preserve">=</w:t>
      </w:r>
      <w:r>
        <w:rPr>
          <w:rStyle w:val="NormalTok"/>
        </w:rPr>
        <w:t xml:space="preserve"> regering]</w:t>
      </w:r>
      <w:r>
        <w:br/>
      </w:r>
      <w:r>
        <w:rPr>
          <w:rStyle w:val="NormalTok"/>
        </w:rPr>
        <w:t xml:space="preserve">dk_data[, p_stop </w:t>
      </w:r>
      <w:r>
        <w:rPr>
          <w:rStyle w:val="SpecialCharTok"/>
        </w:rPr>
        <w:t xml:space="preserve">:=</w:t>
      </w:r>
      <w:r>
        <w:rPr>
          <w:rStyle w:val="NormalTok"/>
        </w:rPr>
        <w:t xml:space="preserve"> </w:t>
      </w:r>
      <w:r>
        <w:rPr>
          <w:rStyle w:val="FunctionTok"/>
        </w:rPr>
        <w:t xml:space="preserve">max</w:t>
      </w:r>
      <w:r>
        <w:rPr>
          <w:rStyle w:val="NormalTok"/>
        </w:rPr>
        <w:t xml:space="preserve">(stop, </w:t>
      </w:r>
      <w:r>
        <w:rPr>
          <w:rStyle w:val="AttributeTok"/>
        </w:rPr>
        <w:t xml:space="preserve">na.rm =</w:t>
      </w:r>
      <w:r>
        <w:rPr>
          <w:rStyle w:val="NormalTok"/>
        </w:rPr>
        <w:t xml:space="preserve"> </w:t>
      </w:r>
      <w:r>
        <w:rPr>
          <w:rStyle w:val="ConstantTok"/>
        </w:rPr>
        <w:t xml:space="preserve">TRUE</w:t>
      </w:r>
      <w:r>
        <w:rPr>
          <w:rStyle w:val="NormalTok"/>
        </w:rPr>
        <w:t xml:space="preserve">), by </w:t>
      </w:r>
      <w:r>
        <w:rPr>
          <w:rStyle w:val="OtherTok"/>
        </w:rPr>
        <w:t xml:space="preserve">=</w:t>
      </w:r>
      <w:r>
        <w:rPr>
          <w:rStyle w:val="NormalTok"/>
        </w:rPr>
        <w:t xml:space="preserve"> .(regering, navn)]</w:t>
      </w:r>
      <w:r>
        <w:br/>
      </w:r>
      <w:r>
        <w:br/>
      </w:r>
      <w:r>
        <w:rPr>
          <w:rStyle w:val="CommentTok"/>
        </w:rPr>
        <w:t xml:space="preserve"># Tenure and Event (Career Death = Early exit)</w:t>
      </w:r>
      <w:r>
        <w:br/>
      </w:r>
      <w:r>
        <w:rPr>
          <w:rStyle w:val="NormalTok"/>
        </w:rPr>
        <w:t xml:space="preserve">dk_data[, tenure_years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(stop, start, </w:t>
      </w:r>
      <w:r>
        <w:rPr>
          <w:rStyle w:val="AttributeTok"/>
        </w:rPr>
        <w:t xml:space="preserve">units =</w:t>
      </w:r>
      <w:r>
        <w:rPr>
          <w:rStyle w:val="NormalTok"/>
        </w:rPr>
        <w:t xml:space="preserve"> </w:t>
      </w:r>
      <w:r>
        <w:rPr>
          <w:rStyle w:val="StringTok"/>
        </w:rPr>
        <w:t xml:space="preserve">"days"</w:t>
      </w:r>
      <w:r>
        <w:rPr>
          <w:rStyle w:val="NormalTok"/>
        </w:rPr>
        <w:t xml:space="preserve">)) </w:t>
      </w:r>
      <w:r>
        <w:rPr>
          <w:rStyle w:val="SpecialCharTok"/>
        </w:rPr>
        <w:t xml:space="preserve">/</w:t>
      </w:r>
      <w:r>
        <w:rPr>
          <w:rStyle w:val="NormalTok"/>
        </w:rPr>
        <w:t xml:space="preserve"> </w:t>
      </w:r>
      <w:r>
        <w:rPr>
          <w:rStyle w:val="FloatTok"/>
        </w:rPr>
        <w:t xml:space="preserve">365.25</w:t>
      </w:r>
      <w:r>
        <w:rPr>
          <w:rStyle w:val="NormalTok"/>
        </w:rPr>
        <w:t xml:space="preserve">]</w:t>
      </w:r>
      <w:r>
        <w:br/>
      </w:r>
      <w:r>
        <w:rPr>
          <w:rStyle w:val="NormalTok"/>
        </w:rPr>
        <w:t xml:space="preserve">dk_data[, dismissed </w:t>
      </w:r>
      <w:r>
        <w:rPr>
          <w:rStyle w:val="SpecialCharTok"/>
        </w:rPr>
        <w:t xml:space="preserve">:=</w:t>
      </w:r>
      <w:r>
        <w:rPr>
          <w:rStyle w:val="NormalTok"/>
        </w:rPr>
        <w:t xml:space="preserve"> </w:t>
      </w:r>
      <w:r>
        <w:rPr>
          <w:rStyle w:val="FunctionTok"/>
        </w:rPr>
        <w:t xml:space="preserve">as.numeric</w:t>
      </w:r>
      <w:r>
        <w:rPr>
          <w:rStyle w:val="NormalTok"/>
        </w:rPr>
        <w:t xml:space="preserve">(p_stop </w:t>
      </w:r>
      <w:r>
        <w:rPr>
          <w:rStyle w:val="SpecialCharTok"/>
        </w:rPr>
        <w:t xml:space="preserve">&lt;</w:t>
      </w:r>
      <w:r>
        <w:rPr>
          <w:rStyle w:val="NormalTok"/>
        </w:rPr>
        <w:t xml:space="preserve"> r_stop)]</w:t>
      </w:r>
      <w:r>
        <w:br/>
      </w:r>
      <w:r>
        <w:br/>
      </w:r>
      <w:r>
        <w:rPr>
          <w:rStyle w:val="CommentTok"/>
        </w:rPr>
        <w:t xml:space="preserve"># CONSORT Flow: 1945–2022 for primary career analysis</w:t>
      </w:r>
      <w:r>
        <w:br/>
      </w:r>
      <w:r>
        <w:rPr>
          <w:rStyle w:val="NormalTok"/>
        </w:rPr>
        <w:t xml:space="preserve">analysis </w:t>
      </w:r>
      <w:r>
        <w:rPr>
          <w:rStyle w:val="OtherTok"/>
        </w:rPr>
        <w:t xml:space="preserve">&lt;-</w:t>
      </w:r>
      <w:r>
        <w:rPr>
          <w:rStyle w:val="NormalTok"/>
        </w:rPr>
        <w:t xml:space="preserve"> dk_data[</w:t>
      </w:r>
      <w:r>
        <w:rPr>
          <w:rStyle w:val="FunctionTok"/>
        </w:rPr>
        <w:t xml:space="preserve">decimal_date</w:t>
      </w:r>
      <w:r>
        <w:rPr>
          <w:rStyle w:val="NormalTok"/>
        </w:rPr>
        <w:t xml:space="preserve">(start) </w:t>
      </w:r>
      <w:r>
        <w:rPr>
          <w:rStyle w:val="SpecialCharTok"/>
        </w:rPr>
        <w:t xml:space="preserve">&gt;=</w:t>
      </w:r>
      <w:r>
        <w:rPr>
          <w:rStyle w:val="NormalTok"/>
        </w:rPr>
        <w:t xml:space="preserve"> </w:t>
      </w:r>
      <w:r>
        <w:rPr>
          <w:rStyle w:val="DecValTok"/>
        </w:rPr>
        <w:t xml:space="preserve">1945</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(tenure_years) </w:t>
      </w:r>
      <w:r>
        <w:rPr>
          <w:rStyle w:val="SpecialCharTok"/>
        </w:rPr>
        <w:t xml:space="preserve">&amp;</w:t>
      </w:r>
      <w:r>
        <w:rPr>
          <w:rStyle w:val="NormalTok"/>
        </w:rPr>
        <w:t xml:space="preserve"> tenure_years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Political bloc classification (Improved per R1)</w:t>
      </w:r>
      <w:r>
        <w:br/>
      </w:r>
      <w:r>
        <w:rPr>
          <w:rStyle w:val="NormalTok"/>
        </w:rPr>
        <w:t xml:space="preserve">analysis[, bloc </w:t>
      </w:r>
      <w:r>
        <w:rPr>
          <w:rStyle w:val="SpecialCharTok"/>
        </w:rPr>
        <w:t xml:space="preserve">:=</w:t>
      </w:r>
      <w:r>
        <w:rPr>
          <w:rStyle w:val="NormalTok"/>
        </w:rPr>
        <w:t xml:space="preserve"> </w:t>
      </w:r>
      <w:r>
        <w:rPr>
          <w:rStyle w:val="FunctionTok"/>
        </w:rPr>
        <w:t xml:space="preserve">fifelse</w:t>
      </w:r>
      <w:r>
        <w:rPr>
          <w:rStyle w:val="NormalTok"/>
        </w:rPr>
        <w:t xml:space="preserve">(</w:t>
      </w:r>
      <w:r>
        <w:rPr>
          <w:rStyle w:val="FunctionTok"/>
        </w:rPr>
        <w:t xml:space="preserve">grepl</w:t>
      </w:r>
      <w:r>
        <w:rPr>
          <w:rStyle w:val="NormalTok"/>
        </w:rPr>
        <w:t xml:space="preserve">(</w:t>
      </w:r>
      <w:r>
        <w:rPr>
          <w:rStyle w:val="StringTok"/>
        </w:rPr>
        <w:t xml:space="preserve">"Venstre|Konservativ|Liberal|Dansk Folkeparti"</w:t>
      </w:r>
      <w:r>
        <w:rPr>
          <w:rStyle w:val="NormalTok"/>
        </w:rPr>
        <w:t xml:space="preserve">, </w:t>
      </w:r>
      <w:r>
        <w:rPr>
          <w:rStyle w:val="StringTok"/>
        </w:rPr>
        <w:t xml:space="preserve">`</w:t>
      </w:r>
      <w:r>
        <w:rPr>
          <w:rStyle w:val="AttributeTok"/>
        </w:rPr>
        <w:t xml:space="preserve">Parti(er)</w:t>
      </w:r>
      <w:r>
        <w:rPr>
          <w:rStyle w:val="StringTok"/>
        </w:rPr>
        <w:t xml:space="preserve">`</w:t>
      </w:r>
      <w:r>
        <w:rPr>
          <w:rStyle w:val="NormalTok"/>
        </w:rPr>
        <w:t xml:space="preserve">, </w:t>
      </w:r>
      <w:r>
        <w:rPr>
          <w:rStyle w:val="AttributeTok"/>
        </w:rPr>
        <w:t xml:space="preserve">ignore.case =</w:t>
      </w:r>
      <w:r>
        <w:rPr>
          <w:rStyle w:val="NormalTok"/>
        </w:rPr>
        <w:t xml:space="preserve"> </w:t>
      </w:r>
      <w:r>
        <w:rPr>
          <w:rStyle w:val="ConstantTok"/>
        </w:rPr>
        <w:t xml:space="preserve">TRUE</w:t>
      </w:r>
      <w:r>
        <w:rPr>
          <w:rStyle w:val="NormalTok"/>
        </w:rPr>
        <w:t xml:space="preserve">), </w:t>
      </w:r>
      <w:r>
        <w:rPr>
          <w:rStyle w:val="StringTok"/>
        </w:rPr>
        <w:t xml:space="preserve">"Blue"</w:t>
      </w:r>
      <w:r>
        <w:rPr>
          <w:rStyle w:val="NormalTok"/>
        </w:rPr>
        <w:t xml:space="preserve">, </w:t>
      </w:r>
      <w:r>
        <w:rPr>
          <w:rStyle w:val="StringTok"/>
        </w:rPr>
        <w:t xml:space="preserve">"Red"</w:t>
      </w:r>
      <w:r>
        <w:rPr>
          <w:rStyle w:val="NormalTok"/>
        </w:rPr>
        <w:t xml:space="preserve">)]</w:t>
      </w:r>
      <w:r>
        <w:br/>
      </w:r>
      <w:r>
        <w:br/>
      </w:r>
      <w:r>
        <w:rPr>
          <w:rStyle w:val="CommentTok"/>
        </w:rPr>
        <w:t xml:space="preserve"># Era for adjustment</w:t>
      </w:r>
      <w:r>
        <w:br/>
      </w:r>
      <w:r>
        <w:rPr>
          <w:rStyle w:val="NormalTok"/>
        </w:rPr>
        <w:t xml:space="preserve">analysis[, era </w:t>
      </w:r>
      <w:r>
        <w:rPr>
          <w:rStyle w:val="SpecialCharTok"/>
        </w:rPr>
        <w:t xml:space="preserve">:=</w:t>
      </w:r>
      <w:r>
        <w:rPr>
          <w:rStyle w:val="NormalTok"/>
        </w:rPr>
        <w:t xml:space="preserve"> </w:t>
      </w:r>
      <w:r>
        <w:rPr>
          <w:rStyle w:val="FunctionTok"/>
        </w:rPr>
        <w:t xml:space="preserve">cut</w:t>
      </w:r>
      <w:r>
        <w:rPr>
          <w:rStyle w:val="NormalTok"/>
        </w:rPr>
        <w:t xml:space="preserve">(</w:t>
      </w:r>
      <w:r>
        <w:rPr>
          <w:rStyle w:val="FunctionTok"/>
        </w:rPr>
        <w:t xml:space="preserve">decimal_date</w:t>
      </w:r>
      <w:r>
        <w:rPr>
          <w:rStyle w:val="NormalTok"/>
        </w:rPr>
        <w:t xml:space="preserve">(start),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1945</w:t>
      </w:r>
      <w:r>
        <w:rPr>
          <w:rStyle w:val="NormalTok"/>
        </w:rPr>
        <w:t xml:space="preserve">, </w:t>
      </w:r>
      <w:r>
        <w:rPr>
          <w:rStyle w:val="DecValTok"/>
        </w:rPr>
        <w:t xml:space="preserve">1970</w:t>
      </w:r>
      <w:r>
        <w:rPr>
          <w:rStyle w:val="NormalTok"/>
        </w:rPr>
        <w:t xml:space="preserve">, </w:t>
      </w:r>
      <w:r>
        <w:rPr>
          <w:rStyle w:val="DecValTok"/>
        </w:rPr>
        <w:t xml:space="preserve">1990</w:t>
      </w:r>
      <w:r>
        <w:rPr>
          <w:rStyle w:val="NormalTok"/>
        </w:rPr>
        <w:t xml:space="preserve">, </w:t>
      </w:r>
      <w:r>
        <w:rPr>
          <w:rStyle w:val="DecValTok"/>
        </w:rPr>
        <w:t xml:space="preserve">2010</w:t>
      </w:r>
      <w:r>
        <w:rPr>
          <w:rStyle w:val="NormalTok"/>
        </w:rPr>
        <w:t xml:space="preserve">, </w:t>
      </w:r>
      <w:r>
        <w:rPr>
          <w:rStyle w:val="DecValTok"/>
        </w:rPr>
        <w:t xml:space="preserve">2025</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"1945-70"</w:t>
      </w:r>
      <w:r>
        <w:rPr>
          <w:rStyle w:val="NormalTok"/>
        </w:rPr>
        <w:t xml:space="preserve">, </w:t>
      </w:r>
      <w:r>
        <w:rPr>
          <w:rStyle w:val="StringTok"/>
        </w:rPr>
        <w:t xml:space="preserve">"1970-90"</w:t>
      </w:r>
      <w:r>
        <w:rPr>
          <w:rStyle w:val="NormalTok"/>
        </w:rPr>
        <w:t xml:space="preserve">, </w:t>
      </w:r>
      <w:r>
        <w:rPr>
          <w:rStyle w:val="StringTok"/>
        </w:rPr>
        <w:t xml:space="preserve">"1990-10"</w:t>
      </w:r>
      <w:r>
        <w:rPr>
          <w:rStyle w:val="NormalTok"/>
        </w:rPr>
        <w:t xml:space="preserve">, </w:t>
      </w:r>
      <w:r>
        <w:rPr>
          <w:rStyle w:val="StringTok"/>
        </w:rPr>
        <w:t xml:space="preserve">"2010+"</w:t>
      </w:r>
      <w:r>
        <w:rPr>
          <w:rStyle w:val="NormalTok"/>
        </w:rPr>
        <w:t xml:space="preserve">))]</w:t>
      </w:r>
    </w:p>
    <w:bookmarkStart w:id="11" w:name="outcome-definitions"/>
    <w:p>
      <w:pPr>
        <w:pStyle w:val="Heading2"/>
      </w:pPr>
      <w:r>
        <w:t xml:space="preserve">Outcome Definitions</w:t>
      </w:r>
    </w:p>
    <w:p>
      <w:pPr>
        <w:pStyle w:val="Compact"/>
        <w:numPr>
          <w:ilvl w:val="0"/>
          <w:numId w:val="1001"/>
        </w:numPr>
      </w:pPr>
      <w:r>
        <w:rPr>
          <w:b/>
          <w:bCs/>
        </w:rPr>
        <w:t xml:space="preserve">Literal Death</w:t>
      </w:r>
      <w:r>
        <w:t xml:space="preserve">: Termination of service due to biological cessation.</w:t>
      </w:r>
    </w:p>
    <w:p>
      <w:pPr>
        <w:pStyle w:val="Compact"/>
        <w:numPr>
          <w:ilvl w:val="0"/>
          <w:numId w:val="1001"/>
        </w:numPr>
      </w:pPr>
      <w:r>
        <w:rPr>
          <w:b/>
          <w:bCs/>
        </w:rPr>
        <w:t xml:space="preserve">Career Death</w:t>
      </w:r>
      <w:r>
        <w:t xml:space="preserve">: Mid-term dismissal, defined as departing from office more than 30 days before the official termination of the government (Sensitivity analyses for 14 and 60 days were consistent).</w:t>
      </w:r>
    </w:p>
    <w:p>
      <w:r>
        <w:pict>
          <v:rect style="width:0;height:1.5pt" o:hralign="center" o:hrstd="t" o:hr="t"/>
        </w:pict>
      </w:r>
    </w:p>
    <w:bookmarkEnd w:id="11"/>
    <w:bookmarkEnd w:id="12"/>
    <w:bookmarkStart w:id="19" w:name="results"/>
    <w:p>
      <w:pPr>
        <w:pStyle w:val="Heading1"/>
      </w:pPr>
      <w:r>
        <w:t xml:space="preserve">Results</w:t>
      </w:r>
    </w:p>
    <w:bookmarkStart w:id="13" w:name="literal-mortality-the-peril-of-the-chair"/>
    <w:p>
      <w:pPr>
        <w:pStyle w:val="Heading2"/>
      </w:pPr>
      <w:r>
        <w:t xml:space="preserve">Literal Mortality: The Peril of the Chair</w:t>
      </w:r>
    </w:p>
    <w:p>
      <w:pPr>
        <w:pStyle w:val="FirstParagraph"/>
      </w:pPr>
      <w:r>
        <w:t xml:space="preserve">Eight Danish ministers died in office between 1942 and 2022. The 1942–1960 interval claimed three Prime Ministers in quick succession: Stauning (1942), Hedtoft (1955), and Hansen (1960).</w:t>
      </w:r>
    </w:p>
    <w:p>
      <w:pPr>
        <w:pStyle w:val="SourceCode"/>
      </w:pPr>
      <w:r>
        <w:rPr>
          <w:rStyle w:val="NormalTok"/>
        </w:rPr>
        <w:t xml:space="preserve">deaths </w:t>
      </w:r>
      <w:r>
        <w:rPr>
          <w:rStyle w:val="OtherTok"/>
        </w:rPr>
        <w:t xml:space="preserve">&lt;-</w:t>
      </w:r>
      <w:r>
        <w:rPr>
          <w:rStyle w:val="NormalTok"/>
        </w:rPr>
        <w:t xml:space="preserve"> dk_data[died_in_office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death_summary </w:t>
      </w:r>
      <w:r>
        <w:rPr>
          <w:rStyle w:val="OtherTok"/>
        </w:rPr>
        <w:t xml:space="preserve">&lt;-</w:t>
      </w:r>
      <w:r>
        <w:rPr>
          <w:rStyle w:val="NormalTok"/>
        </w:rPr>
        <w:t xml:space="preserve"> deaths[, .(</w:t>
      </w:r>
      <w:r>
        <w:rPr>
          <w:rStyle w:val="AttributeTok"/>
        </w:rPr>
        <w:t xml:space="preserve">Name =</w:t>
      </w:r>
      <w:r>
        <w:rPr>
          <w:rStyle w:val="NormalTok"/>
        </w:rPr>
        <w:t xml:space="preserve"> navn, </w:t>
      </w:r>
      <w:r>
        <w:rPr>
          <w:rStyle w:val="AttributeTok"/>
        </w:rPr>
        <w:t xml:space="preserve">Position =</w:t>
      </w:r>
      <w:r>
        <w:rPr>
          <w:rStyle w:val="NormalTok"/>
        </w:rPr>
        <w:t xml:space="preserve"> ministry, </w:t>
      </w:r>
      <w:r>
        <w:rPr>
          <w:rStyle w:val="AttributeTok"/>
        </w:rPr>
        <w:t xml:space="preserve">Year =</w:t>
      </w:r>
      <w:r>
        <w:rPr>
          <w:rStyle w:val="NormalTok"/>
        </w:rPr>
        <w:t xml:space="preserve"> </w:t>
      </w:r>
      <w:r>
        <w:rPr>
          <w:rStyle w:val="FunctionTok"/>
        </w:rPr>
        <w:t xml:space="preserve">year</w:t>
      </w:r>
      <w:r>
        <w:rPr>
          <w:rStyle w:val="NormalTok"/>
        </w:rPr>
        <w:t xml:space="preserve">(stop))][</w:t>
      </w:r>
      <w:r>
        <w:rPr>
          <w:rStyle w:val="FunctionTok"/>
        </w:rPr>
        <w:t xml:space="preserve">order</w:t>
      </w:r>
      <w:r>
        <w:rPr>
          <w:rStyle w:val="NormalTok"/>
        </w:rPr>
        <w:t xml:space="preserve">(Year)]</w:t>
      </w:r>
      <w:r>
        <w:br/>
      </w:r>
      <w:r>
        <w:rPr>
          <w:rStyle w:val="FunctionTok"/>
        </w:rPr>
        <w:t xml:space="preserve">kable</w:t>
      </w:r>
      <w:r>
        <w:rPr>
          <w:rStyle w:val="NormalTok"/>
        </w:rPr>
        <w:t xml:space="preserve">(death_summary, </w:t>
      </w:r>
      <w:r>
        <w:rPr>
          <w:rStyle w:val="AttributeTok"/>
        </w:rPr>
        <w:t xml:space="preserve">caption =</w:t>
      </w:r>
      <w:r>
        <w:rPr>
          <w:rStyle w:val="NormalTok"/>
        </w:rPr>
        <w:t xml:space="preserve"> </w:t>
      </w:r>
      <w:r>
        <w:rPr>
          <w:rStyle w:val="StringTok"/>
        </w:rPr>
        <w:t xml:space="preserve">"Table 1. Danish ministers who literally died in office (1942–2022)"</w:t>
      </w:r>
      <w:r>
        <w:rPr>
          <w:rStyle w:val="NormalTok"/>
        </w:rPr>
        <w:t xml:space="preserve">)</w:t>
      </w:r>
    </w:p>
    <w:p>
      <w:pPr>
        <w:pStyle w:val="TableCaption"/>
      </w:pPr>
      <w:r>
        <w:t xml:space="preserve">Table 1. Danish ministers who literally died in office (1942–2022)</w:t>
      </w:r>
    </w:p>
    <w:tbl>
      <w:tblPr>
        <w:tblStyle w:val="Table"/>
        <w:tblW w:type="auto" w:w="0"/>
        <w:tblLook w:firstRow="1" w:lastRow="0" w:firstColumn="0" w:lastColumn="0" w:noHBand="0" w:noVBand="0" w:val="0020"/>
        <w:tblCaption w:val="Table 1. Danish ministers who literally died in office (1942–2022)"/>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Position</w:t>
            </w:r>
          </w:p>
        </w:tc>
        <w:tc>
          <w:tcPr/>
          <w:p>
            <w:pPr>
              <w:pStyle w:val="Compact"/>
              <w:jc w:val="right"/>
            </w:pPr>
            <w:r>
              <w:t xml:space="preserve">Year</w:t>
            </w:r>
          </w:p>
        </w:tc>
      </w:tr>
      <w:tr>
        <w:tc>
          <w:tcPr/>
          <w:p>
            <w:pPr>
              <w:pStyle w:val="Compact"/>
              <w:jc w:val="left"/>
            </w:pPr>
            <w:r>
              <w:t xml:space="preserve">C.E. Rotwitt</w:t>
            </w:r>
          </w:p>
        </w:tc>
        <w:tc>
          <w:tcPr/>
          <w:p>
            <w:pPr>
              <w:pStyle w:val="Compact"/>
              <w:jc w:val="left"/>
            </w:pPr>
            <w:r>
              <w:t xml:space="preserve">Justice</w:t>
            </w:r>
          </w:p>
        </w:tc>
        <w:tc>
          <w:tcPr/>
          <w:p>
            <w:pPr>
              <w:pStyle w:val="Compact"/>
              <w:jc w:val="right"/>
            </w:pPr>
            <w:r>
              <w:t xml:space="preserve">1860</w:t>
            </w:r>
          </w:p>
        </w:tc>
      </w:tr>
      <w:tr>
        <w:tc>
          <w:tcPr/>
          <w:p>
            <w:pPr>
              <w:pStyle w:val="Compact"/>
              <w:jc w:val="left"/>
            </w:pPr>
            <w:r>
              <w:t xml:space="preserve">V. Hørup</w:t>
            </w:r>
          </w:p>
        </w:tc>
        <w:tc>
          <w:tcPr/>
          <w:p>
            <w:pPr>
              <w:pStyle w:val="Compact"/>
              <w:jc w:val="left"/>
            </w:pPr>
            <w:r>
              <w:t xml:space="preserve">Transport</w:t>
            </w:r>
          </w:p>
        </w:tc>
        <w:tc>
          <w:tcPr/>
          <w:p>
            <w:pPr>
              <w:pStyle w:val="Compact"/>
              <w:jc w:val="right"/>
            </w:pPr>
            <w:r>
              <w:t xml:space="preserve">1902</w:t>
            </w:r>
          </w:p>
        </w:tc>
      </w:tr>
      <w:tr>
        <w:tc>
          <w:tcPr/>
          <w:p>
            <w:pPr>
              <w:pStyle w:val="Compact"/>
              <w:jc w:val="left"/>
            </w:pPr>
            <w:r>
              <w:t xml:space="preserve">Vilhelm Lassen</w:t>
            </w:r>
          </w:p>
        </w:tc>
        <w:tc>
          <w:tcPr/>
          <w:p>
            <w:pPr>
              <w:pStyle w:val="Compact"/>
              <w:jc w:val="left"/>
            </w:pPr>
            <w:r>
              <w:t xml:space="preserve">Finance</w:t>
            </w:r>
          </w:p>
        </w:tc>
        <w:tc>
          <w:tcPr/>
          <w:p>
            <w:pPr>
              <w:pStyle w:val="Compact"/>
              <w:jc w:val="right"/>
            </w:pPr>
            <w:r>
              <w:t xml:space="preserve">1908</w:t>
            </w:r>
          </w:p>
        </w:tc>
      </w:tr>
      <w:tr>
        <w:tc>
          <w:tcPr/>
          <w:p>
            <w:pPr>
              <w:pStyle w:val="Compact"/>
              <w:jc w:val="left"/>
            </w:pPr>
            <w:r>
              <w:t xml:space="preserve">Sigurd Berg</w:t>
            </w:r>
          </w:p>
        </w:tc>
        <w:tc>
          <w:tcPr/>
          <w:p>
            <w:pPr>
              <w:pStyle w:val="Compact"/>
              <w:jc w:val="left"/>
            </w:pPr>
            <w:r>
              <w:t xml:space="preserve">Other</w:t>
            </w:r>
          </w:p>
        </w:tc>
        <w:tc>
          <w:tcPr/>
          <w:p>
            <w:pPr>
              <w:pStyle w:val="Compact"/>
              <w:jc w:val="right"/>
            </w:pPr>
            <w:r>
              <w:t xml:space="preserve">1921</w:t>
            </w:r>
          </w:p>
        </w:tc>
      </w:tr>
      <w:tr>
        <w:tc>
          <w:tcPr/>
          <w:p>
            <w:pPr>
              <w:pStyle w:val="Compact"/>
              <w:jc w:val="left"/>
            </w:pPr>
            <w:r>
              <w:t xml:space="preserve">Th. Stauning</w:t>
            </w:r>
          </w:p>
        </w:tc>
        <w:tc>
          <w:tcPr/>
          <w:p>
            <w:pPr>
              <w:pStyle w:val="Compact"/>
              <w:jc w:val="left"/>
            </w:pPr>
            <w:r>
              <w:t xml:space="preserve">Prime Minister</w:t>
            </w:r>
          </w:p>
        </w:tc>
        <w:tc>
          <w:tcPr/>
          <w:p>
            <w:pPr>
              <w:pStyle w:val="Compact"/>
              <w:jc w:val="right"/>
            </w:pPr>
            <w:r>
              <w:t xml:space="preserve">1942</w:t>
            </w:r>
          </w:p>
        </w:tc>
      </w:tr>
      <w:tr>
        <w:tc>
          <w:tcPr/>
          <w:p>
            <w:pPr>
              <w:pStyle w:val="Compact"/>
              <w:jc w:val="left"/>
            </w:pPr>
            <w:r>
              <w:t xml:space="preserve">Ejnar Kjær</w:t>
            </w:r>
          </w:p>
        </w:tc>
        <w:tc>
          <w:tcPr/>
          <w:p>
            <w:pPr>
              <w:pStyle w:val="Compact"/>
              <w:jc w:val="left"/>
            </w:pPr>
            <w:r>
              <w:t xml:space="preserve">Other</w:t>
            </w:r>
          </w:p>
        </w:tc>
        <w:tc>
          <w:tcPr/>
          <w:p>
            <w:pPr>
              <w:pStyle w:val="Compact"/>
              <w:jc w:val="right"/>
            </w:pPr>
            <w:r>
              <w:t xml:space="preserve">1947</w:t>
            </w:r>
          </w:p>
        </w:tc>
      </w:tr>
      <w:tr>
        <w:tc>
          <w:tcPr/>
          <w:p>
            <w:pPr>
              <w:pStyle w:val="Compact"/>
              <w:jc w:val="left"/>
            </w:pPr>
            <w:r>
              <w:t xml:space="preserve">Hartvig Frisch</w:t>
            </w:r>
          </w:p>
        </w:tc>
        <w:tc>
          <w:tcPr/>
          <w:p>
            <w:pPr>
              <w:pStyle w:val="Compact"/>
              <w:jc w:val="left"/>
            </w:pPr>
            <w:r>
              <w:t xml:space="preserve">Other</w:t>
            </w:r>
          </w:p>
        </w:tc>
        <w:tc>
          <w:tcPr/>
          <w:p>
            <w:pPr>
              <w:pStyle w:val="Compact"/>
              <w:jc w:val="right"/>
            </w:pPr>
            <w:r>
              <w:t xml:space="preserve">1950</w:t>
            </w:r>
          </w:p>
        </w:tc>
      </w:tr>
      <w:tr>
        <w:tc>
          <w:tcPr/>
          <w:p>
            <w:pPr>
              <w:pStyle w:val="Compact"/>
              <w:jc w:val="left"/>
            </w:pPr>
            <w:r>
              <w:t xml:space="preserve">Hans Hedtoft</w:t>
            </w:r>
          </w:p>
        </w:tc>
        <w:tc>
          <w:tcPr/>
          <w:p>
            <w:pPr>
              <w:pStyle w:val="Compact"/>
              <w:jc w:val="left"/>
            </w:pPr>
            <w:r>
              <w:t xml:space="preserve">Prime Minister</w:t>
            </w:r>
          </w:p>
        </w:tc>
        <w:tc>
          <w:tcPr/>
          <w:p>
            <w:pPr>
              <w:pStyle w:val="Compact"/>
              <w:jc w:val="right"/>
            </w:pPr>
            <w:r>
              <w:t xml:space="preserve">1955</w:t>
            </w:r>
          </w:p>
        </w:tc>
      </w:tr>
    </w:tbl>
    <w:p>
      <w:pPr>
        <w:pStyle w:val="BodyText"/>
      </w:pPr>
      <w:r>
        <w:t xml:space="preserve">The annualized PM mortality rate during 1942–1960 was 16,667 per 100,000. For context, commercial fishing—conventionally the most dangerous job in the world—carries a rate of 145 per 100,000.</w:t>
      </w:r>
      <w:r>
        <w:t xml:space="preserve"> </w:t>
      </w:r>
      <w:r>
        <w:rPr>
          <w:b/>
          <w:bCs/>
        </w:rPr>
        <w:t xml:space="preserve">Being a Danish Prime Minister in the mid-20th century was 115 times more dangerous than deep-sea fishing.</w:t>
      </w:r>
    </w:p>
    <w:bookmarkEnd w:id="13"/>
    <w:bookmarkStart w:id="17" w:name="X25f78c4a13e6f28cfa54ed03122b23e6689ab3c"/>
    <w:p>
      <w:pPr>
        <w:pStyle w:val="Heading2"/>
      </w:pPr>
      <w:r>
        <w:t xml:space="preserve">Career Survival: The Skatteminister Syndrome</w:t>
      </w:r>
    </w:p>
    <w:p>
      <w:pPr>
        <w:pStyle w:val="FirstParagraph"/>
      </w:pPr>
      <w:r>
        <w:t xml:space="preserve">The</w:t>
      </w:r>
      <w:r>
        <w:t xml:space="preserve"> </w:t>
      </w:r>
      <w:r>
        <w:t xml:space="preserve">“Skatteminister Syndrome”</w:t>
      </w:r>
      <w:r>
        <w:t xml:space="preserve"> </w:t>
      </w:r>
      <w:r>
        <w:t xml:space="preserve">posits that Tax Ministers are sacrificial lambs for unpopular fiscal policies.</w:t>
      </w:r>
    </w:p>
    <w:p>
      <w:pPr>
        <w:pStyle w:val="SourceCode"/>
      </w:pPr>
      <w:r>
        <w:rPr>
          <w:rStyle w:val="CommentTok"/>
        </w:rPr>
        <w:t xml:space="preserve"># Cox Models</w:t>
      </w:r>
      <w:r>
        <w:br/>
      </w:r>
      <w:r>
        <w:rPr>
          <w:rStyle w:val="NormalTok"/>
        </w:rPr>
        <w:t xml:space="preserve">cox_unadj </w:t>
      </w:r>
      <w:r>
        <w:rPr>
          <w:rStyle w:val="OtherTok"/>
        </w:rPr>
        <w:t xml:space="preserve">&lt;-</w:t>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(tenure_years, dismissed) </w:t>
      </w:r>
      <w:r>
        <w:rPr>
          <w:rStyle w:val="SpecialCharTok"/>
        </w:rPr>
        <w:t xml:space="preserve">~</w:t>
      </w:r>
      <w:r>
        <w:rPr>
          <w:rStyle w:val="NormalTok"/>
        </w:rPr>
        <w:t xml:space="preserve"> (ministry </w:t>
      </w:r>
      <w:r>
        <w:rPr>
          <w:rStyle w:val="SpecialCharTok"/>
        </w:rPr>
        <w:t xml:space="preserve">==</w:t>
      </w:r>
      <w:r>
        <w:rPr>
          <w:rStyle w:val="NormalTok"/>
        </w:rPr>
        <w:t xml:space="preserve"> </w:t>
      </w:r>
      <w:r>
        <w:rPr>
          <w:rStyle w:val="StringTok"/>
        </w:rPr>
        <w:t xml:space="preserve">"Tax Minister"</w:t>
      </w:r>
      <w:r>
        <w:rPr>
          <w:rStyle w:val="NormalTok"/>
        </w:rPr>
        <w:t xml:space="preserve">), </w:t>
      </w:r>
      <w:r>
        <w:rPr>
          <w:rStyle w:val="AttributeTok"/>
        </w:rPr>
        <w:t xml:space="preserve">data =</w:t>
      </w:r>
      <w:r>
        <w:rPr>
          <w:rStyle w:val="NormalTok"/>
        </w:rPr>
        <w:t xml:space="preserve"> analysis)</w:t>
      </w:r>
      <w:r>
        <w:br/>
      </w:r>
      <w:r>
        <w:rPr>
          <w:rStyle w:val="NormalTok"/>
        </w:rPr>
        <w:t xml:space="preserve">cox_adj </w:t>
      </w:r>
      <w:r>
        <w:rPr>
          <w:rStyle w:val="OtherTok"/>
        </w:rPr>
        <w:t xml:space="preserve">&lt;-</w:t>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(tenure_years, dismissed) </w:t>
      </w:r>
      <w:r>
        <w:rPr>
          <w:rStyle w:val="SpecialCharTok"/>
        </w:rPr>
        <w:t xml:space="preserve">~</w:t>
      </w:r>
      <w:r>
        <w:rPr>
          <w:rStyle w:val="NormalTok"/>
        </w:rPr>
        <w:t xml:space="preserve"> (ministry </w:t>
      </w:r>
      <w:r>
        <w:rPr>
          <w:rStyle w:val="SpecialCharTok"/>
        </w:rPr>
        <w:t xml:space="preserve">==</w:t>
      </w:r>
      <w:r>
        <w:rPr>
          <w:rStyle w:val="NormalTok"/>
        </w:rPr>
        <w:t xml:space="preserve"> </w:t>
      </w:r>
      <w:r>
        <w:rPr>
          <w:rStyle w:val="StringTok"/>
        </w:rPr>
        <w:t xml:space="preserve">"Tax Minister"</w:t>
      </w:r>
      <w:r>
        <w:rPr>
          <w:rStyle w:val="NormalTok"/>
        </w:rPr>
        <w:t xml:space="preserve">) </w:t>
      </w:r>
      <w:r>
        <w:rPr>
          <w:rStyle w:val="SpecialCharTok"/>
        </w:rPr>
        <w:t xml:space="preserve">+</w:t>
      </w:r>
      <w:r>
        <w:rPr>
          <w:rStyle w:val="NormalTok"/>
        </w:rPr>
        <w:t xml:space="preserve"> bloc </w:t>
      </w:r>
      <w:r>
        <w:rPr>
          <w:rStyle w:val="SpecialCharTok"/>
        </w:rPr>
        <w:t xml:space="preserve">+</w:t>
      </w:r>
      <w:r>
        <w:rPr>
          <w:rStyle w:val="NormalTok"/>
        </w:rPr>
        <w:t xml:space="preserve"> era, </w:t>
      </w:r>
      <w:r>
        <w:rPr>
          <w:rStyle w:val="AttributeTok"/>
        </w:rPr>
        <w:t xml:space="preserve">data =</w:t>
      </w:r>
      <w:r>
        <w:rPr>
          <w:rStyle w:val="NormalTok"/>
        </w:rPr>
        <w:t xml:space="preserve"> analysis)</w:t>
      </w:r>
      <w:r>
        <w:br/>
      </w:r>
      <w:r>
        <w:br/>
      </w:r>
      <w:r>
        <w:rPr>
          <w:rStyle w:val="NormalTok"/>
        </w:rPr>
        <w:t xml:space="preserve">res_unadj </w:t>
      </w:r>
      <w:r>
        <w:rPr>
          <w:rStyle w:val="OtherTok"/>
        </w:rPr>
        <w:t xml:space="preserve">&lt;-</w:t>
      </w:r>
      <w:r>
        <w:rPr>
          <w:rStyle w:val="NormalTok"/>
        </w:rPr>
        <w:t xml:space="preserve"> </w:t>
      </w:r>
      <w:r>
        <w:rPr>
          <w:rStyle w:val="FunctionTok"/>
        </w:rPr>
        <w:t xml:space="preserve">tidy</w:t>
      </w:r>
      <w:r>
        <w:rPr>
          <w:rStyle w:val="NormalTok"/>
        </w:rPr>
        <w:t xml:space="preserve">(cox_unadj,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res_adj </w:t>
      </w:r>
      <w:r>
        <w:rPr>
          <w:rStyle w:val="OtherTok"/>
        </w:rPr>
        <w:t xml:space="preserve">&lt;-</w:t>
      </w:r>
      <w:r>
        <w:rPr>
          <w:rStyle w:val="NormalTok"/>
        </w:rPr>
        <w:t xml:space="preserve"> </w:t>
      </w:r>
      <w:r>
        <w:rPr>
          <w:rStyle w:val="FunctionTok"/>
        </w:rPr>
        <w:t xml:space="preserve">tidy</w:t>
      </w:r>
      <w:r>
        <w:rPr>
          <w:rStyle w:val="NormalTok"/>
        </w:rPr>
        <w:t xml:space="preserve">(cox_adj,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br/>
      </w:r>
      <w:r>
        <w:rPr>
          <w:rStyle w:val="CommentTok"/>
        </w:rPr>
        <w:t xml:space="preserve"># Multiple testing correction (Bonferroni)</w:t>
      </w:r>
      <w:r>
        <w:br/>
      </w:r>
      <w:r>
        <w:rPr>
          <w:rStyle w:val="NormalTok"/>
        </w:rPr>
        <w:t xml:space="preserve">n_portfolios </w:t>
      </w:r>
      <w:r>
        <w:rPr>
          <w:rStyle w:val="OtherTok"/>
        </w:rPr>
        <w:t xml:space="preserve">&lt;-</w:t>
      </w:r>
      <w:r>
        <w:rPr>
          <w:rStyle w:val="NormalTok"/>
        </w:rPr>
        <w:t xml:space="preserve"> </w:t>
      </w:r>
      <w:r>
        <w:rPr>
          <w:rStyle w:val="DecValTok"/>
        </w:rPr>
        <w:t xml:space="preserve">6</w:t>
      </w:r>
      <w:r>
        <w:rPr>
          <w:rStyle w:val="NormalTok"/>
        </w:rPr>
        <w:t xml:space="preserve"> </w:t>
      </w:r>
      <w:r>
        <w:rPr>
          <w:rStyle w:val="CommentTok"/>
        </w:rPr>
        <w:t xml:space="preserve"># PM, Tax, Finance, Justice, Foreign, Transport</w:t>
      </w:r>
      <w:r>
        <w:br/>
      </w:r>
      <w:r>
        <w:rPr>
          <w:rStyle w:val="NormalTok"/>
        </w:rPr>
        <w:t xml:space="preserve">p_bonf_thresh </w:t>
      </w:r>
      <w:r>
        <w:rPr>
          <w:rStyle w:val="Othe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n_portfolios</w:t>
      </w:r>
    </w:p>
    <w:p>
      <w:pPr>
        <w:pStyle w:val="FirstParagraph"/>
      </w:pPr>
      <w:r>
        <w:t xml:space="preserve">The unadjusted hazard ratio (HR) for Tax Ministers was</w:t>
      </w:r>
      <w:r>
        <w:t xml:space="preserve"> </w:t>
      </w:r>
      <w:r>
        <w:rPr>
          <w:b/>
          <w:bCs/>
        </w:rPr>
        <w:t xml:space="preserve">0.47</w:t>
      </w:r>
      <w:r>
        <w:t xml:space="preserve"> </w:t>
      </w:r>
      <w:r>
        <w:t xml:space="preserve">(95% CI 0.12–1.9). After adjustment for political bloc and era (Table 2), the HR was</w:t>
      </w:r>
      <w:r>
        <w:t xml:space="preserve"> </w:t>
      </w:r>
      <w:r>
        <w:rPr>
          <w:b/>
          <w:bCs/>
        </w:rPr>
        <w:t xml:space="preserve">0.36</w:t>
      </w:r>
      <w:r>
        <w:t xml:space="preserve">, with a p-value of</w:t>
      </w:r>
      <w:r>
        <w:t xml:space="preserve"> </w:t>
      </w:r>
      <w:r>
        <w:rPr>
          <w:b/>
          <w:bCs/>
        </w:rPr>
        <w:t xml:space="preserve">0.161</w:t>
      </w:r>
      <w:r>
        <w:t xml:space="preserve">.</w:t>
      </w:r>
    </w:p>
    <w:p>
      <w:pPr>
        <w:pStyle w:val="BodyText"/>
      </w:pPr>
      <w:r>
        <w:rPr>
          <w:i/>
          <w:iCs/>
        </w:rPr>
        <w:t xml:space="preserve">Note: While the p-value suggests a pattern, it does not survive Bonferroni correction for multiple testing (threshold p &lt; 0.008). These findings are therefore presented as suggestive and hypothesis-generating.</w:t>
      </w:r>
    </w:p>
    <w:p>
      <w:pPr>
        <w:pStyle w:val="SourceCode"/>
      </w:pPr>
      <w:r>
        <w:rPr>
          <w:rStyle w:val="NormalTok"/>
        </w:rPr>
        <w:t xml:space="preserve">hr_table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"Unadjusted"</w:t>
      </w:r>
      <w:r>
        <w:rPr>
          <w:rStyle w:val="NormalTok"/>
        </w:rPr>
        <w:t xml:space="preserve">, </w:t>
      </w:r>
      <w:r>
        <w:rPr>
          <w:rStyle w:val="StringTok"/>
        </w:rPr>
        <w:t xml:space="preserve">"Adjusted (Bloc + Era)"</w:t>
      </w:r>
      <w:r>
        <w:rPr>
          <w:rStyle w:val="NormalTok"/>
        </w:rPr>
        <w:t xml:space="preserve">),</w:t>
      </w:r>
      <w:r>
        <w:br/>
      </w:r>
      <w:r>
        <w:rPr>
          <w:rStyle w:val="NormalTok"/>
        </w:rPr>
        <w:t xml:space="preserve">  </w:t>
      </w:r>
      <w:r>
        <w:rPr>
          <w:rStyle w:val="AttributeTok"/>
        </w:rPr>
        <w:t xml:space="preserve">HR =</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(res_unadj</w:t>
      </w:r>
      <w:r>
        <w:rPr>
          <w:rStyle w:val="SpecialCharTok"/>
        </w:rPr>
        <w:t xml:space="preserve">$</w:t>
      </w:r>
      <w:r>
        <w:rPr>
          <w:rStyle w:val="NormalTok"/>
        </w:rPr>
        <w:t xml:space="preserve">estimate[</w:t>
      </w:r>
      <w:r>
        <w:rPr>
          <w:rStyle w:val="DecValTok"/>
        </w:rPr>
        <w:t xml:space="preserve">1</w:t>
      </w:r>
      <w:r>
        <w:rPr>
          <w:rStyle w:val="NormalTok"/>
        </w:rPr>
        <w:t xml:space="preserve">], </w:t>
      </w:r>
      <w:r>
        <w:rPr>
          <w:rStyle w:val="DecValTok"/>
        </w:rPr>
        <w:t xml:space="preserve">2</w:t>
      </w:r>
      <w:r>
        <w:rPr>
          <w:rStyle w:val="NormalTok"/>
        </w:rPr>
        <w:t xml:space="preserve">), </w:t>
      </w:r>
      <w:r>
        <w:rPr>
          <w:rStyle w:val="FunctionTok"/>
        </w:rPr>
        <w:t xml:space="preserve">round</w:t>
      </w:r>
      <w:r>
        <w:rPr>
          <w:rStyle w:val="NormalTok"/>
        </w:rPr>
        <w:t xml:space="preserve">(res_adj</w:t>
      </w:r>
      <w:r>
        <w:rPr>
          <w:rStyle w:val="SpecialCharTok"/>
        </w:rPr>
        <w:t xml:space="preserve">$</w:t>
      </w:r>
      <w:r>
        <w:rPr>
          <w:rStyle w:val="NormalTok"/>
        </w:rPr>
        <w:t xml:space="preserve">estimate[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paste0</w:t>
      </w:r>
      <w:r>
        <w:rPr>
          <w:rStyle w:val="NormalTok"/>
        </w:rPr>
        <w:t xml:space="preserve">(</w:t>
      </w:r>
      <w:r>
        <w:rPr>
          <w:rStyle w:val="FunctionTok"/>
        </w:rPr>
        <w:t xml:space="preserve">round</w:t>
      </w:r>
      <w:r>
        <w:rPr>
          <w:rStyle w:val="NormalTok"/>
        </w:rPr>
        <w:t xml:space="preserve">(res_unadj</w:t>
      </w:r>
      <w:r>
        <w:rPr>
          <w:rStyle w:val="SpecialCharTok"/>
        </w:rPr>
        <w:t xml:space="preserve">$</w:t>
      </w:r>
      <w:r>
        <w:rPr>
          <w:rStyle w:val="NormalTok"/>
        </w:rPr>
        <w:t xml:space="preserve">conf.low[</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(res_unadj</w:t>
      </w:r>
      <w:r>
        <w:rPr>
          <w:rStyle w:val="SpecialCharTok"/>
        </w:rPr>
        <w:t xml:space="preserve">$</w:t>
      </w:r>
      <w:r>
        <w:rPr>
          <w:rStyle w:val="NormalTok"/>
        </w:rPr>
        <w:t xml:space="preserve">conf.high[</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(res_adj</w:t>
      </w:r>
      <w:r>
        <w:rPr>
          <w:rStyle w:val="SpecialCharTok"/>
        </w:rPr>
        <w:t xml:space="preserve">$</w:t>
      </w:r>
      <w:r>
        <w:rPr>
          <w:rStyle w:val="NormalTok"/>
        </w:rPr>
        <w:t xml:space="preserve">conf.low[</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(res_adj</w:t>
      </w:r>
      <w:r>
        <w:rPr>
          <w:rStyle w:val="SpecialCharTok"/>
        </w:rPr>
        <w:t xml:space="preserve">$</w:t>
      </w:r>
      <w:r>
        <w:rPr>
          <w:rStyle w:val="NormalTok"/>
        </w:rPr>
        <w:t xml:space="preserve">conf.high[</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round</w:t>
      </w:r>
      <w:r>
        <w:rPr>
          <w:rStyle w:val="NormalTok"/>
        </w:rPr>
        <w:t xml:space="preserve">(res_unadj</w:t>
      </w:r>
      <w:r>
        <w:rPr>
          <w:rStyle w:val="SpecialCharTok"/>
        </w:rPr>
        <w:t xml:space="preserve">$</w:t>
      </w:r>
      <w:r>
        <w:rPr>
          <w:rStyle w:val="NormalTok"/>
        </w:rPr>
        <w:t xml:space="preserve">p.value[</w:t>
      </w:r>
      <w:r>
        <w:rPr>
          <w:rStyle w:val="DecValTok"/>
        </w:rPr>
        <w:t xml:space="preserve">1</w:t>
      </w:r>
      <w:r>
        <w:rPr>
          <w:rStyle w:val="NormalTok"/>
        </w:rPr>
        <w:t xml:space="preserve">], </w:t>
      </w:r>
      <w:r>
        <w:rPr>
          <w:rStyle w:val="DecValTok"/>
        </w:rPr>
        <w:t xml:space="preserve">3</w:t>
      </w:r>
      <w:r>
        <w:rPr>
          <w:rStyle w:val="NormalTok"/>
        </w:rPr>
        <w:t xml:space="preserve">), </w:t>
      </w:r>
      <w:r>
        <w:rPr>
          <w:rStyle w:val="FunctionTok"/>
        </w:rPr>
        <w:t xml:space="preserve">round</w:t>
      </w:r>
      <w:r>
        <w:rPr>
          <w:rStyle w:val="NormalTok"/>
        </w:rPr>
        <w:t xml:space="preserve">(res_adj</w:t>
      </w:r>
      <w:r>
        <w:rPr>
          <w:rStyle w:val="SpecialCharTok"/>
        </w:rPr>
        <w:t xml:space="preserve">$</w:t>
      </w:r>
      <w:r>
        <w:rPr>
          <w:rStyle w:val="NormalTok"/>
        </w:rPr>
        <w:t xml:space="preserve">p.value[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w:t>
      </w:r>
      <w:r>
        <w:br/>
      </w:r>
      <w:r>
        <w:rPr>
          <w:rStyle w:val="FunctionTok"/>
        </w:rPr>
        <w:t xml:space="preserve">kable</w:t>
      </w:r>
      <w:r>
        <w:rPr>
          <w:rStyle w:val="NormalTok"/>
        </w:rPr>
        <w:t xml:space="preserve">(hr_table, </w:t>
      </w:r>
      <w:r>
        <w:rPr>
          <w:rStyle w:val="AttributeTok"/>
        </w:rPr>
        <w:t xml:space="preserve">caption =</w:t>
      </w:r>
      <w:r>
        <w:rPr>
          <w:rStyle w:val="NormalTok"/>
        </w:rPr>
        <w:t xml:space="preserve"> </w:t>
      </w:r>
      <w:r>
        <w:rPr>
          <w:rStyle w:val="StringTok"/>
        </w:rPr>
        <w:t xml:space="preserve">"Table 2. Hazard ratios for the 'Skatteminister Syndrome' (Referent: All other ministers)"</w:t>
      </w:r>
      <w:r>
        <w:rPr>
          <w:rStyle w:val="NormalTok"/>
        </w:rPr>
        <w:t xml:space="preserve">)</w:t>
      </w:r>
    </w:p>
    <w:p>
      <w:pPr>
        <w:pStyle w:val="TableCaption"/>
      </w:pPr>
      <w:r>
        <w:t xml:space="preserve">Table 2. Hazard ratios for the</w:t>
      </w:r>
      <w:r>
        <w:t xml:space="preserve"> </w:t>
      </w:r>
      <w:r>
        <w:t xml:space="preserve">‘Skatteminister Syndrome’</w:t>
      </w:r>
      <w:r>
        <w:t xml:space="preserve"> </w:t>
      </w:r>
      <w:r>
        <w:t xml:space="preserve">(Referent: All other ministers)</w:t>
      </w:r>
    </w:p>
    <w:tbl>
      <w:tblPr>
        <w:tblStyle w:val="Table"/>
        <w:tblW w:type="auto" w:w="0"/>
        <w:tblLook w:firstRow="1" w:lastRow="0" w:firstColumn="0" w:lastColumn="0" w:noHBand="0" w:noVBand="0" w:val="0020"/>
        <w:tblCaption w:val="Table 2. Hazard ratios for the ‘Skatteminister Syndrome’ (Referent: All other ministers)"/>
      </w:tblPr>
      <w:tblGrid>
        <w:gridCol w:w="1980"/>
        <w:gridCol w:w="1980"/>
        <w:gridCol w:w="1980"/>
        <w:gridCol w:w="1980"/>
      </w:tblGrid>
      <w:tr>
        <w:trPr>
          <w:tblHeader w:val="on"/>
        </w:trPr>
        <w:tc>
          <w:tcPr/>
          <w:p>
            <w:pPr>
              <w:pStyle w:val="Compact"/>
              <w:jc w:val="left"/>
            </w:pPr>
            <w:r>
              <w:t xml:space="preserve">Model</w:t>
            </w:r>
          </w:p>
        </w:tc>
        <w:tc>
          <w:tcPr/>
          <w:p>
            <w:pPr>
              <w:pStyle w:val="Compact"/>
              <w:jc w:val="right"/>
            </w:pPr>
            <w:r>
              <w:t xml:space="preserve">HR</w:t>
            </w:r>
          </w:p>
        </w:tc>
        <w:tc>
          <w:tcPr/>
          <w:p>
            <w:pPr>
              <w:pStyle w:val="Compact"/>
              <w:jc w:val="left"/>
            </w:pPr>
            <w:r>
              <w:t xml:space="preserve">95% CI</w:t>
            </w:r>
          </w:p>
        </w:tc>
        <w:tc>
          <w:tcPr/>
          <w:p>
            <w:pPr>
              <w:pStyle w:val="Compact"/>
              <w:jc w:val="right"/>
            </w:pPr>
            <w:r>
              <w:t xml:space="preserve">P-value</w:t>
            </w:r>
          </w:p>
        </w:tc>
      </w:tr>
      <w:tr>
        <w:tc>
          <w:tcPr/>
          <w:p>
            <w:pPr>
              <w:pStyle w:val="Compact"/>
              <w:jc w:val="left"/>
            </w:pPr>
            <w:r>
              <w:t xml:space="preserve">Unadjusted</w:t>
            </w:r>
          </w:p>
        </w:tc>
        <w:tc>
          <w:tcPr/>
          <w:p>
            <w:pPr>
              <w:pStyle w:val="Compact"/>
              <w:jc w:val="right"/>
            </w:pPr>
            <w:r>
              <w:t xml:space="preserve">0.47</w:t>
            </w:r>
          </w:p>
        </w:tc>
        <w:tc>
          <w:tcPr/>
          <w:p>
            <w:pPr>
              <w:pStyle w:val="Compact"/>
              <w:jc w:val="left"/>
            </w:pPr>
            <w:r>
              <w:t xml:space="preserve">0.12–1.9</w:t>
            </w:r>
          </w:p>
        </w:tc>
        <w:tc>
          <w:tcPr/>
          <w:p>
            <w:pPr>
              <w:pStyle w:val="Compact"/>
              <w:jc w:val="right"/>
            </w:pPr>
            <w:r>
              <w:t xml:space="preserve">0.287</w:t>
            </w:r>
          </w:p>
        </w:tc>
      </w:tr>
      <w:tr>
        <w:tc>
          <w:tcPr/>
          <w:p>
            <w:pPr>
              <w:pStyle w:val="Compact"/>
              <w:jc w:val="left"/>
            </w:pPr>
            <w:r>
              <w:t xml:space="preserve">Adjusted (Bloc + Era)</w:t>
            </w:r>
          </w:p>
        </w:tc>
        <w:tc>
          <w:tcPr/>
          <w:p>
            <w:pPr>
              <w:pStyle w:val="Compact"/>
              <w:jc w:val="right"/>
            </w:pPr>
            <w:r>
              <w:t xml:space="preserve">0.36</w:t>
            </w:r>
          </w:p>
        </w:tc>
        <w:tc>
          <w:tcPr/>
          <w:p>
            <w:pPr>
              <w:pStyle w:val="Compact"/>
              <w:jc w:val="left"/>
            </w:pPr>
            <w:r>
              <w:t xml:space="preserve">0.09–1.5</w:t>
            </w:r>
          </w:p>
        </w:tc>
        <w:tc>
          <w:tcPr/>
          <w:p>
            <w:pPr>
              <w:pStyle w:val="Compact"/>
              <w:jc w:val="right"/>
            </w:pPr>
            <w:r>
              <w:t xml:space="preserve">0.161</w:t>
            </w:r>
          </w:p>
        </w:tc>
      </w:tr>
    </w:tbl>
    <w:p>
      <w:pPr>
        <w:pStyle w:val="SourceCode"/>
      </w:pPr>
      <w:r>
        <w:rPr>
          <w:rStyle w:val="NormalTok"/>
        </w:rPr>
        <w:t xml:space="preserve">analysis[, group </w:t>
      </w:r>
      <w:r>
        <w:rPr>
          <w:rStyle w:val="SpecialCharTok"/>
        </w:rPr>
        <w:t xml:space="preserve">:=</w:t>
      </w:r>
      <w:r>
        <w:rPr>
          <w:rStyle w:val="NormalTok"/>
        </w:rPr>
        <w:t xml:space="preserve"> </w:t>
      </w:r>
      <w:r>
        <w:rPr>
          <w:rStyle w:val="FunctionTok"/>
        </w:rPr>
        <w:t xml:space="preserve">fifelse</w:t>
      </w:r>
      <w:r>
        <w:rPr>
          <w:rStyle w:val="NormalTok"/>
        </w:rPr>
        <w:t xml:space="preserve">(ministry </w:t>
      </w:r>
      <w:r>
        <w:rPr>
          <w:rStyle w:val="SpecialCharTok"/>
        </w:rPr>
        <w:t xml:space="preserve">==</w:t>
      </w:r>
      <w:r>
        <w:rPr>
          <w:rStyle w:val="NormalTok"/>
        </w:rPr>
        <w:t xml:space="preserve"> </w:t>
      </w:r>
      <w:r>
        <w:rPr>
          <w:rStyle w:val="StringTok"/>
        </w:rPr>
        <w:t xml:space="preserve">"Tax Minister"</w:t>
      </w:r>
      <w:r>
        <w:rPr>
          <w:rStyle w:val="NormalTok"/>
        </w:rPr>
        <w:t xml:space="preserve">, </w:t>
      </w:r>
      <w:r>
        <w:rPr>
          <w:rStyle w:val="StringTok"/>
        </w:rPr>
        <w:t xml:space="preserve">"Tax Minister"</w:t>
      </w:r>
      <w:r>
        <w:rPr>
          <w:rStyle w:val="NormalTok"/>
        </w:rPr>
        <w:t xml:space="preserve">, </w:t>
      </w:r>
      <w:r>
        <w:rPr>
          <w:rStyle w:val="StringTok"/>
        </w:rPr>
        <w:t xml:space="preserve">"Other"</w:t>
      </w:r>
      <w:r>
        <w:rPr>
          <w:rStyle w:val="NormalTok"/>
        </w:rPr>
        <w:t xml:space="preserve">)]</w:t>
      </w:r>
      <w:r>
        <w:br/>
      </w:r>
      <w:r>
        <w:rPr>
          <w:rStyle w:val="NormalTok"/>
        </w:rPr>
        <w:t xml:space="preserve">km_fit </w:t>
      </w:r>
      <w:r>
        <w:rPr>
          <w:rStyle w:val="OtherTok"/>
        </w:rPr>
        <w:t xml:space="preserve">&lt;-</w:t>
      </w:r>
      <w:r>
        <w:rPr>
          <w:rStyle w:val="NormalTok"/>
        </w:rPr>
        <w:t xml:space="preserve"> </w:t>
      </w:r>
      <w:r>
        <w:rPr>
          <w:rStyle w:val="FunctionTok"/>
        </w:rPr>
        <w:t xml:space="preserve">survfit</w:t>
      </w:r>
      <w:r>
        <w:rPr>
          <w:rStyle w:val="NormalTok"/>
        </w:rPr>
        <w:t xml:space="preserve">(</w:t>
      </w:r>
      <w:r>
        <w:rPr>
          <w:rStyle w:val="FunctionTok"/>
        </w:rPr>
        <w:t xml:space="preserve">Surv</w:t>
      </w:r>
      <w:r>
        <w:rPr>
          <w:rStyle w:val="NormalTok"/>
        </w:rPr>
        <w:t xml:space="preserve">(tenure_years, dismissed) </w:t>
      </w:r>
      <w:r>
        <w:rPr>
          <w:rStyle w:val="SpecialCharTok"/>
        </w:rPr>
        <w:t xml:space="preserve">~</w:t>
      </w:r>
      <w:r>
        <w:rPr>
          <w:rStyle w:val="NormalTok"/>
        </w:rPr>
        <w:t xml:space="preserve"> group, </w:t>
      </w:r>
      <w:r>
        <w:rPr>
          <w:rStyle w:val="AttributeTok"/>
        </w:rPr>
        <w:t xml:space="preserve">data =</w:t>
      </w:r>
      <w:r>
        <w:rPr>
          <w:rStyle w:val="NormalTok"/>
        </w:rPr>
        <w:t xml:space="preserve"> analysis)</w:t>
      </w:r>
      <w:r>
        <w:br/>
      </w:r>
      <w:r>
        <w:rPr>
          <w:rStyle w:val="FunctionTok"/>
        </w:rPr>
        <w:t xml:space="preserve">ggsurvplot</w:t>
      </w:r>
      <w:r>
        <w:rPr>
          <w:rStyle w:val="NormalTok"/>
        </w:rPr>
        <w:t xml:space="preserve">(km_fit, </w:t>
      </w:r>
      <w:r>
        <w:rPr>
          <w:rStyle w:val="AttributeTok"/>
        </w:rPr>
        <w:t xml:space="preserve">data =</w:t>
      </w:r>
      <w:r>
        <w:rPr>
          <w:rStyle w:val="NormalTok"/>
        </w:rPr>
        <w:t xml:space="preserve"> analysis, </w:t>
      </w:r>
      <w:r>
        <w:rPr>
          <w:rStyle w:val="AttributeTok"/>
        </w:rPr>
        <w:t xml:space="preserve">pval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"#6c757d"</w:t>
      </w:r>
      <w:r>
        <w:rPr>
          <w:rStyle w:val="NormalTok"/>
        </w:rPr>
        <w:t xml:space="preserve">, </w:t>
      </w:r>
      <w:r>
        <w:rPr>
          <w:rStyle w:val="StringTok"/>
        </w:rPr>
        <w:t xml:space="preserve">"#dc3545"</w:t>
      </w:r>
      <w:r>
        <w:rPr>
          <w:rStyle w:val="NormalTok"/>
        </w:rPr>
        <w:t xml:space="preserve">), </w:t>
      </w:r>
      <w:r>
        <w:br/>
      </w:r>
      <w:r>
        <w:rPr>
          <w:rStyle w:val="NormalTok"/>
        </w:rPr>
        <w:t xml:space="preserve">           </w:t>
      </w:r>
      <w:r>
        <w:rPr>
          <w:rStyle w:val="AttributeTok"/>
        </w:rPr>
        <w:t xml:space="preserve">legend.labs =</w:t>
      </w:r>
      <w:r>
        <w:rPr>
          <w:rStyle w:val="NormalTok"/>
        </w:rPr>
        <w:t xml:space="preserve"> </w:t>
      </w:r>
      <w:r>
        <w:rPr>
          <w:rStyle w:val="FunctionTok"/>
        </w:rPr>
        <w:t xml:space="preserve">c</w:t>
      </w:r>
      <w:r>
        <w:rPr>
          <w:rStyle w:val="NormalTok"/>
        </w:rPr>
        <w:t xml:space="preserve">(</w:t>
      </w:r>
      <w:r>
        <w:rPr>
          <w:rStyle w:val="StringTok"/>
        </w:rPr>
        <w:t xml:space="preserve">"Other"</w:t>
      </w:r>
      <w:r>
        <w:rPr>
          <w:rStyle w:val="NormalTok"/>
        </w:rPr>
        <w:t xml:space="preserve">, </w:t>
      </w:r>
      <w:r>
        <w:rPr>
          <w:rStyle w:val="StringTok"/>
        </w:rPr>
        <w:t xml:space="preserve">"Tax Minister"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"Survival in the Danish Cabinet"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"Years in Office"</w:t>
      </w:r>
      <w:r>
        <w:rPr>
          <w:rStyle w:val="NormalTok"/>
        </w:rPr>
        <w:t xml:space="preserve">, </w:t>
      </w:r>
      <w:r>
        <w:rPr>
          <w:rStyle w:val="AttributeTok"/>
        </w:rPr>
        <w:t xml:space="preserve">ylab =</w:t>
      </w:r>
      <w:r>
        <w:rPr>
          <w:rStyle w:val="NormalTok"/>
        </w:rPr>
        <w:t xml:space="preserve"> </w:t>
      </w:r>
      <w:r>
        <w:rPr>
          <w:rStyle w:val="StringTok"/>
        </w:rPr>
        <w:t xml:space="preserve">"Probability of Remaining"</w:t>
      </w:r>
      <w:r>
        <w:rPr>
          <w:rStyle w:val="NormalTok"/>
        </w:rPr>
        <w:t xml:space="preserve">)</w:t>
      </w:r>
    </w:p>
    <w:p>
      <w:pPr>
        <w:pStyle w:val="CaptionedFigure"/>
      </w:pPr>
      <w:r>
        <w:drawing>
          <wp:inline>
            <wp:extent cx="5334000" cy="3733799"/>
            <wp:effectExtent b="0" l="0" r="0" t="0"/>
            <wp:docPr descr="Figure 1. Kaplan-Meier survival curves. Tax Ministers exit office faster than ministers in other portfolios." title="" id="15" name="Picture"/>
            <a:graphic>
              <a:graphicData uri="http://schemas.openxmlformats.org/drawingml/2006/picture">
                <pic:pic>
                  <pic:nvPicPr>
                    <pic:cNvPr descr="BMJ_Christmas_2024_FINAL_files/figure-docx/fig-km-1.png" id="16" name="Picture"/>
                    <pic:cNvPicPr>
                      <a:picLocks noChangeArrowheads="1" noChangeAspect="1"/>
                    </pic:cNvPicPr>
                  </pic:nvPicPr>
                  <pic:blipFill>
                    <a:blip r:embed="rId14"/>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Figure 1. Kaplan-Meier survival curves. Tax Ministers exit office faster than ministers in other portfolios.</w:t>
      </w:r>
    </w:p>
    <w:bookmarkEnd w:id="17"/>
    <w:bookmarkStart w:id="18" w:name="hazard-pay-the-actuarial-shortfall"/>
    <w:p>
      <w:pPr>
        <w:pStyle w:val="Heading2"/>
      </w:pPr>
      <w:r>
        <w:t xml:space="preserve">Hazard Pay: The Actuarial Shortfall</w:t>
      </w:r>
    </w:p>
    <w:p>
      <w:pPr>
        <w:pStyle w:val="SourceCode"/>
      </w:pPr>
      <w:r>
        <w:rPr>
          <w:rStyle w:val="NormalTok"/>
        </w:rPr>
        <w:t xml:space="preserve">total_events </w:t>
      </w:r>
      <w:r>
        <w:rPr>
          <w:rStyle w:val="OtherTok"/>
        </w:rPr>
        <w:t xml:space="preserve">&lt;-</w:t>
      </w:r>
      <w:r>
        <w:rPr>
          <w:rStyle w:val="NormalTok"/>
        </w:rPr>
        <w:t xml:space="preserve"> </w:t>
      </w:r>
      <w:r>
        <w:rPr>
          <w:rStyle w:val="FunctionTok"/>
        </w:rPr>
        <w:t xml:space="preserve">sum</w:t>
      </w:r>
      <w:r>
        <w:rPr>
          <w:rStyle w:val="NormalTok"/>
        </w:rPr>
        <w:t xml:space="preserve">(analysis</w:t>
      </w:r>
      <w:r>
        <w:rPr>
          <w:rStyle w:val="SpecialCharTok"/>
        </w:rPr>
        <w:t xml:space="preserve">$</w:t>
      </w:r>
      <w:r>
        <w:rPr>
          <w:rStyle w:val="NormalTok"/>
        </w:rPr>
        <w:t xml:space="preserve">dismissed)</w:t>
      </w:r>
      <w:r>
        <w:br/>
      </w:r>
      <w:r>
        <w:rPr>
          <w:rStyle w:val="NormalTok"/>
        </w:rPr>
        <w:t xml:space="preserve">total_py </w:t>
      </w:r>
      <w:r>
        <w:rPr>
          <w:rStyle w:val="OtherTok"/>
        </w:rPr>
        <w:t xml:space="preserve">&lt;-</w:t>
      </w:r>
      <w:r>
        <w:rPr>
          <w:rStyle w:val="NormalTok"/>
        </w:rPr>
        <w:t xml:space="preserve"> </w:t>
      </w:r>
      <w:r>
        <w:rPr>
          <w:rStyle w:val="FunctionTok"/>
        </w:rPr>
        <w:t xml:space="preserve">sum</w:t>
      </w:r>
      <w:r>
        <w:rPr>
          <w:rStyle w:val="NormalTok"/>
        </w:rPr>
        <w:t xml:space="preserve">(analysis</w:t>
      </w:r>
      <w:r>
        <w:rPr>
          <w:rStyle w:val="SpecialCharTok"/>
        </w:rPr>
        <w:t xml:space="preserve">$</w:t>
      </w:r>
      <w:r>
        <w:rPr>
          <w:rStyle w:val="NormalTok"/>
        </w:rPr>
        <w:t xml:space="preserve">tenure_years)</w:t>
      </w:r>
      <w:r>
        <w:br/>
      </w:r>
      <w:r>
        <w:rPr>
          <w:rStyle w:val="NormalTok"/>
        </w:rPr>
        <w:t xml:space="preserve">minister_career_rate </w:t>
      </w:r>
      <w:r>
        <w:rPr>
          <w:rStyle w:val="OtherTok"/>
        </w:rPr>
        <w:t xml:space="preserve">&lt;-</w:t>
      </w:r>
      <w:r>
        <w:rPr>
          <w:rStyle w:val="NormalTok"/>
        </w:rPr>
        <w:t xml:space="preserve"> (total_events </w:t>
      </w:r>
      <w:r>
        <w:rPr>
          <w:rStyle w:val="SpecialCharTok"/>
        </w:rPr>
        <w:t xml:space="preserve">/</w:t>
      </w:r>
      <w:r>
        <w:rPr>
          <w:rStyle w:val="NormalTok"/>
        </w:rPr>
        <w:t xml:space="preserve"> total_py) </w:t>
      </w:r>
      <w:r>
        <w:rPr>
          <w:rStyle w:val="SpecialCharTok"/>
        </w:rPr>
        <w:t xml:space="preserve">*</w:t>
      </w:r>
      <w:r>
        <w:rPr>
          <w:rStyle w:val="NormalTok"/>
        </w:rPr>
        <w:t xml:space="preserve"> </w:t>
      </w:r>
      <w:r>
        <w:rPr>
          <w:rStyle w:val="DecValTok"/>
        </w:rPr>
        <w:t xml:space="preserve">100000</w:t>
      </w:r>
      <w:r>
        <w:br/>
      </w:r>
      <w:r>
        <w:rPr>
          <w:rStyle w:val="NormalTok"/>
        </w:rPr>
        <w:t xml:space="preserve">ratio_vs_fishing </w:t>
      </w:r>
      <w:r>
        <w:rPr>
          <w:rStyle w:val="OtherTok"/>
        </w:rPr>
        <w:t xml:space="preserve">&lt;-</w:t>
      </w:r>
      <w:r>
        <w:rPr>
          <w:rStyle w:val="NormalTok"/>
        </w:rPr>
        <w:t xml:space="preserve"> minister_career_rate </w:t>
      </w:r>
      <w:r>
        <w:rPr>
          <w:rStyle w:val="SpecialCharTok"/>
        </w:rPr>
        <w:t xml:space="preserve">/</w:t>
      </w:r>
      <w:r>
        <w:rPr>
          <w:rStyle w:val="NormalTok"/>
        </w:rPr>
        <w:t xml:space="preserve"> </w:t>
      </w:r>
      <w:r>
        <w:rPr>
          <w:rStyle w:val="DecValTok"/>
        </w:rPr>
        <w:t xml:space="preserve">145</w:t>
      </w:r>
      <w:r>
        <w:br/>
      </w:r>
      <w:r>
        <w:rPr>
          <w:rStyle w:val="NormalTok"/>
        </w:rPr>
        <w:t xml:space="preserve">fishing_premium </w:t>
      </w:r>
      <w:r>
        <w:rPr>
          <w:rStyle w:val="OtherTok"/>
        </w:rPr>
        <w:t xml:space="preserve">&lt;-</w:t>
      </w:r>
      <w:r>
        <w:rPr>
          <w:rStyle w:val="NormalTok"/>
        </w:rPr>
        <w:t xml:space="preserve"> </w:t>
      </w:r>
      <w:r>
        <w:rPr>
          <w:rStyle w:val="DecValTok"/>
        </w:rPr>
        <w:t xml:space="preserve">20000</w:t>
      </w:r>
      <w:r>
        <w:rPr>
          <w:rStyle w:val="NormalTok"/>
        </w:rPr>
        <w:t xml:space="preserve"> </w:t>
      </w:r>
      <w:r>
        <w:rPr>
          <w:rStyle w:val="CommentTok"/>
        </w:rPr>
        <w:t xml:space="preserve"># USD</w:t>
      </w:r>
      <w:r>
        <w:br/>
      </w:r>
      <w:r>
        <w:rPr>
          <w:rStyle w:val="NormalTok"/>
        </w:rPr>
        <w:t xml:space="preserve">implied_premium </w:t>
      </w:r>
      <w:r>
        <w:rPr>
          <w:rStyle w:val="OtherTok"/>
        </w:rPr>
        <w:t xml:space="preserve">&lt;-</w:t>
      </w:r>
      <w:r>
        <w:rPr>
          <w:rStyle w:val="NormalTok"/>
        </w:rPr>
        <w:t xml:space="preserve"> fishing_premium </w:t>
      </w:r>
      <w:r>
        <w:rPr>
          <w:rStyle w:val="SpecialCharTok"/>
        </w:rPr>
        <w:t xml:space="preserve">*</w:t>
      </w:r>
      <w:r>
        <w:rPr>
          <w:rStyle w:val="NormalTok"/>
        </w:rPr>
        <w:t xml:space="preserve"> ratio_vs_fishing</w:t>
      </w:r>
      <w:r>
        <w:br/>
      </w:r>
      <w:r>
        <w:rPr>
          <w:rStyle w:val="NormalTok"/>
        </w:rPr>
        <w:t xml:space="preserve">current_salary_usd </w:t>
      </w:r>
      <w:r>
        <w:rPr>
          <w:rStyle w:val="OtherTok"/>
        </w:rPr>
        <w:t xml:space="preserve">&lt;-</w:t>
      </w:r>
      <w:r>
        <w:rPr>
          <w:rStyle w:val="NormalTok"/>
        </w:rPr>
        <w:t xml:space="preserve"> </w:t>
      </w:r>
      <w:r>
        <w:rPr>
          <w:rStyle w:val="DecValTok"/>
        </w:rPr>
        <w:t xml:space="preserve">227000</w:t>
      </w:r>
      <w:r>
        <w:br/>
      </w:r>
      <w:r>
        <w:rPr>
          <w:rStyle w:val="NormalTok"/>
        </w:rPr>
        <w:t xml:space="preserve">coverage </w:t>
      </w:r>
      <w:r>
        <w:rPr>
          <w:rStyle w:val="OtherTok"/>
        </w:rPr>
        <w:t xml:space="preserve">&lt;-</w:t>
      </w:r>
      <w:r>
        <w:rPr>
          <w:rStyle w:val="NormalTok"/>
        </w:rPr>
        <w:t xml:space="preserve"> current_salary_usd </w:t>
      </w:r>
      <w:r>
        <w:rPr>
          <w:rStyle w:val="SpecialCharTok"/>
        </w:rPr>
        <w:t xml:space="preserve">/</w:t>
      </w:r>
      <w:r>
        <w:rPr>
          <w:rStyle w:val="NormalTok"/>
        </w:rPr>
        <w:t xml:space="preserve"> implied_premium</w:t>
      </w:r>
    </w:p>
    <w:p>
      <w:pPr>
        <w:pStyle w:val="FirstParagraph"/>
      </w:pPr>
      <w:r>
        <w:t xml:space="preserve">Danish ministers face an annual</w:t>
      </w:r>
      <w:r>
        <w:t xml:space="preserve"> </w:t>
      </w:r>
      <w:r>
        <w:t xml:space="preserve">“career mortality”</w:t>
      </w:r>
      <w:r>
        <w:t xml:space="preserve"> </w:t>
      </w:r>
      <w:r>
        <w:t xml:space="preserve">(dismissal) rate of 28,487 per 100,000 person-years—</w:t>
      </w:r>
      <w:r>
        <w:rPr>
          <w:b/>
          <w:bCs/>
        </w:rPr>
        <w:t xml:space="preserve">196 times higher</w:t>
      </w:r>
      <w:r>
        <w:t xml:space="preserve"> </w:t>
      </w:r>
      <w:r>
        <w:t xml:space="preserve">than the literal mortality of a commercial fisherman. By industry standards, this warrants an annual hazard premium of</w:t>
      </w:r>
      <w:r>
        <w:t xml:space="preserve"> </w:t>
      </w:r>
      <w:r>
        <w:rPr>
          <w:b/>
          <w:bCs/>
        </w:rPr>
        <w:t xml:space="preserve">$3,929,246</w:t>
      </w:r>
      <w:r>
        <w:t xml:space="preserve">.</w:t>
      </w:r>
    </w:p>
    <w:p>
      <w:r>
        <w:pict>
          <v:rect style="width:0;height:1.5pt" o:hralign="center" o:hrstd="t" o:hr="t"/>
        </w:pict>
      </w:r>
    </w:p>
    <w:bookmarkEnd w:id="18"/>
    <w:bookmarkEnd w:id="19"/>
    <w:bookmarkStart w:id="23" w:name="discussion"/>
    <w:p>
      <w:pPr>
        <w:pStyle w:val="Heading1"/>
      </w:pPr>
      <w:r>
        <w:t xml:space="preserve">Discussion</w:t>
      </w:r>
    </w:p>
    <w:bookmarkStart w:id="20" w:name="principal-findings"/>
    <w:p>
      <w:pPr>
        <w:pStyle w:val="Heading2"/>
      </w:pPr>
      <w:r>
        <w:t xml:space="preserve">Principal Findings</w:t>
      </w:r>
    </w:p>
    <w:p>
      <w:pPr>
        <w:pStyle w:val="FirstParagraph"/>
      </w:pPr>
      <w:r>
        <w:t xml:space="preserve">Danish Prime Ministers of the mid-20th century were occupants of the most dangerous seat in the nation, likely due to a combination of wartime stress, Cold War tensions, and a lack of heart-healthy pastries. In more recent decades, the hazard has evolved into</w:t>
      </w:r>
      <w:r>
        <w:t xml:space="preserve"> </w:t>
      </w:r>
      <w:r>
        <w:t xml:space="preserve">“career death,”</w:t>
      </w:r>
      <w:r>
        <w:t xml:space="preserve"> </w:t>
      </w:r>
      <w:r>
        <w:t xml:space="preserve">where Tax Ministers face a suggestive (though not corrected-significant) 52% higher risk of mid-term termination.</w:t>
      </w:r>
    </w:p>
    <w:bookmarkEnd w:id="20"/>
    <w:bookmarkStart w:id="21" w:name="the-kritiskansen-caveat"/>
    <w:p>
      <w:pPr>
        <w:pStyle w:val="Heading2"/>
      </w:pPr>
      <w:r>
        <w:t xml:space="preserve">The</w:t>
      </w:r>
      <w:r>
        <w:t xml:space="preserve"> </w:t>
      </w:r>
      <w:r>
        <w:t xml:space="preserve">‘Kritiskansen’</w:t>
      </w:r>
      <w:r>
        <w:t xml:space="preserve"> </w:t>
      </w:r>
      <w:r>
        <w:t xml:space="preserve">Caveat</w:t>
      </w:r>
    </w:p>
    <w:p>
      <w:pPr>
        <w:pStyle w:val="FirstParagraph"/>
      </w:pPr>
      <w:r>
        <w:t xml:space="preserve">As noted by our rigorous peer reviewer Dr. Kritiskansen, one must be wary of</w:t>
      </w:r>
      <w:r>
        <w:t xml:space="preserve"> </w:t>
      </w:r>
      <w:r>
        <w:t xml:space="preserve">“p-hacking”</w:t>
      </w:r>
      <w:r>
        <w:t xml:space="preserve"> </w:t>
      </w:r>
      <w:r>
        <w:t xml:space="preserve">the political landscape. When correcting for the multiple comparisons inherent in testing every portfolio, the</w:t>
      </w:r>
      <w:r>
        <w:t xml:space="preserve"> </w:t>
      </w:r>
      <w:r>
        <w:t xml:space="preserve">“curse”</w:t>
      </w:r>
      <w:r>
        <w:t xml:space="preserve"> </w:t>
      </w:r>
      <w:r>
        <w:t xml:space="preserve">of the Tax Minister loses its statistical luster. However, in the spirit of the Christmas issue, we argue that a p-value of 0.06 is like a near-miss on a foggy highway: technically safe, but enough to make one consider a different career path (perhaps something safer, like logging or deep-sea diving).</w:t>
      </w:r>
    </w:p>
    <w:bookmarkEnd w:id="21"/>
    <w:bookmarkStart w:id="22" w:name="limitations"/>
    <w:p>
      <w:pPr>
        <w:pStyle w:val="Heading2"/>
      </w:pPr>
      <w:r>
        <w:t xml:space="preserve">Limitations</w:t>
      </w:r>
    </w:p>
    <w:p>
      <w:pPr>
        <w:pStyle w:val="FirstParagraph"/>
      </w:pPr>
      <w:r>
        <w:t xml:space="preserve">Our study assumes a parity between</w:t>
      </w:r>
      <w:r>
        <w:t xml:space="preserve"> </w:t>
      </w:r>
      <w:r>
        <w:t xml:space="preserve">“fired”</w:t>
      </w:r>
      <w:r>
        <w:t xml:space="preserve"> </w:t>
      </w:r>
      <w:r>
        <w:t xml:space="preserve">and</w:t>
      </w:r>
      <w:r>
        <w:t xml:space="preserve"> </w:t>
      </w:r>
      <w:r>
        <w:t xml:space="preserve">“deceased”</w:t>
      </w:r>
      <w:r>
        <w:t xml:space="preserve"> </w:t>
      </w:r>
      <w:r>
        <w:t xml:space="preserve">that might not be felt at the bank, though it is certainly felt at the ballot box. Small sample sizes for individual portfolios (n=26 for Tax Ministers) produce wide confidence intervals.</w:t>
      </w:r>
    </w:p>
    <w:p>
      <w:r>
        <w:pict>
          <v:rect style="width:0;height:1.5pt" o:hralign="center" o:hrstd="t" o:hr="t"/>
        </w:pict>
      </w:r>
    </w:p>
    <w:bookmarkEnd w:id="22"/>
    <w:bookmarkEnd w:id="23"/>
    <w:bookmarkStart w:id="24" w:name="conclusions"/>
    <w:p>
      <w:pPr>
        <w:pStyle w:val="Heading1"/>
      </w:pPr>
      <w:r>
        <w:t xml:space="preserve">Conclusions</w:t>
      </w:r>
    </w:p>
    <w:p>
      <w:pPr>
        <w:pStyle w:val="FirstParagraph"/>
      </w:pPr>
      <w:r>
        <w:t xml:space="preserve">The Danish cabinet remains a high-hazard workplace. We recommend:</w:t>
      </w:r>
      <w:r>
        <w:t xml:space="preserve"> </w:t>
      </w:r>
      <w:r>
        <w:t xml:space="preserve">1.</w:t>
      </w:r>
      <w:r>
        <w:t xml:space="preserve"> </w:t>
      </w:r>
      <w:r>
        <w:rPr>
          <w:b/>
          <w:bCs/>
        </w:rPr>
        <w:t xml:space="preserve">Immediate Hazard Pay</w:t>
      </w:r>
      <w:r>
        <w:t xml:space="preserve">: Increasing ministerial salaries to at least $1 million/year to achieve parity with the fishing industry.</w:t>
      </w:r>
      <w:r>
        <w:t xml:space="preserve"> </w:t>
      </w:r>
      <w:r>
        <w:t xml:space="preserve">2.</w:t>
      </w:r>
      <w:r>
        <w:t xml:space="preserve"> </w:t>
      </w:r>
      <w:r>
        <w:rPr>
          <w:b/>
          <w:bCs/>
        </w:rPr>
        <w:t xml:space="preserve">Stress Management</w:t>
      </w:r>
      <w:r>
        <w:t xml:space="preserve">: Mandatory meditation for Prime Ministers and anti-scandal inoculations for Tax Ministers.</w:t>
      </w:r>
      <w:r>
        <w:t xml:space="preserve"> </w:t>
      </w:r>
      <w:r>
        <w:t xml:space="preserve">3.</w:t>
      </w:r>
      <w:r>
        <w:t xml:space="preserve"> </w:t>
      </w:r>
      <w:r>
        <w:rPr>
          <w:b/>
          <w:bCs/>
        </w:rPr>
        <w:t xml:space="preserve">Transparency</w:t>
      </w:r>
      <w:r>
        <w:t xml:space="preserve">: Explicitly warning aspiring Tax Ministers that their</w:t>
      </w:r>
      <w:r>
        <w:t xml:space="preserve"> </w:t>
      </w:r>
      <w:r>
        <w:t xml:space="preserve">“career life expectancy”</w:t>
      </w:r>
      <w:r>
        <w:t xml:space="preserve"> </w:t>
      </w:r>
      <w:r>
        <w:t xml:space="preserve">is suggestive of a shortened tenure.</w:t>
      </w:r>
    </w:p>
    <w:p>
      <w:r>
        <w:pict>
          <v:rect style="width:0;height:1.5pt" o:hralign="center" o:hrstd="t" o:hr="t"/>
        </w:pict>
      </w:r>
    </w:p>
    <w:bookmarkEnd w:id="24"/>
    <w:bookmarkStart w:id="27" w:name="references"/>
    <w:p>
      <w:pPr>
        <w:pStyle w:val="Heading1"/>
      </w:pPr>
      <w:r>
        <w:t xml:space="preserve">References</w:t>
      </w:r>
    </w:p>
    <w:p>
      <w:pPr>
        <w:pStyle w:val="Compact"/>
        <w:numPr>
          <w:ilvl w:val="0"/>
          <w:numId w:val="1002"/>
        </w:numPr>
      </w:pPr>
      <w:r>
        <w:t xml:space="preserve">Bureau of Labor Statistics. Census of Fatal Occupational Injuries Summary, 2023. Washington, DC: US Department of Labor, 2024.</w:t>
      </w:r>
    </w:p>
    <w:p>
      <w:pPr>
        <w:pStyle w:val="Compact"/>
        <w:numPr>
          <w:ilvl w:val="0"/>
          <w:numId w:val="1002"/>
        </w:numPr>
      </w:pPr>
      <w:r>
        <w:t xml:space="preserve">Clarke PM, Schluter PJ, Grayson M, et al. The comparative mortality of an elite group in the long run of history: an observational analysis of politicians from 11 countries.</w:t>
      </w:r>
      <w:r>
        <w:t xml:space="preserve"> </w:t>
      </w:r>
      <w:r>
        <w:rPr>
          <w:i/>
          <w:iCs/>
        </w:rPr>
        <w:t xml:space="preserve">Eur J Epidemiol</w:t>
      </w:r>
      <w:r>
        <w:t xml:space="preserve"> </w:t>
      </w:r>
      <w:r>
        <w:t xml:space="preserve">2022;37:1-9.</w:t>
      </w:r>
    </w:p>
    <w:p>
      <w:pPr>
        <w:pStyle w:val="Compact"/>
        <w:numPr>
          <w:ilvl w:val="0"/>
          <w:numId w:val="1002"/>
        </w:numPr>
      </w:pPr>
      <w:r>
        <w:t xml:space="preserve">Olenski AR, Abola MV, Jena AB. Do heads of government age more quickly? Observational study comparing mortality between elected leaders and runners-up in national elections of 17 countries.</w:t>
      </w:r>
      <w:r>
        <w:t xml:space="preserve"> </w:t>
      </w:r>
      <w:r>
        <w:rPr>
          <w:i/>
          <w:iCs/>
        </w:rPr>
        <w:t xml:space="preserve">BMJ</w:t>
      </w:r>
      <w:r>
        <w:t xml:space="preserve"> </w:t>
      </w:r>
      <w:r>
        <w:t xml:space="preserve">2015;351:h6424.</w:t>
      </w:r>
    </w:p>
    <w:p>
      <w:pPr>
        <w:pStyle w:val="Compact"/>
        <w:numPr>
          <w:ilvl w:val="0"/>
          <w:numId w:val="1002"/>
        </w:numPr>
      </w:pPr>
      <w:r>
        <w:t xml:space="preserve">Statistics Denmark. Life tables, 2023. Copenhagen: Statistics Denmark, 2024.</w:t>
      </w:r>
    </w:p>
    <w:p>
      <w:pPr>
        <w:pStyle w:val="Compact"/>
        <w:numPr>
          <w:ilvl w:val="0"/>
          <w:numId w:val="1002"/>
        </w:numPr>
      </w:pPr>
      <w:r>
        <w:t xml:space="preserve">Bureau of Labor Statistics. Injuries, Illnesses, and Fatalities. Available at:</w:t>
      </w:r>
      <w:r>
        <w:t xml:space="preserve"> </w:t>
      </w:r>
      <w:hyperlink r:id="rId25">
        <w:r>
          <w:rPr>
            <w:rStyle w:val="Hyperlink"/>
          </w:rPr>
          <w:t xml:space="preserve">https://www.bls.gov/iif/</w:t>
        </w:r>
      </w:hyperlink>
    </w:p>
    <w:p>
      <w:pPr>
        <w:pStyle w:val="Compact"/>
        <w:numPr>
          <w:ilvl w:val="0"/>
          <w:numId w:val="1002"/>
        </w:numPr>
      </w:pPr>
      <w:r>
        <w:t xml:space="preserve">Kniesner TJ, Viscusi WK. The value of a statistical life.</w:t>
      </w:r>
      <w:r>
        <w:t xml:space="preserve"> </w:t>
      </w:r>
      <w:r>
        <w:rPr>
          <w:i/>
          <w:iCs/>
        </w:rPr>
        <w:t xml:space="preserve">Vanderbilt Law Research Paper</w:t>
      </w:r>
      <w:r>
        <w:t xml:space="preserve"> </w:t>
      </w:r>
      <w:r>
        <w:t xml:space="preserve">2019;19-15.</w:t>
      </w:r>
    </w:p>
    <w:p>
      <w:pPr>
        <w:pStyle w:val="Compact"/>
        <w:numPr>
          <w:ilvl w:val="0"/>
          <w:numId w:val="1002"/>
        </w:numPr>
      </w:pPr>
      <w:r>
        <w:t xml:space="preserve">Statistics Denmark. StatBank Denmark - Government cabinets and ministers. Available at:</w:t>
      </w:r>
      <w:r>
        <w:t xml:space="preserve"> </w:t>
      </w:r>
      <w:hyperlink r:id="rId26">
        <w:r>
          <w:rPr>
            <w:rStyle w:val="Hyperlink"/>
          </w:rPr>
          <w:t xml:space="preserve">https://www.statbank.dk/</w:t>
        </w:r>
      </w:hyperlink>
    </w:p>
    <w:p>
      <w:pPr>
        <w:pStyle w:val="Compact"/>
        <w:numPr>
          <w:ilvl w:val="0"/>
          <w:numId w:val="1002"/>
        </w:numPr>
      </w:pPr>
      <w:r>
        <w:t xml:space="preserve">WhoGov Dataset: A global dataset on cabinet members, 1966–2021.</w:t>
      </w:r>
    </w:p>
    <w:p>
      <w:r>
        <w:pict>
          <v:rect style="width:0;height:1.5pt" o:hralign="center" o:hrstd="t" o:hr="t"/>
        </w:pict>
      </w:r>
    </w:p>
    <w:p>
      <w:pPr>
        <w:pStyle w:val="FirstParagraph"/>
      </w:pPr>
      <w:r>
        <w:rPr>
          <w:i/>
          <w:iCs/>
        </w:rPr>
        <w:t xml:space="preserve">Author’s Note: We have addressed the concerns of Reviewer 2 regarding multiple testing and tempered our conclusions. We have also included the Prime Minister (Statsminister) in our hazard benchmarks. Any remaining errors are likely due to the inherent instability of the political environment.</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5" Target="https://www.bls.gov/iif/" TargetMode="External" /><Relationship Type="http://schemas.openxmlformats.org/officeDocument/2006/relationships/hyperlink" Id="rId26" Target="https://www.statbank.dk/" TargetMode="External" /></Relationships>
</file>

<file path=word/_rels/footnotes.xml.rels><?xml version="1.0" encoding="UTF-8"?><Relationships xmlns="http://schemas.openxmlformats.org/package/2006/relationships"><Relationship Type="http://schemas.openxmlformats.org/officeDocument/2006/relationships/hyperlink" Id="rId25" Target="https://www.bls.gov/iif/" TargetMode="External" /><Relationship Type="http://schemas.openxmlformats.org/officeDocument/2006/relationships/hyperlink" Id="rId26" Target="https://www.statbank.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POLITICS KILLS: an epidemiological enquiry into the mortality of Danish cabinet ministers</dc:title>
  <dc:creator/>
  <cp:keywords/>
  <dcterms:created xsi:type="dcterms:W3CDTF">2026-03-24T12:50:32Z</dcterms:created>
  <dcterms:modified xsi:type="dcterms:W3CDTF">2026-03-24T12:50:32Z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marts 2026</vt:lpwstr>
  </property>
  <property fmtid="{D5CDD505-2E9C-101B-9397-08002B2CF9AE}" pid="3" name="output">
    <vt:lpwstr/>
  </property>
  <property fmtid="{D5CDD505-2E9C-101B-9397-08002B2CF9AE}" pid="4" name="subtitle">
    <vt:lpwstr>Suggestive evidence for a ‘Skatteminister Syndrome’ and the literal mortality of leadership</vt:lpwstr>
  </property>
</Properties>
</file>