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 and assessing whether political mortality correlates with literal mortality.</w:t>
      </w:r>
      <w:r>
        <w:br/>
      </w:r>
      <w:r>
        <w:rPr>
          <w:b/>
          <w:bCs/>
        </w:rPr>
        <w:t xml:space="preserve">Design</w:t>
      </w:r>
      <w:r>
        <w:t xml:space="preserve">: Retrospective actuarial cohort survival analysis.</w:t>
      </w:r>
      <w:r>
        <w:br/>
      </w:r>
      <w:r>
        <w:rPr>
          <w:b/>
          <w:bCs/>
        </w:rPr>
        <w:t xml:space="preserve">Setting</w:t>
      </w:r>
      <w:r>
        <w:t xml:space="preserve">: The Danish Parliament (Folketinget) 1945-2022, and pan-European cabinet data.</w:t>
      </w:r>
      <w:r>
        <w:br/>
      </w:r>
      <w:r>
        <w:rPr>
          <w:b/>
          <w:bCs/>
        </w:rPr>
        <w:t xml:space="preserve">Participants</w:t>
      </w:r>
      <w:r>
        <w:t xml:space="preserve">: A total of 896 Danish cabinet minister appointments, and 351 international ministers.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 and literal lifespan (years from birth to death or right-censoring).</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(HR 2.23, 95% CI 1.2 to 4.13, p = 0.011). In a pan-European comparison, the Netherlands exhibited the highest political mortality rate (27.5% termination rate), while Denmark remained relatively stable (16.7%). Analyzing literal mortality across Europe, Danish ministers demonstrate an exceptional overall median lifespan of 86.8 years, outliving several comparable European cohorts, most notably in Southern Europe.</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However, in a broader European context, Danish ministers are both politically and biologically resilient. The profound political mortality in Denmark does not translate to premature biological death, highlighting the remarkable resilience of the Danish politician when detached from the nation’s railway network.</w:t>
      </w:r>
    </w:p>
    <w:bookmarkEnd w:id="9"/>
    <w:bookmarkStart w:id="12"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(p=0.47),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10"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10"/>
    <w:bookmarkStart w:id="11" w:name="what-this-study-adds"/>
    <w:p>
      <w:pPr>
        <w:pStyle w:val="Heading3"/>
      </w:pPr>
      <w:r>
        <w:rPr>
          <w:b/>
          <w:bCs/>
        </w:rPr>
        <w:t xml:space="preserve">What this study adds</w:t>
      </w:r>
    </w:p>
    <w:p>
      <w:pPr>
        <w:pStyle w:val="Compact"/>
        <w:numPr>
          <w:ilvl w:val="0"/>
          <w:numId w:val="1002"/>
        </w:numPr>
      </w:pPr>
      <w:r>
        <w:t xml:space="preserve">Serving as Minister of Transport in Denmark more than doubles the hazard of early career termination (HR 2.23, p=0.011).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11"/>
    <w:bookmarkEnd w:id="12"/>
    <w:bookmarkStart w:id="17" w:name="methods"/>
    <w:p>
      <w:pPr>
        <w:pStyle w:val="Heading1"/>
      </w:pPr>
      <w:r>
        <w:t xml:space="preserve">Methods</w:t>
      </w:r>
    </w:p>
    <w:bookmarkStart w:id="13"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Transport) across major European nations (e.g., UK, Germany, France, Italy, Spain, Netherlands, Norway, Sweden).</w:t>
      </w:r>
    </w:p>
    <w:bookmarkEnd w:id="13"/>
    <w:bookmarkStart w:id="14"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government. We excluded appointments with nonsensical date boundaries. For the biological lifespan analysis, ministers were required to have a mathematically verifiable date of birth, filtering out individuals erroneously parsed with birth dates yielding an age of 0 years.</w:t>
      </w:r>
    </w:p>
    <w:bookmarkEnd w:id="14"/>
    <w:bookmarkStart w:id="15"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 the</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Health, etc.).</w:t>
      </w:r>
    </w:p>
    <w:p>
      <w:pPr>
        <w:pStyle w:val="BodyText"/>
      </w:pPr>
      <w:r>
        <w:t xml:space="preserve">The primary political endpoint, termed</w:t>
      </w:r>
      <w:r>
        <w:t xml:space="preserve"> </w:t>
      </w:r>
      <w:r>
        <w:t xml:space="preserve">“Career Termination,”</w:t>
      </w:r>
      <w:r>
        <w:t xml:space="preserve"> </w:t>
      </w:r>
      <w:r>
        <w:t xml:space="preserve">was defined as a minister exiting their post</w:t>
      </w:r>
      <w:r>
        <w:t xml:space="preserve"> </w:t>
      </w:r>
      <w:r>
        <w:rPr>
          <w:i/>
          <w:iCs/>
        </w:rPr>
        <w:t xml:space="preserve">before</w:t>
      </w:r>
      <w:r>
        <w:t xml:space="preserve"> </w:t>
      </w:r>
      <w:r>
        <w:t xml:space="preserve">the encompassing government either called a general election or fundamentally reconstituted itself. Exits coinciding with the structural end of a government were statistically censored.</w:t>
      </w:r>
    </w:p>
    <w:p>
      <w:pPr>
        <w:pStyle w:val="BodyText"/>
      </w:pPr>
      <w:r>
        <w:t xml:space="preserve">The secondary biological endpoint was literal mortality, calculated as the lifespan in years from birth to death. Living ministers were right-censored to the present date.</w:t>
      </w:r>
    </w:p>
    <w:bookmarkEnd w:id="15"/>
    <w:bookmarkStart w:id="16" w:name="statistical-analysis"/>
    <w:p>
      <w:pPr>
        <w:pStyle w:val="Heading2"/>
      </w:pPr>
      <w:r>
        <w:t xml:space="preserve">Statistical Analysis</w:t>
      </w:r>
    </w:p>
    <w:p>
      <w:pPr>
        <w:pStyle w:val="FirstParagraph"/>
      </w:pPr>
      <w:r>
        <w:t xml:space="preserve">Kaplan-Meier survival curves were constructed to visually assess both the occupational longevity of Transport Ministers and the biological longevity of European ministers. Multivariable Cox proportional hazards regression was employed to calculate hazard ratios (HR). Models for career survival were adjusted for the prevailing political bloc and historical era. Statistical significance was designated at p &lt; 0.05. All analyses were conducted in R version 4.5.1.</w:t>
      </w:r>
    </w:p>
    <w:bookmarkEnd w:id="16"/>
    <w:bookmarkEnd w:id="17"/>
    <w:bookmarkStart w:id="32"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biological cohort comprised 351 ministers, with 300 recorded deaths.</w:t>
      </w:r>
    </w:p>
    <w:bookmarkStart w:id="19" w:name="international-comparison"/>
    <w:p>
      <w:pPr>
        <w:pStyle w:val="Heading2"/>
      </w:pPr>
      <w:r>
        <w:t xml:space="preserve">International Comparison</w:t>
      </w:r>
    </w:p>
    <w:p>
      <w:pPr>
        <w:pStyle w:val="FirstParagraph"/>
      </w:pPr>
      <w:r>
        <w:t xml:space="preserve">Across the analyzed European nations, we observed significant variance in political stability (</w:t>
      </w:r>
      <w:r>
        <w:rPr>
          <w:i/>
          <w:iCs/>
        </w:rPr>
        <w:t xml:space="preserve">Table 1</w:t>
      </w:r>
      <w:r>
        <w:t xml:space="preserve">). The Netherlands and the United Kingdom exhibited the highest rates of early career termination, with approximately 27% of ministerial appointments ending prematurely. Denmark, by contrast, appears to be a haven of political longevity, with only 16.7% of appointments ending early.</w:t>
      </w:r>
    </w:p>
    <w:p>
      <w:pPr>
        <w:pStyle w:val="BodyText"/>
      </w:pPr>
      <w:r>
        <w:t xml:space="preserve">Biological survival also showed distinct geographic patterns. Ministers in Germany and Denmark achieved the highest median lifespans (&gt;86 years), while their counterparts in Greece and Spain faced significantly shorter biological horizons (median &lt;80 years). Notably,</w:t>
      </w:r>
      <w:r>
        <w:t xml:space="preserve"> </w:t>
      </w:r>
      <w:r>
        <w:t xml:space="preserve">“Death in Office”</w:t>
      </w:r>
      <w:r>
        <w:t xml:space="preserve"> </w:t>
      </w:r>
      <w:r>
        <w:t xml:space="preserve">(dying while actively serving) was a rare event across all cohorts. France recorded the highest incidence with 3 such cases, followed by the Netherlands (2), while Denmark, the UK, Germany, Spain, and Sweden recorded zero deaths in office within our study period (</w:t>
      </w:r>
      <w:r>
        <w:rPr>
          <w:i/>
          <w:iCs/>
        </w:rPr>
        <w:t xml:space="preserve">Table 1</w:t>
      </w:r>
      <w:r>
        <w:t xml:space="preserve">).</w:t>
      </w:r>
    </w:p>
    <w:bookmarkStart w:id="18" w:name="X989b3fd4fa599c5a8b2ec06589fb6b64a9bc0b3"/>
    <w:p>
      <w:pPr>
        <w:pStyle w:val="Heading3"/>
      </w:pPr>
      <w:r>
        <w:t xml:space="preserve">Table 1. Cross-Country Analysis of Ministerial Survival</w:t>
      </w:r>
    </w:p>
    <w:tbl>
      <w:tblPr>
        <w:tblStyle w:val="Table"/>
        <w:tblW w:type="pct" w:w="5000"/>
        <w:tblLayout w:type="fixed"/>
        <w:tblLook w:firstRow="1" w:lastRow="0" w:firstColumn="0" w:lastColumn="0" w:noHBand="0" w:noVBand="0" w:val="0020"/>
      </w:tblPr>
      <w:tblGrid>
        <w:gridCol w:w="1224"/>
        <w:gridCol w:w="816"/>
        <w:gridCol w:w="816"/>
        <w:gridCol w:w="1306"/>
        <w:gridCol w:w="816"/>
        <w:gridCol w:w="816"/>
        <w:gridCol w:w="1224"/>
        <w:gridCol w:w="898"/>
      </w:tblGrid>
      <w:tr>
        <w:trPr>
          <w:tblHeader w:val="on"/>
        </w:trPr>
        <w:tc>
          <w:tcPr/>
          <w:p>
            <w:pPr>
              <w:pStyle w:val="Compact"/>
              <w:jc w:val="left"/>
            </w:pPr>
            <w:r>
              <w:t xml:space="preserve">Country</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Died Office (N)</w:t>
            </w:r>
          </w:p>
        </w:tc>
        <w:tc>
          <w:tcPr/>
          <w:p>
            <w:pPr>
              <w:pStyle w:val="Compact"/>
              <w:jc w:val="right"/>
            </w:pPr>
            <w:r>
              <w:t xml:space="preserve">Fired (%)</w:t>
            </w:r>
          </w:p>
        </w:tc>
        <w:tc>
          <w:tcPr/>
          <w:p>
            <w:pPr>
              <w:pStyle w:val="Compact"/>
              <w:jc w:val="right"/>
            </w:pPr>
            <w:r>
              <w:t xml:space="preserve">Indiv (N)</w:t>
            </w:r>
          </w:p>
        </w:tc>
        <w:tc>
          <w:tcPr/>
          <w:p>
            <w:pPr>
              <w:pStyle w:val="Compact"/>
              <w:jc w:val="right"/>
            </w:pPr>
            <w:r>
              <w:t xml:space="preserve">Dead Total (N)</w:t>
            </w:r>
          </w:p>
        </w:tc>
        <w:tc>
          <w:tcPr/>
          <w:p>
            <w:pPr>
              <w:pStyle w:val="Compact"/>
              <w:jc w:val="right"/>
            </w:pPr>
            <w:r>
              <w:t xml:space="preserve">Median Age</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2</w:t>
            </w:r>
          </w:p>
        </w:tc>
        <w:tc>
          <w:tcPr/>
          <w:p>
            <w:pPr>
              <w:pStyle w:val="Compact"/>
              <w:jc w:val="right"/>
            </w:pPr>
            <w:r>
              <w:t xml:space="preserve">27.5</w:t>
            </w:r>
          </w:p>
        </w:tc>
        <w:tc>
          <w:tcPr/>
          <w:p>
            <w:pPr>
              <w:pStyle w:val="Compact"/>
              <w:jc w:val="right"/>
            </w:pPr>
            <w:r>
              <w:t xml:space="preserve">33</w:t>
            </w:r>
          </w:p>
        </w:tc>
        <w:tc>
          <w:tcPr/>
          <w:p>
            <w:pPr>
              <w:pStyle w:val="Compact"/>
              <w:jc w:val="right"/>
            </w:pPr>
            <w:r>
              <w:t xml:space="preserve">33</w:t>
            </w:r>
          </w:p>
        </w:tc>
        <w:tc>
          <w:tcPr/>
          <w:p>
            <w:pPr>
              <w:pStyle w:val="Compact"/>
              <w:jc w:val="right"/>
            </w:pPr>
            <w:r>
              <w:t xml:space="preserve">82.5</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0</w:t>
            </w:r>
          </w:p>
        </w:tc>
        <w:tc>
          <w:tcPr/>
          <w:p>
            <w:pPr>
              <w:pStyle w:val="Compact"/>
              <w:jc w:val="right"/>
            </w:pPr>
            <w:r>
              <w:t xml:space="preserve">27.1</w:t>
            </w:r>
          </w:p>
        </w:tc>
        <w:tc>
          <w:tcPr/>
          <w:p>
            <w:pPr>
              <w:pStyle w:val="Compact"/>
              <w:jc w:val="right"/>
            </w:pPr>
            <w:r>
              <w:t xml:space="preserve">34</w:t>
            </w:r>
          </w:p>
        </w:tc>
        <w:tc>
          <w:tcPr/>
          <w:p>
            <w:pPr>
              <w:pStyle w:val="Compact"/>
              <w:jc w:val="right"/>
            </w:pPr>
            <w:r>
              <w:t xml:space="preserve">31</w:t>
            </w:r>
          </w:p>
        </w:tc>
        <w:tc>
          <w:tcPr/>
          <w:p>
            <w:pPr>
              <w:pStyle w:val="Compact"/>
              <w:jc w:val="right"/>
            </w:pPr>
            <w:r>
              <w:t xml:space="preserve">84.6</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1</w:t>
            </w:r>
          </w:p>
        </w:tc>
        <w:tc>
          <w:tcPr/>
          <w:p>
            <w:pPr>
              <w:pStyle w:val="Compact"/>
              <w:jc w:val="right"/>
            </w:pPr>
            <w:r>
              <w:t xml:space="preserve">26.7</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79.5</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3</w:t>
            </w:r>
          </w:p>
        </w:tc>
        <w:tc>
          <w:tcPr/>
          <w:p>
            <w:pPr>
              <w:pStyle w:val="Compact"/>
              <w:jc w:val="right"/>
            </w:pPr>
            <w:r>
              <w:t xml:space="preserve">23.3</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79.7</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0</w:t>
            </w:r>
          </w:p>
        </w:tc>
        <w:tc>
          <w:tcPr/>
          <w:p>
            <w:pPr>
              <w:pStyle w:val="Compact"/>
              <w:jc w:val="right"/>
            </w:pPr>
            <w:r>
              <w:t xml:space="preserve">19.6</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77.7</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84.8</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18.4</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87.2</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1</w:t>
            </w:r>
          </w:p>
        </w:tc>
        <w:tc>
          <w:tcPr/>
          <w:p>
            <w:pPr>
              <w:pStyle w:val="Compact"/>
              <w:jc w:val="right"/>
            </w:pPr>
            <w:r>
              <w:t xml:space="preserve">18.4</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80.8</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0</w:t>
            </w:r>
          </w:p>
        </w:tc>
        <w:tc>
          <w:tcPr/>
          <w:p>
            <w:pPr>
              <w:pStyle w:val="Compact"/>
              <w:jc w:val="right"/>
            </w:pPr>
            <w:r>
              <w:t xml:space="preserve">16.7</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86.8</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1</w:t>
            </w:r>
          </w:p>
        </w:tc>
        <w:tc>
          <w:tcPr/>
          <w:p>
            <w:pPr>
              <w:pStyle w:val="Compact"/>
              <w:jc w:val="right"/>
            </w:pPr>
            <w:r>
              <w:t xml:space="preserve">7.3</w:t>
            </w:r>
          </w:p>
        </w:tc>
        <w:tc>
          <w:tcPr/>
          <w:p>
            <w:pPr>
              <w:pStyle w:val="Compact"/>
              <w:jc w:val="right"/>
            </w:pPr>
            <w:r>
              <w:t xml:space="preserve">61</w:t>
            </w:r>
          </w:p>
        </w:tc>
        <w:tc>
          <w:tcPr/>
          <w:p>
            <w:pPr>
              <w:pStyle w:val="Compact"/>
              <w:jc w:val="right"/>
            </w:pPr>
            <w:r>
              <w:t xml:space="preserve">56</w:t>
            </w:r>
          </w:p>
        </w:tc>
        <w:tc>
          <w:tcPr/>
          <w:p>
            <w:pPr>
              <w:pStyle w:val="Compact"/>
              <w:jc w:val="right"/>
            </w:pPr>
            <w:r>
              <w:t xml:space="preserve">80.5</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(Oct 9–10, 1922) in the Neergaard III government—a record for political brevity that remains unsurpassed in our cohort.</w:t>
      </w:r>
    </w:p>
    <w:bookmarkEnd w:id="18"/>
    <w:bookmarkEnd w:id="19"/>
    <w:bookmarkStart w:id="23"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w:t>
      </w:r>
      <w:r>
        <w:rPr>
          <w:i/>
          <w:iCs/>
        </w:rPr>
        <w:t xml:space="preserve">Figure 1</w:t>
      </w:r>
      <w:r>
        <w:t xml:space="preserve">). While ministers in other portfolios exhibited a gentle, predictable attrition rate, those tasked with the nation’s railways and roads experienced steep reductions in survival probability.</w:t>
      </w:r>
    </w:p>
    <w:p>
      <w:pPr>
        <w:pStyle w:val="CaptionedFigure"/>
      </w:pPr>
      <w:r>
        <w:drawing>
          <wp:inline>
            <wp:extent cx="5334000" cy="4000500"/>
            <wp:effectExtent b="0" l="0" r="0" t="0"/>
            <wp:docPr descr="Figure 1. Kaplan-Meier survival curves demonstrating the Transport Minister Curse. Transport Ministers face accelerated political mortality compared to their cabinet colleagues." title="" id="21" name="Picture"/>
            <a:graphic>
              <a:graphicData uri="http://schemas.openxmlformats.org/drawingml/2006/picture">
                <pic:pic>
                  <pic:nvPicPr>
                    <pic:cNvPr descr="figures/career_survival_plot-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1. Kaplan-Meier survival curves demonstrating the Transport Minister Curse.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 p = 0.011.</w:t>
      </w:r>
    </w:p>
    <w:bookmarkEnd w:id="23"/>
    <w:bookmarkStart w:id="31" w:name="literal-mortality-biological-survival"/>
    <w:p>
      <w:pPr>
        <w:pStyle w:val="Heading2"/>
      </w:pPr>
      <w:r>
        <w:t xml:space="preserve">Literal Mortality (Biological Survival)</w:t>
      </w:r>
    </w:p>
    <w:p>
      <w:pPr>
        <w:pStyle w:val="FirstParagraph"/>
      </w:pPr>
      <w:r>
        <w:t xml:space="preserve">Despite the profound hazards of political office, the literal lifespan of Danish cabinet ministers was exceptionally robust. As shown in</w:t>
      </w:r>
      <w:r>
        <w:t xml:space="preserve"> </w:t>
      </w:r>
      <w:r>
        <w:rPr>
          <w:i/>
          <w:iCs/>
        </w:rPr>
        <w:t xml:space="preserve">Figure 2</w:t>
      </w:r>
      <w:r>
        <w:t xml:space="preserve">, Danish ministers demonstrated a median biological lifespan of 86.8 years.</w:t>
      </w:r>
    </w:p>
    <w:p>
      <w:pPr>
        <w:pStyle w:val="CaptionedFigure"/>
      </w:pPr>
      <w:r>
        <w:drawing>
          <wp:inline>
            <wp:extent cx="5334000" cy="4000500"/>
            <wp:effectExtent b="0" l="0" r="0" t="0"/>
            <wp:docPr descr="Figure 2. Kaplan-Meier biological survival curves for cabinet ministers across Europe. Danish and German ministers show exceptional biological resilience." title="" id="25" name="Picture"/>
            <a:graphic>
              <a:graphicData uri="http://schemas.openxmlformats.org/drawingml/2006/picture">
                <pic:pic>
                  <pic:nvPicPr>
                    <pic:cNvPr descr="figures/literal_mortality_plot-1.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2. Kaplan-Meier biological survival curves for cabinet ministers across Europe. Danish and German ministers show exceptional biological resilience.</w:t>
      </w:r>
    </w:p>
    <w:bookmarkStart w:id="30" w:name="international-career-survival"/>
    <w:p>
      <w:pPr>
        <w:pStyle w:val="Heading3"/>
      </w:pPr>
      <w:r>
        <w:t xml:space="preserve">International Career Survival</w:t>
      </w:r>
    </w:p>
    <w:p>
      <w:pPr>
        <w:pStyle w:val="FirstParagraph"/>
      </w:pPr>
      <w:r>
        <w:t xml:space="preserve">When evaluating the risk of being fired (early termination) across all countries, we observe a shared European trend of post-reshuffle attrition, though the</w:t>
      </w:r>
      <w:r>
        <w:t xml:space="preserve"> </w:t>
      </w:r>
      <w:r>
        <w:t xml:space="preserve">“slope of failure”</w:t>
      </w:r>
      <w:r>
        <w:t xml:space="preserve"> </w:t>
      </w:r>
      <w:r>
        <w:t xml:space="preserve">is markedly steeper in the Netherlands and the UK compared to Italy and Denmark (</w:t>
      </w:r>
      <w:r>
        <w:rPr>
          <w:i/>
          <w:iCs/>
        </w:rPr>
        <w:t xml:space="preserve">Figure 3</w:t>
      </w:r>
      <w:r>
        <w:t xml:space="preserve">).</w:t>
      </w:r>
    </w:p>
    <w:p>
      <w:pPr>
        <w:pStyle w:val="CaptionedFigure"/>
      </w:pPr>
      <w:r>
        <w:drawing>
          <wp:inline>
            <wp:extent cx="5334000" cy="4000500"/>
            <wp:effectExtent b="0" l="0" r="0" t="0"/>
            <wp:docPr descr="Figure 3. International comparison of political career survival across 10 European nations." title="" id="28" name="Picture"/>
            <a:graphic>
              <a:graphicData uri="http://schemas.openxmlformats.org/drawingml/2006/picture">
                <pic:pic>
                  <pic:nvPicPr>
                    <pic:cNvPr descr="figures/career_survival_intl-1.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3. International comparison of political career survival across 10 European nations.</w:t>
      </w:r>
    </w:p>
    <w:bookmarkEnd w:id="30"/>
    <w:bookmarkEnd w:id="31"/>
    <w:bookmarkEnd w:id="32"/>
    <w:bookmarkStart w:id="37" w:name="discussion"/>
    <w:p>
      <w:pPr>
        <w:pStyle w:val="Heading1"/>
      </w:pPr>
      <w:r>
        <w:t xml:space="preserve">Discussion</w:t>
      </w:r>
    </w:p>
    <w:bookmarkStart w:id="33" w:name="statement-of-principal-findings"/>
    <w:p>
      <w:pPr>
        <w:pStyle w:val="Heading2"/>
      </w:pPr>
      <w:r>
        <w:t xml:space="preserve">Statement of principal findings</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Secondly, we provide reassuring data demonstrating that this political mortality does not correlate with biological mortality. Danish cabinet ministers enjoy an exceptionally long median lifespan of 86.8 years.</w:t>
      </w:r>
    </w:p>
    <w:bookmarkEnd w:id="33"/>
    <w:bookmarkStart w:id="34" w:name="strengths-and-weaknesses-of-the-study"/>
    <w:p>
      <w:pPr>
        <w:pStyle w:val="Heading2"/>
      </w:pPr>
      <w:r>
        <w:t xml:space="preserve">Strengths and weaknesses of the study</w:t>
      </w:r>
    </w:p>
    <w:p>
      <w:pPr>
        <w:pStyle w:val="FirstParagraph"/>
      </w:pPr>
      <w:r>
        <w:t xml:space="preserve">A primary strength of this study is the use of high-fidelity cross-national datasets (WhoGov) and enriched biographical data, allowing for direct comparison between political and biological survival. A potential limitation is the heterogeneity of portfolios across different European governments; however, our sub-analysis focused on major portfolios (Finance, Transport, etc.) ensures a high degree of comparability.</w:t>
      </w:r>
    </w:p>
    <w:bookmarkEnd w:id="34"/>
    <w:bookmarkStart w:id="35" w:name="meaning-of-the-study"/>
    <w:p>
      <w:pPr>
        <w:pStyle w:val="Heading2"/>
      </w:pPr>
      <w:r>
        <w:t xml:space="preserve">Meaning of the study</w:t>
      </w:r>
    </w:p>
    <w:p>
      <w:pPr>
        <w:pStyle w:val="FirstParagraph"/>
      </w:pPr>
      <w:r>
        <w:t xml:space="preserve">The finding suggests a profound resilience mechanism: once politically defenestrated, the former minister quickly recovers biological homeostasis. Further studies should investigate whether the relief of no longer being responsible for the train network induces a direct physiological rebound effect. Danish Transport Ministers are routinely forced to absorb the political fallout from systemic failures—including substantial cost overruns of bridge networks—entirely beyond their control.</w:t>
      </w:r>
    </w:p>
    <w:bookmarkEnd w:id="35"/>
    <w:bookmarkStart w:id="36" w:name="unanswered-questions-and-future-research"/>
    <w:p>
      <w:pPr>
        <w:pStyle w:val="Heading2"/>
      </w:pPr>
      <w:r>
        <w:t xml:space="preserve">Unanswered questions and future research</w:t>
      </w:r>
    </w:p>
    <w:p>
      <w:pPr>
        <w:pStyle w:val="FirstParagraph"/>
      </w:pPr>
      <w:r>
        <w:t xml:space="preserve">It remains unclear whether the</w:t>
      </w:r>
      <w:r>
        <w:t xml:space="preserve"> </w:t>
      </w:r>
      <w:r>
        <w:t xml:space="preserve">“rebound effect”</w:t>
      </w:r>
      <w:r>
        <w:t xml:space="preserve"> </w:t>
      </w:r>
      <w:r>
        <w:t xml:space="preserve">of political exit is observed in more authoritarian regimes, or if the extreme lifespans seen in Denmark are unique to robust social democracies. Future governmental personnel assigned to the Ministry of Transport should be offered substantial hazard pay supplements to mitigate the extreme risk of career termination.</w:t>
      </w:r>
    </w:p>
    <w:p>
      <w:pPr>
        <w:pStyle w:val="BodyText"/>
      </w:pPr>
      <w:r>
        <w:rPr>
          <w:b/>
          <w:bCs/>
        </w:rPr>
        <w:t xml:space="preserve">Conclusions</w:t>
      </w:r>
      <w:r>
        <w:t xml:space="preserve">: While serving as a Transport Minister in Denmark is a verifiable career hazard, it appears to be physically harmless. Ministers can take comfort in the knowledge that they will likely live a very long, albeit politically irrelevant, life thereafter.</w:t>
      </w:r>
    </w:p>
    <w:bookmarkEnd w:id="36"/>
    <w:bookmarkEnd w:id="37"/>
    <w:bookmarkStart w:id="38"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2026-03-25T09:46:19Z</dcterms:created>
  <dcterms:modified xsi:type="dcterms:W3CDTF">2026-03-25T09:46:19Z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