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3.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 and assessing whether political mortality correlates with literal mortality.</w:t>
      </w:r>
      <w:r>
        <w:br/>
      </w:r>
      <w:r>
        <w:rPr>
          <w:b/>
          <w:bCs/>
        </w:rPr>
        <w:t xml:space="preserve">Design</w:t>
      </w:r>
      <w:r>
        <w:t xml:space="preserve">: Retrospective actuarial cohort survival analysis.</w:t>
      </w:r>
      <w:r>
        <w:br/>
      </w:r>
      <w:r>
        <w:rPr>
          <w:b/>
          <w:bCs/>
        </w:rPr>
        <w:t xml:space="preserve">Setting</w:t>
      </w:r>
      <w:r>
        <w:t xml:space="preserve">: The Danish Parliament (Folketinget) from 1945 to 2022 and pan-European cabinet data.</w:t>
      </w:r>
      <w:r>
        <w:br/>
      </w:r>
      <w:r>
        <w:rPr>
          <w:b/>
          <w:bCs/>
        </w:rPr>
        <w:t xml:space="preserve">Participants</w:t>
      </w:r>
      <w:r>
        <w:t xml:space="preserve">: A total of 896 Danish cabinet minister appointments and 351 international ministers.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 and literal lifespan (years from birth to death or right-censoring).</w:t>
      </w:r>
      <w:r>
        <w:br/>
      </w:r>
      <w:r>
        <w:rPr>
          <w:b/>
          <w:bCs/>
        </w:rPr>
        <w:t xml:space="preserve">Results</w:t>
      </w:r>
      <w:r>
        <w:t xml:space="preserve">: The Danish dataset captured 248 early career terminations. Adjusting for political bloc and historical era, serving as the Minister of Transport was associated with a greater career termination hazard (hazard ratio 2.23, 95% CI 1.2 to 4.13,</w:t>
      </w:r>
      <w:r>
        <w:t xml:space="preserve"> </w:t>
      </w:r>
      <w:r>
        <w:rPr>
          <w:i/>
          <w:iCs/>
        </w:rPr>
        <w:t xml:space="preserve">P</w:t>
      </w:r>
      <w:r>
        <w:t xml:space="preserve"> </w:t>
      </w:r>
      <w:r>
        <w:t xml:space="preserve">= 0.011). In a pan-European comparison, the Netherlands exhibited the highest political mortality rate (27.5% (28/102)), while Denmark remained relatively stable (16.7% (17/102)). Analyzing literal mortality across Europe, Danish ministers demonstrate an exceptional overall median lifespan of 86.8 years, outliving several comparable European cohorts, most notably in southern Europe.</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in Denmark. However, in a broader European context, Danish ministers are both politically and biologically resilient. The profound political mortality in Denmark does not translate to premature biological death, highlighting the remarkable resilience of the Danish politician when detached from the nation’s railway network.</w:t>
      </w:r>
    </w:p>
    <w:bookmarkEnd w:id="9"/>
    <w:bookmarkStart w:id="12"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w:t>
      </w:r>
      <w:r>
        <w:rPr>
          <w:i/>
          <w:iCs/>
        </w:rPr>
        <w:t xml:space="preserve">P</w:t>
      </w:r>
      <w:r>
        <w:t xml:space="preserve">=0.47),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Start w:id="10" w:name="what-is-already-known-on-this-topic"/>
    <w:p>
      <w:pPr>
        <w:pStyle w:val="Heading3"/>
      </w:pPr>
      <w:r>
        <w:rPr>
          <w:b/>
          <w:bCs/>
        </w:rPr>
        <w:t xml:space="preserve">What is already known on this topic</w:t>
      </w:r>
    </w:p>
    <w:p>
      <w:pPr>
        <w:pStyle w:val="Compact"/>
        <w:numPr>
          <w:ilvl w:val="0"/>
          <w:numId w:val="1001"/>
        </w:numPr>
      </w:pPr>
      <w:r>
        <w:t xml:space="preserve">Government cabinets are notoriously volatile environments for career longevity.</w:t>
      </w:r>
    </w:p>
    <w:p>
      <w:pPr>
        <w:pStyle w:val="Compact"/>
        <w:numPr>
          <w:ilvl w:val="0"/>
          <w:numId w:val="1001"/>
        </w:numPr>
      </w:pPr>
      <w:r>
        <w:t xml:space="preserve">The</w:t>
      </w:r>
      <w:r>
        <w:t xml:space="preserve"> </w:t>
      </w:r>
      <w:r>
        <w:t xml:space="preserve">“Tax Minister Syndrome”</w:t>
      </w:r>
      <w:r>
        <w:t xml:space="preserve"> </w:t>
      </w:r>
      <w:r>
        <w:t xml:space="preserve">has been anecdotally cited as a primary hazard in Danish politics.</w:t>
      </w:r>
    </w:p>
    <w:p>
      <w:pPr>
        <w:pStyle w:val="Compact"/>
        <w:numPr>
          <w:ilvl w:val="0"/>
          <w:numId w:val="1001"/>
        </w:numPr>
      </w:pPr>
      <w:r>
        <w:t xml:space="preserve">The literal mortality of politicians survives primarily through historical anecdotes rather than rigorous survival analysis.</w:t>
      </w:r>
    </w:p>
    <w:bookmarkEnd w:id="10"/>
    <w:bookmarkStart w:id="11" w:name="what-this-study-adds"/>
    <w:p>
      <w:pPr>
        <w:pStyle w:val="Heading3"/>
      </w:pPr>
      <w:r>
        <w:t xml:space="preserve">What this study adds</w:t>
      </w:r>
    </w:p>
    <w:p>
      <w:pPr>
        <w:pStyle w:val="Compact"/>
        <w:numPr>
          <w:ilvl w:val="0"/>
          <w:numId w:val="1002"/>
        </w:numPr>
      </w:pPr>
      <w:r>
        <w:t xml:space="preserve">Serving as Minister of Transport in Denmark more than doubles the hazard of early career termination (HR 2.23,</w:t>
      </w:r>
      <w:r>
        <w:t xml:space="preserve"> </w:t>
      </w:r>
      <w:r>
        <w:rPr>
          <w:i/>
          <w:iCs/>
        </w:rPr>
        <w:t xml:space="preserve">P</w:t>
      </w:r>
      <w:r>
        <w:t xml:space="preserve">=0.011).</w:t>
      </w:r>
    </w:p>
    <w:p>
      <w:pPr>
        <w:pStyle w:val="Compact"/>
        <w:numPr>
          <w:ilvl w:val="0"/>
          <w:numId w:val="1002"/>
        </w:numPr>
      </w:pPr>
      <w:r>
        <w:t xml:space="preserve">Political mortality in Denmark does not translate to biological mortality; ministers exhibit a median lifespan of 86.8 years.</w:t>
      </w:r>
    </w:p>
    <w:p>
      <w:pPr>
        <w:pStyle w:val="Compact"/>
        <w:numPr>
          <w:ilvl w:val="0"/>
          <w:numId w:val="1002"/>
        </w:numPr>
      </w:pPr>
      <w:r>
        <w:t xml:space="preserve">Cross-country analysis shows the Netherlands features the highest political termination rate in Europe.</w:t>
      </w:r>
    </w:p>
    <w:bookmarkEnd w:id="11"/>
    <w:bookmarkEnd w:id="12"/>
    <w:bookmarkStart w:id="17" w:name="methods"/>
    <w:p>
      <w:pPr>
        <w:pStyle w:val="Heading1"/>
      </w:pPr>
      <w:r>
        <w:t xml:space="preserve">Methods</w:t>
      </w:r>
    </w:p>
    <w:bookmarkStart w:id="13"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and transport) across 10 European nations (Denmark, France, Germany, Greece, Italy, Netherlands, Norway, Spain, Sweden, and the United Kingdom).</w:t>
      </w:r>
    </w:p>
    <w:bookmarkEnd w:id="13"/>
    <w:bookmarkStart w:id="14"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government. We excluded appointments with nonsensical date boundaries. For the biological lifespan analysis, ministers were required to have a mathematically verifiable date of birth, filtering out individuals erroneously parsed with birth dates yielding an age of 0 years.</w:t>
      </w:r>
    </w:p>
    <w:bookmarkEnd w:id="14"/>
    <w:bookmarkStart w:id="15"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and health).</w:t>
      </w:r>
    </w:p>
    <w:p>
      <w:pPr>
        <w:pStyle w:val="BodyText"/>
      </w:pPr>
      <w:r>
        <w:t xml:space="preserve">The primary political endpoint, termed</w:t>
      </w:r>
      <w:r>
        <w:t xml:space="preserve"> </w:t>
      </w:r>
      <w:r>
        <w:t xml:space="preserve">“career termination,”</w:t>
      </w:r>
      <w:r>
        <w:t xml:space="preserve"> </w:t>
      </w:r>
      <w:r>
        <w:t xml:space="preserve">was defined as a minister exiting their post before the encompassing government either called a general election or fundamentally reconstituted itself. Exits coinciding with the structural end of a government were statistically censored.</w:t>
      </w:r>
    </w:p>
    <w:p>
      <w:pPr>
        <w:pStyle w:val="BodyText"/>
      </w:pPr>
      <w:r>
        <w:t xml:space="preserve">The secondary biological endpoint was literal mortality, calculated as the lifespan in years from birth to death. Living ministers were right-censored to 25 March 2026.</w:t>
      </w:r>
    </w:p>
    <w:bookmarkEnd w:id="15"/>
    <w:bookmarkStart w:id="16" w:name="statistical-analysis"/>
    <w:p>
      <w:pPr>
        <w:pStyle w:val="Heading2"/>
      </w:pPr>
      <w:r>
        <w:t xml:space="preserve">Statistical analysis</w:t>
      </w:r>
    </w:p>
    <w:p>
      <w:pPr>
        <w:pStyle w:val="FirstParagraph"/>
      </w:pPr>
      <w:r>
        <w:t xml:space="preserve">Kaplan-Meier survival curves were constructed to visually assess both the occupational longevity of transport ministers and the biological longevity of European ministers. Multivariable Cox proportional hazards regression was employed to calculate hazard ratios. Models for career survival were adjusted for the prevailing political bloc and historical era. Statistical significance was designated at</w:t>
      </w:r>
      <w:r>
        <w:t xml:space="preserve"> </w:t>
      </w:r>
      <w:r>
        <w:rPr>
          <w:i/>
          <w:iCs/>
        </w:rPr>
        <w:t xml:space="preserve">P</w:t>
      </w:r>
      <w:r>
        <w:t xml:space="preserve"> </w:t>
      </w:r>
      <w:r>
        <w:t xml:space="preserve">&lt; 0.05. All analyses were conducted in R version 4.5.1.</w:t>
      </w:r>
    </w:p>
    <w:bookmarkEnd w:id="16"/>
    <w:bookmarkEnd w:id="17"/>
    <w:bookmarkStart w:id="38"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biological cohort comprised 351 ministers, and 300 deaths were recorded.</w:t>
      </w:r>
    </w:p>
    <w:bookmarkStart w:id="19" w:name="X39e67f2dec5337847033bbff5918dad5c0113ea"/>
    <w:p>
      <w:pPr>
        <w:pStyle w:val="Heading2"/>
      </w:pPr>
      <w:r>
        <w:t xml:space="preserve">International comparison of ministerial stability</w:t>
      </w:r>
    </w:p>
    <w:p>
      <w:pPr>
        <w:pStyle w:val="FirstParagraph"/>
      </w:pPr>
      <w:r>
        <w:t xml:space="preserve">Across the analyzed European nations, we observed significant variance in political stability (table 1). The Netherlands and the United Kingdom exhibited the highest rates of early career termination, with approximately 27% of ministerial appointments ending prematurely. Denmark, by contrast, appears to be a haven of political longevity, with only 16.7% (17/102) of appointments ending early.</w:t>
      </w:r>
    </w:p>
    <w:bookmarkStart w:id="18" w:name="X55ba4f48067ee0f399cd50a1b8be752e00d4e11"/>
    <w:p>
      <w:pPr>
        <w:pStyle w:val="Heading3"/>
      </w:pPr>
      <w:r>
        <w:t xml:space="preserve">Table 1. Baseline characteristics and cumulative political stability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Country</w:t>
            </w:r>
          </w:p>
        </w:tc>
        <w:tc>
          <w:tcPr/>
          <w:p>
            <w:pPr>
              <w:pStyle w:val="Compact"/>
              <w:jc w:val="right"/>
            </w:pPr>
            <w:r>
              <w:t xml:space="preserve">Appts (N)</w:t>
            </w:r>
          </w:p>
        </w:tc>
        <w:tc>
          <w:tcPr/>
          <w:p>
            <w:pPr>
              <w:pStyle w:val="Compact"/>
              <w:jc w:val="right"/>
            </w:pPr>
            <w:r>
              <w:t xml:space="preserve">Indiv (N)</w:t>
            </w:r>
          </w:p>
        </w:tc>
        <w:tc>
          <w:tcPr/>
          <w:p>
            <w:pPr>
              <w:pStyle w:val="Compact"/>
              <w:jc w:val="left"/>
            </w:pPr>
            <w:r>
              <w:t xml:space="preserve">Period</w:t>
            </w:r>
          </w:p>
        </w:tc>
      </w:tr>
      <w:tr>
        <w:tc>
          <w:tcPr/>
          <w:p>
            <w:pPr>
              <w:pStyle w:val="Compact"/>
              <w:jc w:val="left"/>
            </w:pPr>
            <w:r>
              <w:t xml:space="preserve">Denmark</w:t>
            </w:r>
          </w:p>
        </w:tc>
        <w:tc>
          <w:tcPr/>
          <w:p>
            <w:pPr>
              <w:pStyle w:val="Compact"/>
              <w:jc w:val="right"/>
            </w:pPr>
            <w:r>
              <w:t xml:space="preserve">107</w:t>
            </w:r>
          </w:p>
        </w:tc>
        <w:tc>
          <w:tcPr/>
          <w:p>
            <w:pPr>
              <w:pStyle w:val="Compact"/>
              <w:jc w:val="right"/>
            </w:pPr>
            <w:r>
              <w:t xml:space="preserve">82</w:t>
            </w:r>
          </w:p>
        </w:tc>
        <w:tc>
          <w:tcPr/>
          <w:p>
            <w:pPr>
              <w:pStyle w:val="Compact"/>
              <w:jc w:val="left"/>
            </w:pPr>
            <w:r>
              <w:t xml:space="preserve">1973-2023</w:t>
            </w:r>
          </w:p>
        </w:tc>
      </w:tr>
      <w:tr>
        <w:tc>
          <w:tcPr/>
          <w:p>
            <w:pPr>
              <w:pStyle w:val="Compact"/>
              <w:jc w:val="left"/>
            </w:pPr>
            <w:r>
              <w:t xml:space="preserve">France</w:t>
            </w:r>
          </w:p>
        </w:tc>
        <w:tc>
          <w:tcPr/>
          <w:p>
            <w:pPr>
              <w:pStyle w:val="Compact"/>
              <w:jc w:val="right"/>
            </w:pPr>
            <w:r>
              <w:t xml:space="preserve">138</w:t>
            </w:r>
          </w:p>
        </w:tc>
        <w:tc>
          <w:tcPr/>
          <w:p>
            <w:pPr>
              <w:pStyle w:val="Compact"/>
              <w:jc w:val="right"/>
            </w:pPr>
            <w:r>
              <w:t xml:space="preserve">114</w:t>
            </w:r>
          </w:p>
        </w:tc>
        <w:tc>
          <w:tcPr/>
          <w:p>
            <w:pPr>
              <w:pStyle w:val="Compact"/>
              <w:jc w:val="left"/>
            </w:pPr>
            <w:r>
              <w:t xml:space="preserve">1974-2025</w:t>
            </w:r>
          </w:p>
        </w:tc>
      </w:tr>
      <w:tr>
        <w:tc>
          <w:tcPr/>
          <w:p>
            <w:pPr>
              <w:pStyle w:val="Compact"/>
              <w:jc w:val="left"/>
            </w:pPr>
            <w:r>
              <w:t xml:space="preserve">Germany</w:t>
            </w:r>
          </w:p>
        </w:tc>
        <w:tc>
          <w:tcPr/>
          <w:p>
            <w:pPr>
              <w:pStyle w:val="Compact"/>
              <w:jc w:val="right"/>
            </w:pPr>
            <w:r>
              <w:t xml:space="preserve">81</w:t>
            </w:r>
          </w:p>
        </w:tc>
        <w:tc>
          <w:tcPr/>
          <w:p>
            <w:pPr>
              <w:pStyle w:val="Compact"/>
              <w:jc w:val="right"/>
            </w:pPr>
            <w:r>
              <w:t xml:space="preserve">72</w:t>
            </w:r>
          </w:p>
        </w:tc>
        <w:tc>
          <w:tcPr/>
          <w:p>
            <w:pPr>
              <w:pStyle w:val="Compact"/>
              <w:jc w:val="left"/>
            </w:pPr>
            <w:r>
              <w:t xml:space="preserve">1969-2025</w:t>
            </w:r>
          </w:p>
        </w:tc>
      </w:tr>
      <w:tr>
        <w:tc>
          <w:tcPr/>
          <w:p>
            <w:pPr>
              <w:pStyle w:val="Compact"/>
              <w:jc w:val="left"/>
            </w:pPr>
            <w:r>
              <w:t xml:space="preserve">Greece</w:t>
            </w:r>
          </w:p>
        </w:tc>
        <w:tc>
          <w:tcPr/>
          <w:p>
            <w:pPr>
              <w:pStyle w:val="Compact"/>
              <w:jc w:val="right"/>
            </w:pPr>
            <w:r>
              <w:t xml:space="preserve">155</w:t>
            </w:r>
          </w:p>
        </w:tc>
        <w:tc>
          <w:tcPr/>
          <w:p>
            <w:pPr>
              <w:pStyle w:val="Compact"/>
              <w:jc w:val="right"/>
            </w:pPr>
            <w:r>
              <w:t xml:space="preserve">118</w:t>
            </w:r>
          </w:p>
        </w:tc>
        <w:tc>
          <w:tcPr/>
          <w:p>
            <w:pPr>
              <w:pStyle w:val="Compact"/>
              <w:jc w:val="left"/>
            </w:pPr>
            <w:r>
              <w:t xml:space="preserve">1974-2025</w:t>
            </w:r>
          </w:p>
        </w:tc>
      </w:tr>
      <w:tr>
        <w:tc>
          <w:tcPr/>
          <w:p>
            <w:pPr>
              <w:pStyle w:val="Compact"/>
              <w:jc w:val="left"/>
            </w:pPr>
            <w:r>
              <w:t xml:space="preserve">Italy</w:t>
            </w:r>
          </w:p>
        </w:tc>
        <w:tc>
          <w:tcPr/>
          <w:p>
            <w:pPr>
              <w:pStyle w:val="Compact"/>
              <w:jc w:val="right"/>
            </w:pPr>
            <w:r>
              <w:t xml:space="preserve">142</w:t>
            </w:r>
          </w:p>
        </w:tc>
        <w:tc>
          <w:tcPr/>
          <w:p>
            <w:pPr>
              <w:pStyle w:val="Compact"/>
              <w:jc w:val="right"/>
            </w:pPr>
            <w:r>
              <w:t xml:space="preserve">124</w:t>
            </w:r>
          </w:p>
        </w:tc>
        <w:tc>
          <w:tcPr/>
          <w:p>
            <w:pPr>
              <w:pStyle w:val="Compact"/>
              <w:jc w:val="left"/>
            </w:pPr>
            <w:r>
              <w:t xml:space="preserve">1974-2022</w:t>
            </w:r>
          </w:p>
        </w:tc>
      </w:tr>
      <w:tr>
        <w:tc>
          <w:tcPr/>
          <w:p>
            <w:pPr>
              <w:pStyle w:val="Compact"/>
              <w:jc w:val="left"/>
            </w:pPr>
            <w:r>
              <w:t xml:space="preserve">Netherlands</w:t>
            </w:r>
          </w:p>
        </w:tc>
        <w:tc>
          <w:tcPr/>
          <w:p>
            <w:pPr>
              <w:pStyle w:val="Compact"/>
              <w:jc w:val="right"/>
            </w:pPr>
            <w:r>
              <w:t xml:space="preserve">106</w:t>
            </w:r>
          </w:p>
        </w:tc>
        <w:tc>
          <w:tcPr/>
          <w:p>
            <w:pPr>
              <w:pStyle w:val="Compact"/>
              <w:jc w:val="right"/>
            </w:pPr>
            <w:r>
              <w:t xml:space="preserve">93</w:t>
            </w:r>
          </w:p>
        </w:tc>
        <w:tc>
          <w:tcPr/>
          <w:p>
            <w:pPr>
              <w:pStyle w:val="Compact"/>
              <w:jc w:val="left"/>
            </w:pPr>
            <w:r>
              <w:t xml:space="preserve">1973-2026</w:t>
            </w:r>
          </w:p>
        </w:tc>
      </w:tr>
      <w:tr>
        <w:tc>
          <w:tcPr/>
          <w:p>
            <w:pPr>
              <w:pStyle w:val="Compact"/>
              <w:jc w:val="left"/>
            </w:pPr>
            <w:r>
              <w:t xml:space="preserve">Norway</w:t>
            </w:r>
          </w:p>
        </w:tc>
        <w:tc>
          <w:tcPr/>
          <w:p>
            <w:pPr>
              <w:pStyle w:val="Compact"/>
              <w:jc w:val="right"/>
            </w:pPr>
            <w:r>
              <w:t xml:space="preserve">108</w:t>
            </w:r>
          </w:p>
        </w:tc>
        <w:tc>
          <w:tcPr/>
          <w:p>
            <w:pPr>
              <w:pStyle w:val="Compact"/>
              <w:jc w:val="right"/>
            </w:pPr>
            <w:r>
              <w:t xml:space="preserve">95</w:t>
            </w:r>
          </w:p>
        </w:tc>
        <w:tc>
          <w:tcPr/>
          <w:p>
            <w:pPr>
              <w:pStyle w:val="Compact"/>
              <w:jc w:val="left"/>
            </w:pPr>
            <w:r>
              <w:t xml:space="preserve">1973-2025</w:t>
            </w:r>
          </w:p>
        </w:tc>
      </w:tr>
      <w:tr>
        <w:tc>
          <w:tcPr/>
          <w:p>
            <w:pPr>
              <w:pStyle w:val="Compact"/>
              <w:jc w:val="left"/>
            </w:pPr>
            <w:r>
              <w:t xml:space="preserve">Spain</w:t>
            </w:r>
          </w:p>
        </w:tc>
        <w:tc>
          <w:tcPr/>
          <w:p>
            <w:pPr>
              <w:pStyle w:val="Compact"/>
              <w:jc w:val="right"/>
            </w:pPr>
            <w:r>
              <w:t xml:space="preserve">102</w:t>
            </w:r>
          </w:p>
        </w:tc>
        <w:tc>
          <w:tcPr/>
          <w:p>
            <w:pPr>
              <w:pStyle w:val="Compact"/>
              <w:jc w:val="right"/>
            </w:pPr>
            <w:r>
              <w:t xml:space="preserve">98</w:t>
            </w:r>
          </w:p>
        </w:tc>
        <w:tc>
          <w:tcPr/>
          <w:p>
            <w:pPr>
              <w:pStyle w:val="Compact"/>
              <w:jc w:val="left"/>
            </w:pPr>
            <w:r>
              <w:t xml:space="preserve">1973-2023</w:t>
            </w:r>
          </w:p>
        </w:tc>
      </w:tr>
      <w:tr>
        <w:tc>
          <w:tcPr/>
          <w:p>
            <w:pPr>
              <w:pStyle w:val="Compact"/>
              <w:jc w:val="left"/>
            </w:pPr>
            <w:r>
              <w:t xml:space="preserve">Sweden</w:t>
            </w:r>
          </w:p>
        </w:tc>
        <w:tc>
          <w:tcPr/>
          <w:p>
            <w:pPr>
              <w:pStyle w:val="Compact"/>
              <w:jc w:val="right"/>
            </w:pPr>
            <w:r>
              <w:t xml:space="preserve">97</w:t>
            </w:r>
          </w:p>
        </w:tc>
        <w:tc>
          <w:tcPr/>
          <w:p>
            <w:pPr>
              <w:pStyle w:val="Compact"/>
              <w:jc w:val="right"/>
            </w:pPr>
            <w:r>
              <w:t xml:space="preserve">84</w:t>
            </w:r>
          </w:p>
        </w:tc>
        <w:tc>
          <w:tcPr/>
          <w:p>
            <w:pPr>
              <w:pStyle w:val="Compact"/>
              <w:jc w:val="left"/>
            </w:pPr>
            <w:r>
              <w:t xml:space="preserve">1955-2022</w:t>
            </w:r>
          </w:p>
        </w:tc>
      </w:tr>
      <w:tr>
        <w:tc>
          <w:tcPr/>
          <w:p>
            <w:pPr>
              <w:pStyle w:val="Compact"/>
              <w:jc w:val="left"/>
            </w:pPr>
            <w:r>
              <w:t xml:space="preserve">United Kingdom</w:t>
            </w:r>
          </w:p>
        </w:tc>
        <w:tc>
          <w:tcPr/>
          <w:p>
            <w:pPr>
              <w:pStyle w:val="Compact"/>
              <w:jc w:val="right"/>
            </w:pPr>
            <w:r>
              <w:t xml:space="preserve">134</w:t>
            </w:r>
          </w:p>
        </w:tc>
        <w:tc>
          <w:tcPr/>
          <w:p>
            <w:pPr>
              <w:pStyle w:val="Compact"/>
              <w:jc w:val="right"/>
            </w:pPr>
            <w:r>
              <w:t xml:space="preserve">110</w:t>
            </w:r>
          </w:p>
        </w:tc>
        <w:tc>
          <w:tcPr/>
          <w:p>
            <w:pPr>
              <w:pStyle w:val="Compact"/>
              <w:jc w:val="left"/>
            </w:pPr>
            <w:r>
              <w:t xml:space="preserve">1940-2025</w:t>
            </w:r>
          </w:p>
        </w:tc>
      </w:tr>
    </w:tbl>
    <w:p>
      <w:pPr>
        <w:pStyle w:val="BodyText"/>
      </w:pPr>
      <w:r>
        <w:t xml:space="preserve">Interestingly, the dataset revealed the existence of</w:t>
      </w:r>
      <w:r>
        <w:t xml:space="preserve"> </w:t>
      </w:r>
      <w:r>
        <w:t xml:space="preserve">“the one-day minister.”</w:t>
      </w:r>
      <w:r>
        <w:t xml:space="preserve"> </w:t>
      </w:r>
      <w:r>
        <w:t xml:space="preserve">Oluf Kragh served as the Danish</w:t>
      </w:r>
      <w:r>
        <w:t xml:space="preserve"> </w:t>
      </w:r>
      <w:r>
        <w:rPr>
          <w:i/>
          <w:iCs/>
        </w:rPr>
        <w:t xml:space="preserve">Handelsminister ad interim</w:t>
      </w:r>
      <w:r>
        <w:t xml:space="preserve"> </w:t>
      </w:r>
      <w:r>
        <w:t xml:space="preserve">for exactly one day (9-10 October 1922) in the Neergaard III government—a record for political brevity that remains unsurpassed in our cohort.</w:t>
      </w:r>
    </w:p>
    <w:bookmarkEnd w:id="18"/>
    <w:bookmarkEnd w:id="19"/>
    <w:bookmarkStart w:id="23" w:name="Xcb4f8bd8674504db4344b3d58cf56863f9ca2df"/>
    <w:p>
      <w:pPr>
        <w:pStyle w:val="Heading2"/>
      </w:pPr>
      <w:r>
        <w:t xml:space="preserve">The transport minister curse (career survival in Denmark)</w:t>
      </w:r>
    </w:p>
    <w:p>
      <w:pPr>
        <w:pStyle w:val="FirstParagraph"/>
      </w:pPr>
      <w:r>
        <w:t xml:space="preserve">The Kaplan-Meier survival analysis demonstrated a profound and visually distinct acceleration of career failure among transport ministers in Denmark (fig 1). While ministers in other portfolios exhibited a predictable attrition rate, those tasked with the nation’s railways and roads experienced steep reductions in survival probability. In the multivariable Cox regression model, the hazard ratio for Danish transport ministers was 2.23 (95% CI 1.2 to 4.13),</w:t>
      </w:r>
      <w:r>
        <w:t xml:space="preserve"> </w:t>
      </w:r>
      <w:r>
        <w:rPr>
          <w:i/>
          <w:iCs/>
        </w:rPr>
        <w:t xml:space="preserve">P</w:t>
      </w:r>
      <w:r>
        <w:t xml:space="preserve"> </w:t>
      </w:r>
      <w:r>
        <w:t xml:space="preserve">= 0.011.</w:t>
      </w:r>
    </w:p>
    <w:p>
      <w:pPr>
        <w:pStyle w:val="BodyText"/>
      </w:pPr>
      <w:r>
        <w:drawing>
          <wp:inline>
            <wp:extent cx="5334000" cy="4000500"/>
            <wp:effectExtent b="0" l="0" r="0" t="0"/>
            <wp:docPr descr="Fig 1. Kaplan-Meier survival curves demonstrating the Transport Minister Curse in Denmark. Transport Ministers face accelerated political mortality compared to their cabinet colleagues." title="" id="21" name="Picture"/>
            <a:graphic>
              <a:graphicData uri="http://schemas.openxmlformats.org/drawingml/2006/picture">
                <pic:pic>
                  <pic:nvPicPr>
                    <pic:cNvPr descr="figures/career_survival_plot_final-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t xml:space="preserve">In the multivariable Cox regression model, the hazard of career termination remained robustly associated with the transport portfolio. After adjusting for the political bloc and historical era, the hazard ratio for transport ministers was 2.23 (95% CI 1.2 to 4.13),</w:t>
      </w:r>
      <w:r>
        <w:t xml:space="preserve"> </w:t>
      </w:r>
      <w:r>
        <w:rPr>
          <w:i/>
          <w:iCs/>
        </w:rPr>
        <w:t xml:space="preserve">P</w:t>
      </w:r>
      <w:r>
        <w:t xml:space="preserve"> </w:t>
      </w:r>
      <w:r>
        <w:t xml:space="preserve">= 0.011.</w:t>
      </w:r>
    </w:p>
    <w:bookmarkEnd w:id="23"/>
    <w:bookmarkStart w:id="27" w:name="literal-mortality-biological-survival"/>
    <w:p>
      <w:pPr>
        <w:pStyle w:val="Heading2"/>
      </w:pPr>
      <w:r>
        <w:t xml:space="preserve">Literal mortality (biological survival)</w:t>
      </w:r>
    </w:p>
    <w:p>
      <w:pPr>
        <w:pStyle w:val="FirstParagraph"/>
      </w:pPr>
      <w:r>
        <w:t xml:space="preserve">Despite the profound hazards of political office, the literal lifespan of Danish cabinet ministers was exceptionally robust. As shown in fig 2, Danish ministers demonstrated a median biological lifespan of 86.8 years.</w:t>
      </w:r>
    </w:p>
    <w:p>
      <w:pPr>
        <w:pStyle w:val="CaptionedFigure"/>
      </w:pPr>
      <w:r>
        <w:drawing>
          <wp:inline>
            <wp:extent cx="5334000" cy="4000500"/>
            <wp:effectExtent b="0" l="0" r="0" t="0"/>
            <wp:docPr descr="Fig 2. Kaplan-Meier biological survival curves for cabinet ministers across Europe. Danish and German ministers show exceptional biological resilience." title="" id="25" name="Picture"/>
            <a:graphic>
              <a:graphicData uri="http://schemas.openxmlformats.org/drawingml/2006/picture">
                <pic:pic>
                  <pic:nvPicPr>
                    <pic:cNvPr descr="figures/literal_mortality_plot_final-1.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 2. Kaplan-Meier biological survival curves for cabinet ministers across Europe. Danish and German ministers show exceptional biological resilience.</w:t>
      </w:r>
    </w:p>
    <w:bookmarkEnd w:id="27"/>
    <w:bookmarkStart w:id="32" w:name="X6f799eedfda519c1cade906dd17ee8b8de42b87"/>
    <w:p>
      <w:pPr>
        <w:pStyle w:val="Heading2"/>
      </w:pPr>
      <w:r>
        <w:t xml:space="preserve">The global hazard league table and the</w:t>
      </w:r>
      <w:r>
        <w:t xml:space="preserve"> </w:t>
      </w:r>
      <w:r>
        <w:t xml:space="preserve">‘Netherlands Paradox’</w:t>
      </w:r>
    </w:p>
    <w:p>
      <w:pPr>
        <w:pStyle w:val="FirstParagraph"/>
      </w:pPr>
      <w:r>
        <w:t xml:space="preserve">When expanding the analysis of the transport portfolio across Europe, we identified a diverse spectrum of hazard (fig 4). The United Kingdom shared Denmark’s infrastructure misery, with an identical hazard ratio of 2.42 (</w:t>
      </w:r>
      <w:r>
        <w:rPr>
          <w:i/>
          <w:iCs/>
        </w:rPr>
        <w:t xml:space="preserve">P</w:t>
      </w:r>
      <w:r>
        <w:t xml:space="preserve">=0.014). However, we discovered a striking</w:t>
      </w:r>
      <w:r>
        <w:t xml:space="preserve"> </w:t>
      </w:r>
      <w:r>
        <w:t xml:space="preserve">“Netherlands Paradox”</w:t>
      </w:r>
      <w:r>
        <w:t xml:space="preserve">: transport ministers in the Netherlands appear significantly protected relative to their peers (HR 0.12,</w:t>
      </w:r>
      <w:r>
        <w:t xml:space="preserve"> </w:t>
      </w:r>
      <w:r>
        <w:rPr>
          <w:i/>
          <w:iCs/>
        </w:rPr>
        <w:t xml:space="preserve">P</w:t>
      </w:r>
      <w:r>
        <w:t xml:space="preserve">=0.041).</w:t>
      </w:r>
    </w:p>
    <w:bookmarkStart w:id="31" w:name="Xd5d1573b5a4121aaa837acace7f1ead54c625e2"/>
    <w:p>
      <w:pPr>
        <w:pStyle w:val="Heading3"/>
      </w:pPr>
      <w:r>
        <w:t xml:space="preserve">Table 4. Portfolio Hazard League Table (Transport Curse)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Country</w:t>
            </w:r>
          </w:p>
        </w:tc>
        <w:tc>
          <w:tcPr/>
          <w:p>
            <w:pPr>
              <w:pStyle w:val="Compact"/>
              <w:jc w:val="right"/>
            </w:pPr>
            <w:r>
              <w:t xml:space="preserve">Transport Appts</w:t>
            </w:r>
          </w:p>
        </w:tc>
        <w:tc>
          <w:tcPr/>
          <w:p>
            <w:pPr>
              <w:pStyle w:val="Compact"/>
              <w:jc w:val="left"/>
            </w:pPr>
            <w:r>
              <w:t xml:space="preserve">HR (Transport)</w:t>
            </w:r>
          </w:p>
        </w:tc>
        <w:tc>
          <w:tcPr/>
          <w:p>
            <w:pPr>
              <w:pStyle w:val="Compact"/>
              <w:jc w:val="left"/>
            </w:pPr>
            <w:r>
              <w:rPr>
                <w:i/>
                <w:iCs/>
              </w:rPr>
              <w:t xml:space="preserve">P</w:t>
            </w:r>
            <w:r>
              <w:t xml:space="preserve"> </w:t>
            </w:r>
            <w:r>
              <w:t xml:space="preserve">value</w:t>
            </w:r>
          </w:p>
        </w:tc>
      </w:tr>
      <w:tr>
        <w:tc>
          <w:tcPr/>
          <w:p>
            <w:pPr>
              <w:pStyle w:val="Compact"/>
              <w:jc w:val="left"/>
            </w:pPr>
            <w:r>
              <w:t xml:space="preserve">Denmark</w:t>
            </w:r>
          </w:p>
        </w:tc>
        <w:tc>
          <w:tcPr/>
          <w:p>
            <w:pPr>
              <w:pStyle w:val="Compact"/>
              <w:jc w:val="right"/>
            </w:pPr>
            <w:r>
              <w:t xml:space="preserve">29</w:t>
            </w:r>
          </w:p>
        </w:tc>
        <w:tc>
          <w:tcPr/>
          <w:p>
            <w:pPr>
              <w:pStyle w:val="Compact"/>
              <w:jc w:val="left"/>
            </w:pPr>
            <w:r>
              <w:t xml:space="preserve">2.42</w:t>
            </w:r>
          </w:p>
        </w:tc>
        <w:tc>
          <w:tcPr/>
          <w:p>
            <w:pPr>
              <w:pStyle w:val="Compact"/>
              <w:jc w:val="left"/>
            </w:pPr>
            <w:r>
              <w:t xml:space="preserve">0.076</w:t>
            </w:r>
          </w:p>
        </w:tc>
      </w:tr>
      <w:tr>
        <w:tc>
          <w:tcPr/>
          <w:p>
            <w:pPr>
              <w:pStyle w:val="Compact"/>
              <w:jc w:val="left"/>
            </w:pPr>
            <w:r>
              <w:t xml:space="preserve">France</w:t>
            </w:r>
          </w:p>
        </w:tc>
        <w:tc>
          <w:tcPr/>
          <w:p>
            <w:pPr>
              <w:pStyle w:val="Compact"/>
              <w:jc w:val="right"/>
            </w:pPr>
            <w:r>
              <w:t xml:space="preserve">27</w:t>
            </w:r>
          </w:p>
        </w:tc>
        <w:tc>
          <w:tcPr/>
          <w:p>
            <w:pPr>
              <w:pStyle w:val="Compact"/>
              <w:jc w:val="left"/>
            </w:pPr>
            <w:r>
              <w:t xml:space="preserve">1.04</w:t>
            </w:r>
          </w:p>
        </w:tc>
        <w:tc>
          <w:tcPr/>
          <w:p>
            <w:pPr>
              <w:pStyle w:val="Compact"/>
              <w:jc w:val="left"/>
            </w:pPr>
            <w:r>
              <w:t xml:space="preserve">0.940</w:t>
            </w:r>
          </w:p>
        </w:tc>
      </w:tr>
      <w:tr>
        <w:tc>
          <w:tcPr/>
          <w:p>
            <w:pPr>
              <w:pStyle w:val="Compact"/>
              <w:jc w:val="left"/>
            </w:pPr>
            <w:r>
              <w:t xml:space="preserve">Germany</w:t>
            </w:r>
          </w:p>
        </w:tc>
        <w:tc>
          <w:tcPr/>
          <w:p>
            <w:pPr>
              <w:pStyle w:val="Compact"/>
              <w:jc w:val="right"/>
            </w:pPr>
            <w:r>
              <w:t xml:space="preserve">18</w:t>
            </w:r>
          </w:p>
        </w:tc>
        <w:tc>
          <w:tcPr/>
          <w:p>
            <w:pPr>
              <w:pStyle w:val="Compact"/>
              <w:jc w:val="left"/>
            </w:pPr>
            <w:r>
              <w:t xml:space="preserve">1.37</w:t>
            </w:r>
          </w:p>
        </w:tc>
        <w:tc>
          <w:tcPr/>
          <w:p>
            <w:pPr>
              <w:pStyle w:val="Compact"/>
              <w:jc w:val="left"/>
            </w:pPr>
            <w:r>
              <w:t xml:space="preserve">0.597</w:t>
            </w:r>
          </w:p>
        </w:tc>
      </w:tr>
      <w:tr>
        <w:tc>
          <w:tcPr/>
          <w:p>
            <w:pPr>
              <w:pStyle w:val="Compact"/>
              <w:jc w:val="left"/>
            </w:pPr>
            <w:r>
              <w:t xml:space="preserve">Greece</w:t>
            </w:r>
          </w:p>
        </w:tc>
        <w:tc>
          <w:tcPr/>
          <w:p>
            <w:pPr>
              <w:pStyle w:val="Compact"/>
              <w:jc w:val="right"/>
            </w:pPr>
            <w:r>
              <w:t xml:space="preserve">25</w:t>
            </w:r>
          </w:p>
        </w:tc>
        <w:tc>
          <w:tcPr/>
          <w:p>
            <w:pPr>
              <w:pStyle w:val="Compact"/>
              <w:jc w:val="left"/>
            </w:pPr>
            <w:r>
              <w:t xml:space="preserve">0.73</w:t>
            </w:r>
          </w:p>
        </w:tc>
        <w:tc>
          <w:tcPr/>
          <w:p>
            <w:pPr>
              <w:pStyle w:val="Compact"/>
              <w:jc w:val="left"/>
            </w:pPr>
            <w:r>
              <w:t xml:space="preserve">0.477</w:t>
            </w:r>
          </w:p>
        </w:tc>
      </w:tr>
      <w:tr>
        <w:tc>
          <w:tcPr/>
          <w:p>
            <w:pPr>
              <w:pStyle w:val="Compact"/>
              <w:jc w:val="left"/>
            </w:pPr>
            <w:r>
              <w:t xml:space="preserve">Italy</w:t>
            </w:r>
          </w:p>
        </w:tc>
        <w:tc>
          <w:tcPr/>
          <w:p>
            <w:pPr>
              <w:pStyle w:val="Compact"/>
              <w:jc w:val="right"/>
            </w:pPr>
            <w:r>
              <w:t xml:space="preserve">29</w:t>
            </w:r>
          </w:p>
        </w:tc>
        <w:tc>
          <w:tcPr/>
          <w:p>
            <w:pPr>
              <w:pStyle w:val="Compact"/>
              <w:jc w:val="left"/>
            </w:pPr>
            <w:r>
              <w:t xml:space="preserve">0.46</w:t>
            </w:r>
          </w:p>
        </w:tc>
        <w:tc>
          <w:tcPr/>
          <w:p>
            <w:pPr>
              <w:pStyle w:val="Compact"/>
              <w:jc w:val="left"/>
            </w:pPr>
            <w:r>
              <w:t xml:space="preserve">0.458</w:t>
            </w:r>
          </w:p>
        </w:tc>
      </w:tr>
      <w:tr>
        <w:tc>
          <w:tcPr/>
          <w:p>
            <w:pPr>
              <w:pStyle w:val="Compact"/>
              <w:jc w:val="left"/>
            </w:pPr>
            <w:r>
              <w:t xml:space="preserve">Netherlands</w:t>
            </w:r>
          </w:p>
        </w:tc>
        <w:tc>
          <w:tcPr/>
          <w:p>
            <w:pPr>
              <w:pStyle w:val="Compact"/>
              <w:jc w:val="right"/>
            </w:pPr>
            <w:r>
              <w:t xml:space="preserve">18</w:t>
            </w:r>
          </w:p>
        </w:tc>
        <w:tc>
          <w:tcPr/>
          <w:p>
            <w:pPr>
              <w:pStyle w:val="Compact"/>
              <w:jc w:val="left"/>
            </w:pPr>
            <w:r>
              <w:t xml:space="preserve">0.12</w:t>
            </w:r>
          </w:p>
        </w:tc>
        <w:tc>
          <w:tcPr/>
          <w:p>
            <w:pPr>
              <w:pStyle w:val="Compact"/>
              <w:jc w:val="left"/>
            </w:pPr>
            <w:r>
              <w:t xml:space="preserve">0.041</w:t>
            </w:r>
          </w:p>
        </w:tc>
      </w:tr>
      <w:tr>
        <w:tc>
          <w:tcPr/>
          <w:p>
            <w:pPr>
              <w:pStyle w:val="Compact"/>
              <w:jc w:val="left"/>
            </w:pPr>
            <w:r>
              <w:t xml:space="preserve">Norway</w:t>
            </w:r>
          </w:p>
        </w:tc>
        <w:tc>
          <w:tcPr/>
          <w:p>
            <w:pPr>
              <w:pStyle w:val="Compact"/>
              <w:jc w:val="right"/>
            </w:pPr>
            <w:r>
              <w:t xml:space="preserve">21</w:t>
            </w:r>
          </w:p>
        </w:tc>
        <w:tc>
          <w:tcPr/>
          <w:p>
            <w:pPr>
              <w:pStyle w:val="Compact"/>
              <w:jc w:val="left"/>
            </w:pPr>
            <w:r>
              <w:t xml:space="preserve">1.23</w:t>
            </w:r>
          </w:p>
        </w:tc>
        <w:tc>
          <w:tcPr/>
          <w:p>
            <w:pPr>
              <w:pStyle w:val="Compact"/>
              <w:jc w:val="left"/>
            </w:pPr>
            <w:r>
              <w:t xml:space="preserve">0.714</w:t>
            </w:r>
          </w:p>
        </w:tc>
      </w:tr>
      <w:tr>
        <w:tc>
          <w:tcPr/>
          <w:p>
            <w:pPr>
              <w:pStyle w:val="Compact"/>
              <w:jc w:val="left"/>
            </w:pPr>
            <w:r>
              <w:t xml:space="preserve">Spain</w:t>
            </w:r>
          </w:p>
        </w:tc>
        <w:tc>
          <w:tcPr/>
          <w:p>
            <w:pPr>
              <w:pStyle w:val="Compact"/>
              <w:jc w:val="right"/>
            </w:pPr>
            <w:r>
              <w:t xml:space="preserve">20</w:t>
            </w:r>
          </w:p>
        </w:tc>
        <w:tc>
          <w:tcPr/>
          <w:p>
            <w:pPr>
              <w:pStyle w:val="Compact"/>
              <w:jc w:val="left"/>
            </w:pPr>
            <w:r>
              <w:t xml:space="preserve">0.40</w:t>
            </w:r>
          </w:p>
        </w:tc>
        <w:tc>
          <w:tcPr/>
          <w:p>
            <w:pPr>
              <w:pStyle w:val="Compact"/>
              <w:jc w:val="left"/>
            </w:pPr>
            <w:r>
              <w:t xml:space="preserve">0.220</w:t>
            </w:r>
          </w:p>
        </w:tc>
      </w:tr>
      <w:tr>
        <w:tc>
          <w:tcPr/>
          <w:p>
            <w:pPr>
              <w:pStyle w:val="Compact"/>
              <w:jc w:val="left"/>
            </w:pPr>
            <w:r>
              <w:t xml:space="preserve">Sweden</w:t>
            </w:r>
          </w:p>
        </w:tc>
        <w:tc>
          <w:tcPr/>
          <w:p>
            <w:pPr>
              <w:pStyle w:val="Compact"/>
              <w:jc w:val="right"/>
            </w:pPr>
            <w:r>
              <w:t xml:space="preserve">18</w:t>
            </w:r>
          </w:p>
        </w:tc>
        <w:tc>
          <w:tcPr/>
          <w:p>
            <w:pPr>
              <w:pStyle w:val="Compact"/>
              <w:jc w:val="left"/>
            </w:pPr>
            <w:r>
              <w:t xml:space="preserve">0.78</w:t>
            </w:r>
          </w:p>
        </w:tc>
        <w:tc>
          <w:tcPr/>
          <w:p>
            <w:pPr>
              <w:pStyle w:val="Compact"/>
              <w:jc w:val="left"/>
            </w:pPr>
            <w:r>
              <w:t xml:space="preserve">0.700</w:t>
            </w:r>
          </w:p>
        </w:tc>
      </w:tr>
      <w:tr>
        <w:tc>
          <w:tcPr/>
          <w:p>
            <w:pPr>
              <w:pStyle w:val="Compact"/>
              <w:jc w:val="left"/>
            </w:pPr>
            <w:r>
              <w:t xml:space="preserve">United Kingdom</w:t>
            </w:r>
          </w:p>
        </w:tc>
        <w:tc>
          <w:tcPr/>
          <w:p>
            <w:pPr>
              <w:pStyle w:val="Compact"/>
              <w:jc w:val="right"/>
            </w:pPr>
            <w:r>
              <w:t xml:space="preserve">29</w:t>
            </w:r>
          </w:p>
        </w:tc>
        <w:tc>
          <w:tcPr/>
          <w:p>
            <w:pPr>
              <w:pStyle w:val="Compact"/>
              <w:jc w:val="left"/>
            </w:pPr>
            <w:r>
              <w:t xml:space="preserve">2.42</w:t>
            </w:r>
          </w:p>
        </w:tc>
        <w:tc>
          <w:tcPr/>
          <w:p>
            <w:pPr>
              <w:pStyle w:val="Compact"/>
              <w:jc w:val="left"/>
            </w:pPr>
            <w:r>
              <w:t xml:space="preserve">0.014</w:t>
            </w:r>
          </w:p>
        </w:tc>
      </w:tr>
    </w:tbl>
    <w:p>
      <w:pPr>
        <w:pStyle w:val="CaptionedFigure"/>
      </w:pPr>
      <w:r>
        <w:drawing>
          <wp:inline>
            <wp:extent cx="5334000" cy="3200399"/>
            <wp:effectExtent b="0" l="0" r="0" t="0"/>
            <wp:docPr descr="Fig 4. Forest plot of the Transport Minister Curse across 10 European nations. HR &gt; 1 indicates increased hazard of career termination." title="" id="29" name="Picture"/>
            <a:graphic>
              <a:graphicData uri="http://schemas.openxmlformats.org/drawingml/2006/picture">
                <pic:pic>
                  <pic:nvPicPr>
                    <pic:cNvPr descr="figures/fig4_transport_curse_forest.png" id="30" name="Picture"/>
                    <pic:cNvPicPr>
                      <a:picLocks noChangeArrowheads="1" noChangeAspect="1"/>
                    </pic:cNvPicPr>
                  </pic:nvPicPr>
                  <pic:blipFill>
                    <a:blip r:embed="rId28"/>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 4. Forest plot of the Transport Minister Curse across 10 European nations. HR &gt; 1 indicates increased hazard of career termination.</w:t>
      </w:r>
    </w:p>
    <w:bookmarkEnd w:id="31"/>
    <w:bookmarkEnd w:id="32"/>
    <w:bookmarkStart w:id="37" w:name="X4def70ba5e24c57cc54fb490a40d662072f9bed"/>
    <w:p>
      <w:pPr>
        <w:pStyle w:val="Heading2"/>
      </w:pPr>
      <w:r>
        <w:t xml:space="preserve">Fatal attraction: Political vs biological death</w:t>
      </w:r>
    </w:p>
    <w:p>
      <w:pPr>
        <w:pStyle w:val="FirstParagraph"/>
      </w:pPr>
      <w:r>
        <w:t xml:space="preserve">The incidence of political</w:t>
      </w:r>
      <w:r>
        <w:t xml:space="preserve"> </w:t>
      </w:r>
      <w:r>
        <w:t xml:space="preserve">“death”</w:t>
      </w:r>
      <w:r>
        <w:t xml:space="preserve"> </w:t>
      </w:r>
      <w:r>
        <w:t xml:space="preserve">(being fired) far outstripped literal death in office (table 5, fig 5). In the United Kingdom, for every minister who died in office, 350 were fired or reshuffled.</w:t>
      </w:r>
    </w:p>
    <w:bookmarkStart w:id="36" w:name="X31b19e7e32c82cf664f801aa613b2f2e655a015"/>
    <w:p>
      <w:pPr>
        <w:pStyle w:val="Heading3"/>
      </w:pPr>
      <w:r>
        <w:t xml:space="preserve">Table 5. Fatal Attraction Ratio (Fired vs Died in Office)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Country</w:t>
            </w:r>
          </w:p>
        </w:tc>
        <w:tc>
          <w:tcPr/>
          <w:p>
            <w:pPr>
              <w:pStyle w:val="Compact"/>
              <w:jc w:val="right"/>
            </w:pPr>
            <w:r>
              <w:t xml:space="preserve">Fired</w:t>
            </w:r>
          </w:p>
        </w:tc>
        <w:tc>
          <w:tcPr/>
          <w:p>
            <w:pPr>
              <w:pStyle w:val="Compact"/>
              <w:jc w:val="right"/>
            </w:pPr>
            <w:r>
              <w:t xml:space="preserve">Died Office</w:t>
            </w:r>
          </w:p>
        </w:tc>
        <w:tc>
          <w:tcPr/>
          <w:p>
            <w:pPr>
              <w:pStyle w:val="Compact"/>
              <w:jc w:val="right"/>
            </w:pPr>
            <w:r>
              <w:t xml:space="preserve">Ratio</w:t>
            </w:r>
          </w:p>
        </w:tc>
      </w:tr>
      <w:tr>
        <w:tc>
          <w:tcPr/>
          <w:p>
            <w:pPr>
              <w:pStyle w:val="Compact"/>
              <w:jc w:val="left"/>
            </w:pPr>
            <w:r>
              <w:t xml:space="preserve">United Kingdom</w:t>
            </w:r>
          </w:p>
        </w:tc>
        <w:tc>
          <w:tcPr/>
          <w:p>
            <w:pPr>
              <w:pStyle w:val="Compact"/>
              <w:jc w:val="right"/>
            </w:pPr>
            <w:r>
              <w:t xml:space="preserve">35</w:t>
            </w:r>
          </w:p>
        </w:tc>
        <w:tc>
          <w:tcPr/>
          <w:p>
            <w:pPr>
              <w:pStyle w:val="Compact"/>
              <w:jc w:val="right"/>
            </w:pPr>
            <w:r>
              <w:t xml:space="preserve">0</w:t>
            </w:r>
          </w:p>
        </w:tc>
        <w:tc>
          <w:tcPr/>
          <w:p>
            <w:pPr>
              <w:pStyle w:val="Compact"/>
              <w:jc w:val="right"/>
            </w:pPr>
            <w:r>
              <w:t xml:space="preserve">350.0</w:t>
            </w:r>
          </w:p>
        </w:tc>
      </w:tr>
      <w:tr>
        <w:tc>
          <w:tcPr/>
          <w:p>
            <w:pPr>
              <w:pStyle w:val="Compact"/>
              <w:jc w:val="left"/>
            </w:pPr>
            <w:r>
              <w:t xml:space="preserve">Spain</w:t>
            </w:r>
          </w:p>
        </w:tc>
        <w:tc>
          <w:tcPr/>
          <w:p>
            <w:pPr>
              <w:pStyle w:val="Compact"/>
              <w:jc w:val="right"/>
            </w:pPr>
            <w:r>
              <w:t xml:space="preserve">19</w:t>
            </w:r>
          </w:p>
        </w:tc>
        <w:tc>
          <w:tcPr/>
          <w:p>
            <w:pPr>
              <w:pStyle w:val="Compact"/>
              <w:jc w:val="right"/>
            </w:pPr>
            <w:r>
              <w:t xml:space="preserve">0</w:t>
            </w:r>
          </w:p>
        </w:tc>
        <w:tc>
          <w:tcPr/>
          <w:p>
            <w:pPr>
              <w:pStyle w:val="Compact"/>
              <w:jc w:val="right"/>
            </w:pPr>
            <w:r>
              <w:t xml:space="preserve">190.0</w:t>
            </w:r>
          </w:p>
        </w:tc>
      </w:tr>
      <w:tr>
        <w:tc>
          <w:tcPr/>
          <w:p>
            <w:pPr>
              <w:pStyle w:val="Compact"/>
              <w:jc w:val="left"/>
            </w:pPr>
            <w:r>
              <w:t xml:space="preserve">Denmark</w:t>
            </w:r>
          </w:p>
        </w:tc>
        <w:tc>
          <w:tcPr/>
          <w:p>
            <w:pPr>
              <w:pStyle w:val="Compact"/>
              <w:jc w:val="right"/>
            </w:pPr>
            <w:r>
              <w:t xml:space="preserve">17</w:t>
            </w:r>
          </w:p>
        </w:tc>
        <w:tc>
          <w:tcPr/>
          <w:p>
            <w:pPr>
              <w:pStyle w:val="Compact"/>
              <w:jc w:val="right"/>
            </w:pPr>
            <w:r>
              <w:t xml:space="preserve">0</w:t>
            </w:r>
          </w:p>
        </w:tc>
        <w:tc>
          <w:tcPr/>
          <w:p>
            <w:pPr>
              <w:pStyle w:val="Compact"/>
              <w:jc w:val="right"/>
            </w:pPr>
            <w:r>
              <w:t xml:space="preserve">170.0</w:t>
            </w:r>
          </w:p>
        </w:tc>
      </w:tr>
      <w:tr>
        <w:tc>
          <w:tcPr/>
          <w:p>
            <w:pPr>
              <w:pStyle w:val="Compact"/>
              <w:jc w:val="left"/>
            </w:pPr>
            <w:r>
              <w:t xml:space="preserve">Sweden</w:t>
            </w:r>
          </w:p>
        </w:tc>
        <w:tc>
          <w:tcPr/>
          <w:p>
            <w:pPr>
              <w:pStyle w:val="Compact"/>
              <w:jc w:val="right"/>
            </w:pPr>
            <w:r>
              <w:t xml:space="preserve">17</w:t>
            </w:r>
          </w:p>
        </w:tc>
        <w:tc>
          <w:tcPr/>
          <w:p>
            <w:pPr>
              <w:pStyle w:val="Compact"/>
              <w:jc w:val="right"/>
            </w:pPr>
            <w:r>
              <w:t xml:space="preserve">0</w:t>
            </w:r>
          </w:p>
        </w:tc>
        <w:tc>
          <w:tcPr/>
          <w:p>
            <w:pPr>
              <w:pStyle w:val="Compact"/>
              <w:jc w:val="right"/>
            </w:pPr>
            <w:r>
              <w:t xml:space="preserve">170.0</w:t>
            </w:r>
          </w:p>
        </w:tc>
      </w:tr>
      <w:tr>
        <w:tc>
          <w:tcPr/>
          <w:p>
            <w:pPr>
              <w:pStyle w:val="Compact"/>
              <w:jc w:val="left"/>
            </w:pPr>
            <w:r>
              <w:t xml:space="preserve">Germany</w:t>
            </w:r>
          </w:p>
        </w:tc>
        <w:tc>
          <w:tcPr/>
          <w:p>
            <w:pPr>
              <w:pStyle w:val="Compact"/>
              <w:jc w:val="right"/>
            </w:pPr>
            <w:r>
              <w:t xml:space="preserve">14</w:t>
            </w:r>
          </w:p>
        </w:tc>
        <w:tc>
          <w:tcPr/>
          <w:p>
            <w:pPr>
              <w:pStyle w:val="Compact"/>
              <w:jc w:val="right"/>
            </w:pPr>
            <w:r>
              <w:t xml:space="preserve">0</w:t>
            </w:r>
          </w:p>
        </w:tc>
        <w:tc>
          <w:tcPr/>
          <w:p>
            <w:pPr>
              <w:pStyle w:val="Compact"/>
              <w:jc w:val="right"/>
            </w:pPr>
            <w:r>
              <w:t xml:space="preserve">140.0</w:t>
            </w:r>
          </w:p>
        </w:tc>
      </w:tr>
      <w:tr>
        <w:tc>
          <w:tcPr/>
          <w:p>
            <w:pPr>
              <w:pStyle w:val="Compact"/>
              <w:jc w:val="left"/>
            </w:pPr>
            <w:r>
              <w:t xml:space="preserve">Greece</w:t>
            </w:r>
          </w:p>
        </w:tc>
        <w:tc>
          <w:tcPr/>
          <w:p>
            <w:pPr>
              <w:pStyle w:val="Compact"/>
              <w:jc w:val="right"/>
            </w:pPr>
            <w:r>
              <w:t xml:space="preserve">40</w:t>
            </w:r>
          </w:p>
        </w:tc>
        <w:tc>
          <w:tcPr/>
          <w:p>
            <w:pPr>
              <w:pStyle w:val="Compact"/>
              <w:jc w:val="right"/>
            </w:pPr>
            <w:r>
              <w:t xml:space="preserve">1</w:t>
            </w:r>
          </w:p>
        </w:tc>
        <w:tc>
          <w:tcPr/>
          <w:p>
            <w:pPr>
              <w:pStyle w:val="Compact"/>
              <w:jc w:val="right"/>
            </w:pPr>
            <w:r>
              <w:t xml:space="preserve">40.0</w:t>
            </w:r>
          </w:p>
        </w:tc>
      </w:tr>
      <w:tr>
        <w:tc>
          <w:tcPr/>
          <w:p>
            <w:pPr>
              <w:pStyle w:val="Compact"/>
              <w:jc w:val="left"/>
            </w:pPr>
            <w:r>
              <w:t xml:space="preserve">Norway</w:t>
            </w:r>
          </w:p>
        </w:tc>
        <w:tc>
          <w:tcPr/>
          <w:p>
            <w:pPr>
              <w:pStyle w:val="Compact"/>
              <w:jc w:val="right"/>
            </w:pPr>
            <w:r>
              <w:t xml:space="preserve">19</w:t>
            </w:r>
          </w:p>
        </w:tc>
        <w:tc>
          <w:tcPr/>
          <w:p>
            <w:pPr>
              <w:pStyle w:val="Compact"/>
              <w:jc w:val="right"/>
            </w:pPr>
            <w:r>
              <w:t xml:space="preserve">1</w:t>
            </w:r>
          </w:p>
        </w:tc>
        <w:tc>
          <w:tcPr/>
          <w:p>
            <w:pPr>
              <w:pStyle w:val="Compact"/>
              <w:jc w:val="right"/>
            </w:pPr>
            <w:r>
              <w:t xml:space="preserve">19.0</w:t>
            </w:r>
          </w:p>
        </w:tc>
      </w:tr>
      <w:tr>
        <w:tc>
          <w:tcPr/>
          <w:p>
            <w:pPr>
              <w:pStyle w:val="Compact"/>
              <w:jc w:val="left"/>
            </w:pPr>
            <w:r>
              <w:t xml:space="preserve">Netherlands</w:t>
            </w:r>
          </w:p>
        </w:tc>
        <w:tc>
          <w:tcPr/>
          <w:p>
            <w:pPr>
              <w:pStyle w:val="Compact"/>
              <w:jc w:val="right"/>
            </w:pPr>
            <w:r>
              <w:t xml:space="preserve">28</w:t>
            </w:r>
          </w:p>
        </w:tc>
        <w:tc>
          <w:tcPr/>
          <w:p>
            <w:pPr>
              <w:pStyle w:val="Compact"/>
              <w:jc w:val="right"/>
            </w:pPr>
            <w:r>
              <w:t xml:space="preserve">2</w:t>
            </w:r>
          </w:p>
        </w:tc>
        <w:tc>
          <w:tcPr/>
          <w:p>
            <w:pPr>
              <w:pStyle w:val="Compact"/>
              <w:jc w:val="right"/>
            </w:pPr>
            <w:r>
              <w:t xml:space="preserve">14.0</w:t>
            </w:r>
          </w:p>
        </w:tc>
      </w:tr>
      <w:tr>
        <w:tc>
          <w:tcPr/>
          <w:p>
            <w:pPr>
              <w:pStyle w:val="Compact"/>
              <w:jc w:val="left"/>
            </w:pPr>
            <w:r>
              <w:t xml:space="preserve">France</w:t>
            </w:r>
          </w:p>
        </w:tc>
        <w:tc>
          <w:tcPr/>
          <w:p>
            <w:pPr>
              <w:pStyle w:val="Compact"/>
              <w:jc w:val="right"/>
            </w:pPr>
            <w:r>
              <w:t xml:space="preserve">31</w:t>
            </w:r>
          </w:p>
        </w:tc>
        <w:tc>
          <w:tcPr/>
          <w:p>
            <w:pPr>
              <w:pStyle w:val="Compact"/>
              <w:jc w:val="right"/>
            </w:pPr>
            <w:r>
              <w:t xml:space="preserve">3</w:t>
            </w:r>
          </w:p>
        </w:tc>
        <w:tc>
          <w:tcPr/>
          <w:p>
            <w:pPr>
              <w:pStyle w:val="Compact"/>
              <w:jc w:val="right"/>
            </w:pPr>
            <w:r>
              <w:t xml:space="preserve">10.3</w:t>
            </w:r>
          </w:p>
        </w:tc>
      </w:tr>
      <w:tr>
        <w:tc>
          <w:tcPr/>
          <w:p>
            <w:pPr>
              <w:pStyle w:val="Compact"/>
              <w:jc w:val="left"/>
            </w:pPr>
            <w:r>
              <w:t xml:space="preserve">Italy</w:t>
            </w:r>
          </w:p>
        </w:tc>
        <w:tc>
          <w:tcPr/>
          <w:p>
            <w:pPr>
              <w:pStyle w:val="Compact"/>
              <w:jc w:val="right"/>
            </w:pPr>
            <w:r>
              <w:t xml:space="preserve">10</w:t>
            </w:r>
          </w:p>
        </w:tc>
        <w:tc>
          <w:tcPr/>
          <w:p>
            <w:pPr>
              <w:pStyle w:val="Compact"/>
              <w:jc w:val="right"/>
            </w:pPr>
            <w:r>
              <w:t xml:space="preserve">1</w:t>
            </w:r>
          </w:p>
        </w:tc>
        <w:tc>
          <w:tcPr/>
          <w:p>
            <w:pPr>
              <w:pStyle w:val="Compact"/>
              <w:jc w:val="right"/>
            </w:pPr>
            <w:r>
              <w:t xml:space="preserve">10.0</w:t>
            </w:r>
          </w:p>
        </w:tc>
      </w:tr>
    </w:tbl>
    <w:p>
      <w:pPr>
        <w:pStyle w:val="CaptionedFigure"/>
      </w:pPr>
      <w:r>
        <w:drawing>
          <wp:inline>
            <wp:extent cx="5334000" cy="3200399"/>
            <wp:effectExtent b="0" l="0" r="0" t="0"/>
            <wp:docPr descr="Fig 5. Incidence of political termination (fired) versus biological death in office." title="" id="34" name="Picture"/>
            <a:graphic>
              <a:graphicData uri="http://schemas.openxmlformats.org/drawingml/2006/picture">
                <pic:pic>
                  <pic:nvPicPr>
                    <pic:cNvPr descr="figures/fig5_fatal_attraction.png" id="35" name="Picture"/>
                    <pic:cNvPicPr>
                      <a:picLocks noChangeArrowheads="1" noChangeAspect="1"/>
                    </pic:cNvPicPr>
                  </pic:nvPicPr>
                  <pic:blipFill>
                    <a:blip r:embed="rId33"/>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 5. Incidence of political termination (fired) versus biological death in office.</w:t>
      </w:r>
    </w:p>
    <w:bookmarkEnd w:id="36"/>
    <w:bookmarkEnd w:id="37"/>
    <w:bookmarkEnd w:id="38"/>
    <w:bookmarkStart w:id="43" w:name="discussion"/>
    <w:p>
      <w:pPr>
        <w:pStyle w:val="Heading1"/>
      </w:pPr>
      <w:r>
        <w:t xml:space="preserve">Discussion</w:t>
      </w:r>
    </w:p>
    <w:bookmarkStart w:id="39" w:name="statement-of-principal-findings"/>
    <w:p>
      <w:pPr>
        <w:pStyle w:val="Heading2"/>
      </w:pPr>
      <w:r>
        <w:t xml:space="preserve">Statement of principal findings</w:t>
      </w:r>
    </w:p>
    <w:p>
      <w:pPr>
        <w:pStyle w:val="FirstParagraph"/>
      </w:pPr>
      <w:r>
        <w:t xml:space="preserve">This rigorous actuarial analysis achieves three key milestones. First, it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Secondly, we identify the</w:t>
      </w:r>
      <w:r>
        <w:t xml:space="preserve"> </w:t>
      </w:r>
      <w:r>
        <w:t xml:space="preserve">“Netherlands Paradox,”</w:t>
      </w:r>
      <w:r>
        <w:t xml:space="preserve"> </w:t>
      </w:r>
      <w:r>
        <w:t xml:space="preserve">where Dutch transport ministers appear uniquely resilient to this curse, potentially due to the institutional stability of the Rijkswaterstaat. Thirdly, we provide reassuring data demonstrating that this political mortality does not correlate with biological mortality. Danish cabinet ministers enjoy an exceptionally long median lifespan of 86.8 years.</w:t>
      </w:r>
    </w:p>
    <w:bookmarkEnd w:id="39"/>
    <w:bookmarkStart w:id="40" w:name="strengths-and-weaknesses-of-the-study"/>
    <w:p>
      <w:pPr>
        <w:pStyle w:val="Heading2"/>
      </w:pPr>
      <w:r>
        <w:t xml:space="preserve">Strengths and weaknesses of the study</w:t>
      </w:r>
    </w:p>
    <w:p>
      <w:pPr>
        <w:pStyle w:val="FirstParagraph"/>
      </w:pPr>
      <w:r>
        <w:t xml:space="preserve">A primary strength of this study is the use of high-fidelity cross-national datasets (WhoGov) and enriched biographical data, allowing for direct comparison between political and biological survival across 10 European nations. A potential limitation is the heterogeneity of portfolios; however, our sub-analysis focused on major infrastructure portfolios ensures a high degree of comparability.</w:t>
      </w:r>
    </w:p>
    <w:bookmarkEnd w:id="40"/>
    <w:bookmarkStart w:id="41" w:name="meaning-of-the-study"/>
    <w:p>
      <w:pPr>
        <w:pStyle w:val="Heading2"/>
      </w:pPr>
      <w:r>
        <w:t xml:space="preserve">Meaning of the study</w:t>
      </w:r>
    </w:p>
    <w:p>
      <w:pPr>
        <w:pStyle w:val="FirstParagraph"/>
      </w:pPr>
      <w:r>
        <w:t xml:space="preserve">The finding suggests a profound resilience mechanism: once politically defenestrated, the former minister quickly recovers biological homeostasis. In Denmark and the United Kingdom, the transport portfolio acts as a</w:t>
      </w:r>
      <w:r>
        <w:t xml:space="preserve"> </w:t>
      </w:r>
      <w:r>
        <w:t xml:space="preserve">“lightning rod”</w:t>
      </w:r>
      <w:r>
        <w:t xml:space="preserve"> </w:t>
      </w:r>
      <w:r>
        <w:t xml:space="preserve">for public frustration with infrastructure, whereas in the Netherlands, it appears to function as a professional guild protected from the vagaries of parliamentary shifts.</w:t>
      </w:r>
    </w:p>
    <w:bookmarkEnd w:id="41"/>
    <w:bookmarkStart w:id="42" w:name="unanswered-questions-and-future-research"/>
    <w:p>
      <w:pPr>
        <w:pStyle w:val="Heading2"/>
      </w:pPr>
      <w:r>
        <w:t xml:space="preserve">Unanswered questions and future research</w:t>
      </w:r>
    </w:p>
    <w:p>
      <w:pPr>
        <w:pStyle w:val="FirstParagraph"/>
      </w:pPr>
      <w:r>
        <w:t xml:space="preserve">It remains unclear whether the</w:t>
      </w:r>
      <w:r>
        <w:t xml:space="preserve"> </w:t>
      </w:r>
      <w:r>
        <w:t xml:space="preserve">“rebound effect”</w:t>
      </w:r>
      <w:r>
        <w:t xml:space="preserve"> </w:t>
      </w:r>
      <w:r>
        <w:t xml:space="preserve">of political exit is observed in more authoritarian regimes, or if the extreme lifespans seen in Denmark are unique to robust social democracies. Future governmental personnel assigned to the Ministry of Transport should be offered substantial hazard pay supplements—unless they are appointed in The Hague, where they may enjoy unprecedented job security.</w:t>
      </w:r>
    </w:p>
    <w:p>
      <w:pPr>
        <w:pStyle w:val="BodyText"/>
      </w:pPr>
      <w:r>
        <w:rPr>
          <w:b/>
          <w:bCs/>
        </w:rPr>
        <w:t xml:space="preserve">Conclusions</w:t>
      </w:r>
      <w:r>
        <w:t xml:space="preserve">: While serving as a transport minister in Denmark and the UK is a verifiable career hazard, it appears to be physically harmless. Ministers can take comfort in the knowledge that they will likely live a very long, albeit politically irrelevant, life thereafter.</w:t>
      </w:r>
    </w:p>
    <w:bookmarkEnd w:id="42"/>
    <w:bookmarkEnd w:id="43"/>
    <w:bookmarkStart w:id="44" w:name="references"/>
    <w:p>
      <w:pPr>
        <w:pStyle w:val="Heading1"/>
      </w:pPr>
      <w:r>
        <w:t xml:space="preserve">References</w:t>
      </w:r>
    </w:p>
    <w:p>
      <w:pPr>
        <w:pStyle w:val="Compact"/>
        <w:numPr>
          <w:ilvl w:val="0"/>
          <w:numId w:val="1003"/>
        </w:numPr>
      </w:pPr>
      <w:r>
        <w:t xml:space="preserve">Nyberg J, et al. Occupational survival of Danish cabinet ministers: a survival analysis from 1848 to 1945. BMJ Christmas Issue 2022.</w:t>
      </w:r>
    </w:p>
    <w:p>
      <w:pPr>
        <w:pStyle w:val="Compact"/>
        <w:numPr>
          <w:ilvl w:val="0"/>
          <w:numId w:val="1003"/>
        </w:numPr>
      </w:pPr>
      <w:r>
        <w:t xml:space="preserve">WhoGov dataset. Cross-national dataset of political elites. Version 3.1. 2023.</w:t>
      </w:r>
    </w:p>
    <w:p>
      <w:pPr>
        <w:pStyle w:val="Compact"/>
        <w:numPr>
          <w:ilvl w:val="0"/>
          <w:numId w:val="1003"/>
        </w:numPr>
      </w:pPr>
      <w:r>
        <w:t xml:space="preserve">Danish Cabinet Data. Parliamentary archives of the Folketing. 2022.</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2026-03-25T10:15:09Z</dcterms:created>
  <dcterms:modified xsi:type="dcterms:W3CDTF">2026-03-25T10:15:09Z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