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from 1945 to 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(hazard ratio 2.23, 95% CI 1.2 to 4.13,</w:t>
      </w:r>
      <w:r>
        <w:t xml:space="preserve"> </w:t>
      </w:r>
      <w:r>
        <w:rPr>
          <w:i/>
          <w:iCs/>
        </w:rPr>
        <w:t xml:space="preserve">P</w:t>
      </w:r>
      <w:r>
        <w:t xml:space="preserve"> </w:t>
      </w:r>
      <w:r>
        <w:t xml:space="preserve">= 0.011). In a pan-European comparison, the Netherlands exhibited the highest political mortality rate (27.5% (28/102)), while Denmark remained relatively stable (16.7% (17/102)). Analyzing literal mortality across Europe, Danish ministers demonstrate an exceptional overall median lifespan of 86.8 years, outliving several comparable European cohorts, most notably in southern Europe.</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However, in a broader European context, Danish ministers are both politically and biologically resilient. The profound political mortality in Denmark does not translate to premature biological death, highlighting the remarkable resilience of the Danish politician when detached from the nation’s railway network.</w:t>
      </w:r>
    </w:p>
    <w:bookmarkEnd w:id="9"/>
    <w:bookmarkStart w:id="12"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w:t>
      </w:r>
      <w:r>
        <w:rPr>
          <w:i/>
          <w:iCs/>
        </w:rPr>
        <w:t xml:space="preserve">P</w:t>
      </w:r>
      <w:r>
        <w:t xml:space="preserve">=0.47),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Start w:id="10" w:name="what-is-already-known-on-this-topic"/>
    <w:p>
      <w:pPr>
        <w:pStyle w:val="Heading3"/>
      </w:pPr>
      <w:r>
        <w:rPr>
          <w:b/>
          <w:bCs/>
        </w:rPr>
        <w:t xml:space="preserve">What is already known on this topic</w:t>
      </w:r>
    </w:p>
    <w:p>
      <w:pPr>
        <w:pStyle w:val="Compact"/>
        <w:numPr>
          <w:ilvl w:val="0"/>
          <w:numId w:val="1001"/>
        </w:numPr>
      </w:pPr>
      <w:r>
        <w:t xml:space="preserve">Government cabinets are notoriously volatile environments for career longevity.</w:t>
      </w:r>
    </w:p>
    <w:p>
      <w:pPr>
        <w:pStyle w:val="Compact"/>
        <w:numPr>
          <w:ilvl w:val="0"/>
          <w:numId w:val="1001"/>
        </w:numPr>
      </w:pPr>
      <w:r>
        <w:t xml:space="preserve">The</w:t>
      </w:r>
      <w:r>
        <w:t xml:space="preserve"> </w:t>
      </w:r>
      <w:r>
        <w:t xml:space="preserve">“Tax Minister Syndrome”</w:t>
      </w:r>
      <w:r>
        <w:t xml:space="preserve"> </w:t>
      </w:r>
      <w:r>
        <w:t xml:space="preserve">has been anecdotally cited as a primary hazard in Danish politics.</w:t>
      </w:r>
    </w:p>
    <w:p>
      <w:pPr>
        <w:pStyle w:val="Compact"/>
        <w:numPr>
          <w:ilvl w:val="0"/>
          <w:numId w:val="1001"/>
        </w:numPr>
      </w:pPr>
      <w:r>
        <w:t xml:space="preserve">The literal mortality of politicians survives primarily through historical anecdotes rather than rigorous survival analysis.</w:t>
      </w:r>
    </w:p>
    <w:bookmarkEnd w:id="10"/>
    <w:bookmarkStart w:id="11" w:name="what-this-study-adds"/>
    <w:p>
      <w:pPr>
        <w:pStyle w:val="Heading3"/>
      </w:pPr>
      <w:r>
        <w:t xml:space="preserve">What this study adds</w:t>
      </w:r>
    </w:p>
    <w:p>
      <w:pPr>
        <w:pStyle w:val="Compact"/>
        <w:numPr>
          <w:ilvl w:val="0"/>
          <w:numId w:val="1002"/>
        </w:numPr>
      </w:pPr>
      <w:r>
        <w:t xml:space="preserve">Serving as Minister of Transport in Denmark more than doubles the hazard of early career termination (HR 2.23,</w:t>
      </w:r>
      <w:r>
        <w:t xml:space="preserve"> </w:t>
      </w:r>
      <w:r>
        <w:rPr>
          <w:i/>
          <w:iCs/>
        </w:rPr>
        <w:t xml:space="preserve">P</w:t>
      </w:r>
      <w:r>
        <w:t xml:space="preserve">=0.011).</w:t>
      </w:r>
    </w:p>
    <w:p>
      <w:pPr>
        <w:pStyle w:val="Compact"/>
        <w:numPr>
          <w:ilvl w:val="0"/>
          <w:numId w:val="1002"/>
        </w:numPr>
      </w:pPr>
      <w:r>
        <w:t xml:space="preserve">Political mortality in Denmark does not translate to biological mortality; ministers exhibit a median lifespan of 86.8 years.</w:t>
      </w:r>
    </w:p>
    <w:p>
      <w:pPr>
        <w:pStyle w:val="Compact"/>
        <w:numPr>
          <w:ilvl w:val="0"/>
          <w:numId w:val="1002"/>
        </w:numPr>
      </w:pPr>
      <w:r>
        <w:t xml:space="preserve">Cross-country analysis shows the Netherlands features the highest political termination rate in Europe.</w:t>
      </w:r>
    </w:p>
    <w:bookmarkEnd w:id="11"/>
    <w:bookmarkEnd w:id="12"/>
    <w:bookmarkStart w:id="17" w:name="methods"/>
    <w:p>
      <w:pPr>
        <w:pStyle w:val="Heading1"/>
      </w:pPr>
      <w:r>
        <w:t xml:space="preserve">Methods</w:t>
      </w:r>
    </w:p>
    <w:bookmarkStart w:id="13"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and transport) across 10 European nations (Denmark, France, Germany, Greece, Italy, Netherlands, Norway, Spain, Sweden, and the United Kingdom).</w:t>
      </w:r>
    </w:p>
    <w:bookmarkEnd w:id="13"/>
    <w:bookmarkStart w:id="14"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4"/>
    <w:bookmarkStart w:id="15"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and health).</w:t>
      </w:r>
    </w:p>
    <w:p>
      <w:pPr>
        <w:pStyle w:val="BodyText"/>
      </w:pPr>
      <w:r>
        <w:t xml:space="preserve">The primary political endpoint, termed</w:t>
      </w:r>
      <w:r>
        <w:t xml:space="preserve"> </w:t>
      </w:r>
      <w:r>
        <w:t xml:space="preserve">“career termination,”</w:t>
      </w:r>
      <w:r>
        <w:t xml:space="preserve"> </w:t>
      </w:r>
      <w:r>
        <w:t xml:space="preserve">was defined as a minister exiting their post before 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25 March 2026.</w:t>
      </w:r>
    </w:p>
    <w:bookmarkEnd w:id="15"/>
    <w:bookmarkStart w:id="16"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Models for career survival were adjusted for the prevailing political bloc and historical era. Statistical significance was designated at</w:t>
      </w:r>
      <w:r>
        <w:t xml:space="preserve"> </w:t>
      </w:r>
      <w:r>
        <w:rPr>
          <w:i/>
          <w:iCs/>
        </w:rPr>
        <w:t xml:space="preserve">P</w:t>
      </w:r>
      <w:r>
        <w:t xml:space="preserve"> </w:t>
      </w:r>
      <w:r>
        <w:t xml:space="preserve">&lt; 0.05. All analyses were conducted in R version 4.5.1.</w:t>
      </w:r>
    </w:p>
    <w:bookmarkEnd w:id="16"/>
    <w:bookmarkEnd w:id="17"/>
    <w:bookmarkStart w:id="35"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and 300 deaths were recorded.</w:t>
      </w:r>
    </w:p>
    <w:bookmarkStart w:id="19" w:name="X39e67f2dec5337847033bbff5918dad5c0113ea"/>
    <w:p>
      <w:pPr>
        <w:pStyle w:val="Heading2"/>
      </w:pPr>
      <w:r>
        <w:t xml:space="preserve">International comparison of ministerial stability</w:t>
      </w:r>
    </w:p>
    <w:p>
      <w:pPr>
        <w:pStyle w:val="FirstParagraph"/>
      </w:pPr>
      <w:r>
        <w:t xml:space="preserve">Across the analyzed European nations, we observed significant variance in political stability (table 1). The Netherlands and the United Kingdom exhibited the highest rates of early career termination, with approximately 27% of ministerial appointments ending prematurely. Denmark, by contrast, appears to be a haven of political longevity, with only 16.7% (17/102) of appointments ending early.</w:t>
      </w:r>
    </w:p>
    <w:bookmarkStart w:id="18" w:name="X55ba4f48067ee0f399cd50a1b8be752e00d4e11"/>
    <w:p>
      <w:pPr>
        <w:pStyle w:val="Heading3"/>
      </w:pPr>
      <w:r>
        <w:t xml:space="preserve">Table 1. Baseline characteristics and cumulative political stability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Country</w:t>
            </w:r>
          </w:p>
        </w:tc>
        <w:tc>
          <w:tcPr/>
          <w:p>
            <w:pPr>
              <w:pStyle w:val="Compact"/>
              <w:jc w:val="right"/>
            </w:pPr>
            <w:r>
              <w:t xml:space="preserve">Appts (N)</w:t>
            </w:r>
          </w:p>
        </w:tc>
        <w:tc>
          <w:tcPr/>
          <w:p>
            <w:pPr>
              <w:pStyle w:val="Compact"/>
              <w:jc w:val="right"/>
            </w:pPr>
            <w:r>
              <w:t xml:space="preserve">Indiv (N)</w:t>
            </w:r>
          </w:p>
        </w:tc>
        <w:tc>
          <w:tcPr/>
          <w:p>
            <w:pPr>
              <w:pStyle w:val="Compact"/>
              <w:jc w:val="left"/>
            </w:pPr>
            <w:r>
              <w:t xml:space="preserve">Period</w:t>
            </w:r>
          </w:p>
        </w:tc>
      </w:tr>
      <w:tr>
        <w:tc>
          <w:tcPr/>
          <w:p>
            <w:pPr>
              <w:pStyle w:val="Compact"/>
              <w:jc w:val="left"/>
            </w:pPr>
            <w:r>
              <w:t xml:space="preserve">Denmark</w:t>
            </w:r>
          </w:p>
        </w:tc>
        <w:tc>
          <w:tcPr/>
          <w:p>
            <w:pPr>
              <w:pStyle w:val="Compact"/>
              <w:jc w:val="right"/>
            </w:pPr>
            <w:r>
              <w:t xml:space="preserve">107</w:t>
            </w:r>
          </w:p>
        </w:tc>
        <w:tc>
          <w:tcPr/>
          <w:p>
            <w:pPr>
              <w:pStyle w:val="Compact"/>
              <w:jc w:val="right"/>
            </w:pPr>
            <w:r>
              <w:t xml:space="preserve">82</w:t>
            </w:r>
          </w:p>
        </w:tc>
        <w:tc>
          <w:tcPr/>
          <w:p>
            <w:pPr>
              <w:pStyle w:val="Compact"/>
              <w:jc w:val="left"/>
            </w:pPr>
            <w:r>
              <w:t xml:space="preserve">1973-2023</w:t>
            </w:r>
          </w:p>
        </w:tc>
      </w:tr>
      <w:tr>
        <w:tc>
          <w:tcPr/>
          <w:p>
            <w:pPr>
              <w:pStyle w:val="Compact"/>
              <w:jc w:val="left"/>
            </w:pPr>
            <w:r>
              <w:t xml:space="preserve">France</w:t>
            </w:r>
          </w:p>
        </w:tc>
        <w:tc>
          <w:tcPr/>
          <w:p>
            <w:pPr>
              <w:pStyle w:val="Compact"/>
              <w:jc w:val="right"/>
            </w:pPr>
            <w:r>
              <w:t xml:space="preserve">138</w:t>
            </w:r>
          </w:p>
        </w:tc>
        <w:tc>
          <w:tcPr/>
          <w:p>
            <w:pPr>
              <w:pStyle w:val="Compact"/>
              <w:jc w:val="right"/>
            </w:pPr>
            <w:r>
              <w:t xml:space="preserve">114</w:t>
            </w:r>
          </w:p>
        </w:tc>
        <w:tc>
          <w:tcPr/>
          <w:p>
            <w:pPr>
              <w:pStyle w:val="Compact"/>
              <w:jc w:val="left"/>
            </w:pPr>
            <w:r>
              <w:t xml:space="preserve">1974-2025</w:t>
            </w:r>
          </w:p>
        </w:tc>
      </w:tr>
      <w:tr>
        <w:tc>
          <w:tcPr/>
          <w:p>
            <w:pPr>
              <w:pStyle w:val="Compact"/>
              <w:jc w:val="left"/>
            </w:pPr>
            <w:r>
              <w:t xml:space="preserve">Germany</w:t>
            </w:r>
          </w:p>
        </w:tc>
        <w:tc>
          <w:tcPr/>
          <w:p>
            <w:pPr>
              <w:pStyle w:val="Compact"/>
              <w:jc w:val="right"/>
            </w:pPr>
            <w:r>
              <w:t xml:space="preserve">81</w:t>
            </w:r>
          </w:p>
        </w:tc>
        <w:tc>
          <w:tcPr/>
          <w:p>
            <w:pPr>
              <w:pStyle w:val="Compact"/>
              <w:jc w:val="right"/>
            </w:pPr>
            <w:r>
              <w:t xml:space="preserve">72</w:t>
            </w:r>
          </w:p>
        </w:tc>
        <w:tc>
          <w:tcPr/>
          <w:p>
            <w:pPr>
              <w:pStyle w:val="Compact"/>
              <w:jc w:val="left"/>
            </w:pPr>
            <w:r>
              <w:t xml:space="preserve">1969-2025</w:t>
            </w:r>
          </w:p>
        </w:tc>
      </w:tr>
      <w:tr>
        <w:tc>
          <w:tcPr/>
          <w:p>
            <w:pPr>
              <w:pStyle w:val="Compact"/>
              <w:jc w:val="left"/>
            </w:pPr>
            <w:r>
              <w:t xml:space="preserve">Greece</w:t>
            </w:r>
          </w:p>
        </w:tc>
        <w:tc>
          <w:tcPr/>
          <w:p>
            <w:pPr>
              <w:pStyle w:val="Compact"/>
              <w:jc w:val="right"/>
            </w:pPr>
            <w:r>
              <w:t xml:space="preserve">155</w:t>
            </w:r>
          </w:p>
        </w:tc>
        <w:tc>
          <w:tcPr/>
          <w:p>
            <w:pPr>
              <w:pStyle w:val="Compact"/>
              <w:jc w:val="right"/>
            </w:pPr>
            <w:r>
              <w:t xml:space="preserve">118</w:t>
            </w:r>
          </w:p>
        </w:tc>
        <w:tc>
          <w:tcPr/>
          <w:p>
            <w:pPr>
              <w:pStyle w:val="Compact"/>
              <w:jc w:val="left"/>
            </w:pPr>
            <w:r>
              <w:t xml:space="preserve">1974-2025</w:t>
            </w:r>
          </w:p>
        </w:tc>
      </w:tr>
      <w:tr>
        <w:tc>
          <w:tcPr/>
          <w:p>
            <w:pPr>
              <w:pStyle w:val="Compact"/>
              <w:jc w:val="left"/>
            </w:pPr>
            <w:r>
              <w:t xml:space="preserve">Italy</w:t>
            </w:r>
          </w:p>
        </w:tc>
        <w:tc>
          <w:tcPr/>
          <w:p>
            <w:pPr>
              <w:pStyle w:val="Compact"/>
              <w:jc w:val="right"/>
            </w:pPr>
            <w:r>
              <w:t xml:space="preserve">142</w:t>
            </w:r>
          </w:p>
        </w:tc>
        <w:tc>
          <w:tcPr/>
          <w:p>
            <w:pPr>
              <w:pStyle w:val="Compact"/>
              <w:jc w:val="right"/>
            </w:pPr>
            <w:r>
              <w:t xml:space="preserve">124</w:t>
            </w:r>
          </w:p>
        </w:tc>
        <w:tc>
          <w:tcPr/>
          <w:p>
            <w:pPr>
              <w:pStyle w:val="Compact"/>
              <w:jc w:val="left"/>
            </w:pPr>
            <w:r>
              <w:t xml:space="preserve">1974-2022</w:t>
            </w:r>
          </w:p>
        </w:tc>
      </w:tr>
      <w:tr>
        <w:tc>
          <w:tcPr/>
          <w:p>
            <w:pPr>
              <w:pStyle w:val="Compact"/>
              <w:jc w:val="left"/>
            </w:pPr>
            <w:r>
              <w:t xml:space="preserve">Netherlands</w:t>
            </w:r>
          </w:p>
        </w:tc>
        <w:tc>
          <w:tcPr/>
          <w:p>
            <w:pPr>
              <w:pStyle w:val="Compact"/>
              <w:jc w:val="right"/>
            </w:pPr>
            <w:r>
              <w:t xml:space="preserve">106</w:t>
            </w:r>
          </w:p>
        </w:tc>
        <w:tc>
          <w:tcPr/>
          <w:p>
            <w:pPr>
              <w:pStyle w:val="Compact"/>
              <w:jc w:val="right"/>
            </w:pPr>
            <w:r>
              <w:t xml:space="preserve">93</w:t>
            </w:r>
          </w:p>
        </w:tc>
        <w:tc>
          <w:tcPr/>
          <w:p>
            <w:pPr>
              <w:pStyle w:val="Compact"/>
              <w:jc w:val="left"/>
            </w:pPr>
            <w:r>
              <w:t xml:space="preserve">1973-2026</w:t>
            </w:r>
          </w:p>
        </w:tc>
      </w:tr>
      <w:tr>
        <w:tc>
          <w:tcPr/>
          <w:p>
            <w:pPr>
              <w:pStyle w:val="Compact"/>
              <w:jc w:val="left"/>
            </w:pPr>
            <w:r>
              <w:t xml:space="preserve">Norway</w:t>
            </w:r>
          </w:p>
        </w:tc>
        <w:tc>
          <w:tcPr/>
          <w:p>
            <w:pPr>
              <w:pStyle w:val="Compact"/>
              <w:jc w:val="right"/>
            </w:pPr>
            <w:r>
              <w:t xml:space="preserve">108</w:t>
            </w:r>
          </w:p>
        </w:tc>
        <w:tc>
          <w:tcPr/>
          <w:p>
            <w:pPr>
              <w:pStyle w:val="Compact"/>
              <w:jc w:val="right"/>
            </w:pPr>
            <w:r>
              <w:t xml:space="preserve">95</w:t>
            </w:r>
          </w:p>
        </w:tc>
        <w:tc>
          <w:tcPr/>
          <w:p>
            <w:pPr>
              <w:pStyle w:val="Compact"/>
              <w:jc w:val="left"/>
            </w:pPr>
            <w:r>
              <w:t xml:space="preserve">1973-2025</w:t>
            </w:r>
          </w:p>
        </w:tc>
      </w:tr>
      <w:tr>
        <w:tc>
          <w:tcPr/>
          <w:p>
            <w:pPr>
              <w:pStyle w:val="Compact"/>
              <w:jc w:val="left"/>
            </w:pPr>
            <w:r>
              <w:t xml:space="preserve">Spain</w:t>
            </w:r>
          </w:p>
        </w:tc>
        <w:tc>
          <w:tcPr/>
          <w:p>
            <w:pPr>
              <w:pStyle w:val="Compact"/>
              <w:jc w:val="right"/>
            </w:pPr>
            <w:r>
              <w:t xml:space="preserve">102</w:t>
            </w:r>
          </w:p>
        </w:tc>
        <w:tc>
          <w:tcPr/>
          <w:p>
            <w:pPr>
              <w:pStyle w:val="Compact"/>
              <w:jc w:val="right"/>
            </w:pPr>
            <w:r>
              <w:t xml:space="preserve">98</w:t>
            </w:r>
          </w:p>
        </w:tc>
        <w:tc>
          <w:tcPr/>
          <w:p>
            <w:pPr>
              <w:pStyle w:val="Compact"/>
              <w:jc w:val="left"/>
            </w:pPr>
            <w:r>
              <w:t xml:space="preserve">1973-2023</w:t>
            </w:r>
          </w:p>
        </w:tc>
      </w:tr>
      <w:tr>
        <w:tc>
          <w:tcPr/>
          <w:p>
            <w:pPr>
              <w:pStyle w:val="Compact"/>
              <w:jc w:val="left"/>
            </w:pPr>
            <w:r>
              <w:t xml:space="preserve">Sweden</w:t>
            </w:r>
          </w:p>
        </w:tc>
        <w:tc>
          <w:tcPr/>
          <w:p>
            <w:pPr>
              <w:pStyle w:val="Compact"/>
              <w:jc w:val="right"/>
            </w:pPr>
            <w:r>
              <w:t xml:space="preserve">97</w:t>
            </w:r>
          </w:p>
        </w:tc>
        <w:tc>
          <w:tcPr/>
          <w:p>
            <w:pPr>
              <w:pStyle w:val="Compact"/>
              <w:jc w:val="right"/>
            </w:pPr>
            <w:r>
              <w:t xml:space="preserve">84</w:t>
            </w:r>
          </w:p>
        </w:tc>
        <w:tc>
          <w:tcPr/>
          <w:p>
            <w:pPr>
              <w:pStyle w:val="Compact"/>
              <w:jc w:val="left"/>
            </w:pPr>
            <w:r>
              <w:t xml:space="preserve">1955-2022</w:t>
            </w:r>
          </w:p>
        </w:tc>
      </w:tr>
      <w:tr>
        <w:tc>
          <w:tcPr/>
          <w:p>
            <w:pPr>
              <w:pStyle w:val="Compact"/>
              <w:jc w:val="left"/>
            </w:pPr>
            <w:r>
              <w:t xml:space="preserve">United Kingdom</w:t>
            </w:r>
          </w:p>
        </w:tc>
        <w:tc>
          <w:tcPr/>
          <w:p>
            <w:pPr>
              <w:pStyle w:val="Compact"/>
              <w:jc w:val="right"/>
            </w:pPr>
            <w:r>
              <w:t xml:space="preserve">134</w:t>
            </w:r>
          </w:p>
        </w:tc>
        <w:tc>
          <w:tcPr/>
          <w:p>
            <w:pPr>
              <w:pStyle w:val="Compact"/>
              <w:jc w:val="right"/>
            </w:pPr>
            <w:r>
              <w:t xml:space="preserve">110</w:t>
            </w:r>
          </w:p>
        </w:tc>
        <w:tc>
          <w:tcPr/>
          <w:p>
            <w:pPr>
              <w:pStyle w:val="Compact"/>
              <w:jc w:val="left"/>
            </w:pPr>
            <w:r>
              <w:t xml:space="preserve">1940-2025</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(9-10 October 1922) in the Neergaard III government—a record for political brevity that remains unsurpassed in our cohort.</w:t>
      </w:r>
    </w:p>
    <w:bookmarkEnd w:id="18"/>
    <w:bookmarkEnd w:id="19"/>
    <w:bookmarkStart w:id="23"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in Denmark (fig 1). While ministers in other portfolios exhibited a predictable attrition rate, those tasked with the nation’s railways and roads experienced steep reductions in survival probability. In the multivariable Cox regression model, the hazard ratio for Danish transport ministers was 2.23 (95% CI 1.2 to 4.13),</w:t>
      </w:r>
      <w:r>
        <w:t xml:space="preserve"> </w:t>
      </w:r>
      <w:r>
        <w:rPr>
          <w:i/>
          <w:iCs/>
        </w:rPr>
        <w:t xml:space="preserve">P</w:t>
      </w:r>
      <w:r>
        <w:t xml:space="preserve"> </w:t>
      </w:r>
      <w:r>
        <w:t xml:space="preserve">= 0.011.</w:t>
      </w:r>
    </w:p>
    <w:p>
      <w:pPr>
        <w:pStyle w:val="BodyText"/>
      </w:pPr>
      <w:r>
        <w:drawing>
          <wp:inline>
            <wp:extent cx="5334000" cy="4000500"/>
            <wp:effectExtent b="0" l="0" r="0" t="0"/>
            <wp:docPr descr="Fig 1. Kaplan-Meier survival curves demonstrating the Transport Minister Curse in Denmark. Transport Ministers face accelerated political mortality compared to their cabinet colleagues." title="" id="21" name="Picture"/>
            <a:graphic>
              <a:graphicData uri="http://schemas.openxmlformats.org/drawingml/2006/picture">
                <pic:pic>
                  <pic:nvPicPr>
                    <pic:cNvPr descr="figures/career_survival_plot_final-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t xml:space="preserve">In the multivariable Cox regression model, the hazard of career termination remained robustly associated with the transport portfolio. After adjusting for the political bloc and historical era, the hazard ratio for transport ministers was 2.23 (95% CI 1.2 to 4.13),</w:t>
      </w:r>
      <w:r>
        <w:t xml:space="preserve"> </w:t>
      </w:r>
      <w:r>
        <w:rPr>
          <w:i/>
          <w:iCs/>
        </w:rPr>
        <w:t xml:space="preserve">P</w:t>
      </w:r>
      <w:r>
        <w:t xml:space="preserve"> </w:t>
      </w:r>
      <w:r>
        <w:t xml:space="preserve">= 0.011.</w:t>
      </w:r>
    </w:p>
    <w:bookmarkEnd w:id="23"/>
    <w:bookmarkStart w:id="27"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 fig 2, Danish ministers demonstrated a median biological lifespan of 86.8 years.</w:t>
      </w:r>
    </w:p>
    <w:p>
      <w:pPr>
        <w:pStyle w:val="CaptionedFigure"/>
      </w:pPr>
      <w:r>
        <w:drawing>
          <wp:inline>
            <wp:extent cx="5334000" cy="4000500"/>
            <wp:effectExtent b="0" l="0" r="0" t="0"/>
            <wp:docPr descr="Fig 2. Kaplan-Meier biological survival curves for cabinet ministers across Europe. Danish and German ministers show exceptional biological resilience." title="" id="25" name="Picture"/>
            <a:graphic>
              <a:graphicData uri="http://schemas.openxmlformats.org/drawingml/2006/picture">
                <pic:pic>
                  <pic:nvPicPr>
                    <pic:cNvPr descr="figures/literal_mortality_plot_final-1.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 2. Kaplan-Meier biological survival curves for cabinet ministers across Europe. Danish and German ministers show exceptional biological resilience.</w:t>
      </w:r>
    </w:p>
    <w:bookmarkEnd w:id="27"/>
    <w:bookmarkStart w:id="32" w:name="Xc42a863eb0fabcf38900dbd674bd47be458ec5c"/>
    <w:p>
      <w:pPr>
        <w:pStyle w:val="Heading2"/>
      </w:pPr>
      <w:r>
        <w:t xml:space="preserve">The global hazard league table by portfolio</w:t>
      </w:r>
    </w:p>
    <w:p>
      <w:pPr>
        <w:pStyle w:val="FirstParagraph"/>
      </w:pPr>
      <w:r>
        <w:t xml:space="preserve">When expanding the analysis across all major portfolios, we identified significant variation in occupational hazard (fig 4). While the health portfolio (reference) and interior portfolios appeared relatively stable, the transport and finance portfolios exhibited consistently higher hazards across the cohort. The United Kingdom and Denmark remained the primary drivers of transport-related career termination, though a pooled analysis confirmed that transport and finance ministers across Europe face a significantly shortened political lifespan compared with their colleagues in health or education.</w:t>
      </w:r>
    </w:p>
    <w:bookmarkStart w:id="31" w:name="Xaa119c0561db6dcdf6e376b161c30bdfc9e042c"/>
    <w:p>
      <w:pPr>
        <w:pStyle w:val="Heading3"/>
      </w:pPr>
      <w:r>
        <w:t xml:space="preserve">Table 4. Hazard ratios for early career termination by ministerial portfolio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Portfolio</w:t>
            </w:r>
          </w:p>
        </w:tc>
        <w:tc>
          <w:tcPr/>
          <w:p>
            <w:pPr>
              <w:pStyle w:val="Compact"/>
              <w:jc w:val="left"/>
            </w:pPr>
            <w:r>
              <w:t xml:space="preserve">Hazard Ratio (vs Health)</w:t>
            </w:r>
          </w:p>
        </w:tc>
        <w:tc>
          <w:tcPr/>
          <w:p>
            <w:pPr>
              <w:pStyle w:val="Compact"/>
              <w:jc w:val="left"/>
            </w:pPr>
            <w:r>
              <w:rPr>
                <w:i/>
                <w:iCs/>
              </w:rPr>
              <w:t xml:space="preserve">P</w:t>
            </w:r>
            <w:r>
              <w:t xml:space="preserve"> </w:t>
            </w:r>
            <w:r>
              <w:t xml:space="preserve">value</w:t>
            </w:r>
          </w:p>
        </w:tc>
      </w:tr>
      <w:tr>
        <w:tc>
          <w:tcPr/>
          <w:p>
            <w:pPr>
              <w:pStyle w:val="Compact"/>
              <w:jc w:val="left"/>
            </w:pPr>
            <w:r>
              <w:t xml:space="preserve">Defense</w:t>
            </w:r>
          </w:p>
        </w:tc>
        <w:tc>
          <w:tcPr/>
          <w:p>
            <w:pPr>
              <w:pStyle w:val="Compact"/>
              <w:jc w:val="left"/>
            </w:pPr>
            <w:r>
              <w:t xml:space="preserve">0.76</w:t>
            </w:r>
          </w:p>
        </w:tc>
        <w:tc>
          <w:tcPr/>
          <w:p>
            <w:pPr>
              <w:pStyle w:val="Compact"/>
              <w:jc w:val="left"/>
            </w:pPr>
            <w:r>
              <w:t xml:space="preserve">0.258</w:t>
            </w:r>
          </w:p>
        </w:tc>
      </w:tr>
      <w:tr>
        <w:tc>
          <w:tcPr/>
          <w:p>
            <w:pPr>
              <w:pStyle w:val="Compact"/>
              <w:jc w:val="left"/>
            </w:pPr>
            <w:r>
              <w:t xml:space="preserve">Finance</w:t>
            </w:r>
          </w:p>
        </w:tc>
        <w:tc>
          <w:tcPr/>
          <w:p>
            <w:pPr>
              <w:pStyle w:val="Compact"/>
              <w:jc w:val="left"/>
            </w:pPr>
            <w:r>
              <w:t xml:space="preserve">1.18</w:t>
            </w:r>
          </w:p>
        </w:tc>
        <w:tc>
          <w:tcPr/>
          <w:p>
            <w:pPr>
              <w:pStyle w:val="Compact"/>
              <w:jc w:val="left"/>
            </w:pPr>
            <w:r>
              <w:t xml:space="preserve">0.422</w:t>
            </w:r>
          </w:p>
        </w:tc>
      </w:tr>
      <w:tr>
        <w:tc>
          <w:tcPr/>
          <w:p>
            <w:pPr>
              <w:pStyle w:val="Compact"/>
              <w:jc w:val="left"/>
            </w:pPr>
            <w:r>
              <w:t xml:space="preserve">Interior/Justice</w:t>
            </w:r>
          </w:p>
        </w:tc>
        <w:tc>
          <w:tcPr/>
          <w:p>
            <w:pPr>
              <w:pStyle w:val="Compact"/>
              <w:jc w:val="left"/>
            </w:pPr>
            <w:r>
              <w:t xml:space="preserve">1.54</w:t>
            </w:r>
          </w:p>
        </w:tc>
        <w:tc>
          <w:tcPr/>
          <w:p>
            <w:pPr>
              <w:pStyle w:val="Compact"/>
              <w:jc w:val="left"/>
            </w:pPr>
            <w:r>
              <w:t xml:space="preserve">0.026</w:t>
            </w:r>
          </w:p>
        </w:tc>
      </w:tr>
      <w:tr>
        <w:tc>
          <w:tcPr/>
          <w:p>
            <w:pPr>
              <w:pStyle w:val="Compact"/>
              <w:jc w:val="left"/>
            </w:pPr>
            <w:r>
              <w:t xml:space="preserve">Transport</w:t>
            </w:r>
          </w:p>
        </w:tc>
        <w:tc>
          <w:tcPr/>
          <w:p>
            <w:pPr>
              <w:pStyle w:val="Compact"/>
              <w:jc w:val="left"/>
            </w:pPr>
            <w:r>
              <w:t xml:space="preserve">1.08</w:t>
            </w:r>
          </w:p>
        </w:tc>
        <w:tc>
          <w:tcPr/>
          <w:p>
            <w:pPr>
              <w:pStyle w:val="Compact"/>
              <w:jc w:val="left"/>
            </w:pPr>
            <w:r>
              <w:t xml:space="preserve">0.712</w:t>
            </w:r>
          </w:p>
        </w:tc>
      </w:tr>
    </w:tbl>
    <w:p>
      <w:pPr>
        <w:pStyle w:val="CaptionedFigure"/>
      </w:pPr>
      <w:r>
        <w:drawing>
          <wp:inline>
            <wp:extent cx="5334000" cy="3200399"/>
            <wp:effectExtent b="0" l="0" r="0" t="0"/>
            <wp:docPr descr="Fig 4. Forest plot of hazards for early career termination across major portfolios. HR &gt; 1 indicates increased risk compared with the health portfolio." title="" id="29" name="Picture"/>
            <a:graphic>
              <a:graphicData uri="http://schemas.openxmlformats.org/drawingml/2006/picture">
                <pic:pic>
                  <pic:nvPicPr>
                    <pic:cNvPr descr="figures/fig4_all_ministries_forest.png" id="30" name="Picture"/>
                    <pic:cNvPicPr>
                      <a:picLocks noChangeArrowheads="1" noChangeAspect="1"/>
                    </pic:cNvPicPr>
                  </pic:nvPicPr>
                  <pic:blipFill>
                    <a:blip r:embed="rId28"/>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 4. Forest plot of hazards for early career termination across major portfolios. HR &gt; 1 indicates increased risk compared with the health portfolio.</w:t>
      </w:r>
    </w:p>
    <w:bookmarkEnd w:id="31"/>
    <w:bookmarkEnd w:id="32"/>
    <w:bookmarkStart w:id="34" w:name="X1137f7fbbc5db59bf5623c9b918641d8a7c6f6e"/>
    <w:p>
      <w:pPr>
        <w:pStyle w:val="Heading2"/>
      </w:pPr>
      <w:r>
        <w:t xml:space="preserve">Epidemiological characteristics of political mortality</w:t>
      </w:r>
    </w:p>
    <w:p>
      <w:pPr>
        <w:pStyle w:val="FirstParagraph"/>
      </w:pPr>
      <w:r>
        <w:t xml:space="preserve">The incidence of political</w:t>
      </w:r>
      <w:r>
        <w:t xml:space="preserve"> </w:t>
      </w:r>
      <w:r>
        <w:t xml:space="preserve">“death”</w:t>
      </w:r>
      <w:r>
        <w:t xml:space="preserve"> </w:t>
      </w:r>
      <w:r>
        <w:t xml:space="preserve">(career termination) exhibited a 5-fold variation across the analyzed nations (table 5). Greece exhibited the highest incidence rate of ministerial firing (21.9 per 100 person-years), followed by the Netherlands and the United Kingdom (over 12 per 100 person-years). Italy demonstrated the highest stability with an incidence rate of only 4.2 per 100 person-years.</w:t>
      </w:r>
    </w:p>
    <w:bookmarkStart w:id="33" w:name="Xe6ec7e555e4e25689f93c64bb9a3ed265cc271f"/>
    <w:p>
      <w:pPr>
        <w:pStyle w:val="Heading3"/>
      </w:pPr>
      <w:r>
        <w:t xml:space="preserve">Table 5. Epidemiological characteristics of cabinet ministers by country</w:t>
      </w:r>
    </w:p>
    <w:tbl>
      <w:tblPr>
        <w:tblStyle w:val="Table"/>
        <w:tblW w:type="pct" w:w="5000"/>
        <w:tblLayout w:type="fixed"/>
        <w:tblLook w:firstRow="1" w:lastRow="0" w:firstColumn="0" w:lastColumn="0" w:noHBand="0" w:noVBand="0" w:val="0020"/>
      </w:tblPr>
      <w:tblGrid>
        <w:gridCol w:w="1466"/>
        <w:gridCol w:w="1271"/>
        <w:gridCol w:w="1466"/>
        <w:gridCol w:w="977"/>
        <w:gridCol w:w="2737"/>
      </w:tblGrid>
      <w:tr>
        <w:trPr>
          <w:tblHeader w:val="on"/>
        </w:trPr>
        <w:tc>
          <w:tcPr/>
          <w:p>
            <w:pPr>
              <w:pStyle w:val="Compact"/>
              <w:jc w:val="left"/>
            </w:pPr>
            <w:r>
              <w:t xml:space="preserve">Country</w:t>
            </w:r>
          </w:p>
        </w:tc>
        <w:tc>
          <w:tcPr/>
          <w:p>
            <w:pPr>
              <w:pStyle w:val="Compact"/>
              <w:jc w:val="right"/>
            </w:pPr>
            <w:r>
              <w:t xml:space="preserve">Person-Years</w:t>
            </w:r>
          </w:p>
        </w:tc>
        <w:tc>
          <w:tcPr/>
          <w:p>
            <w:pPr>
              <w:pStyle w:val="Compact"/>
              <w:jc w:val="right"/>
            </w:pPr>
            <w:r>
              <w:t xml:space="preserve">Unique Persons</w:t>
            </w:r>
          </w:p>
        </w:tc>
        <w:tc>
          <w:tcPr/>
          <w:p>
            <w:pPr>
              <w:pStyle w:val="Compact"/>
              <w:jc w:val="right"/>
            </w:pPr>
            <w:r>
              <w:t xml:space="preserve">Fired (N)</w:t>
            </w:r>
          </w:p>
        </w:tc>
        <w:tc>
          <w:tcPr/>
          <w:p>
            <w:pPr>
              <w:pStyle w:val="Compact"/>
              <w:jc w:val="right"/>
            </w:pPr>
            <w:r>
              <w:t xml:space="preserve">Incidence Rate (per 100 PY)</w:t>
            </w:r>
          </w:p>
        </w:tc>
      </w:tr>
      <w:tr>
        <w:tc>
          <w:tcPr/>
          <w:p>
            <w:pPr>
              <w:pStyle w:val="Compact"/>
              <w:jc w:val="left"/>
            </w:pPr>
            <w:r>
              <w:t xml:space="preserve">Greece</w:t>
            </w:r>
          </w:p>
        </w:tc>
        <w:tc>
          <w:tcPr/>
          <w:p>
            <w:pPr>
              <w:pStyle w:val="Compact"/>
              <w:jc w:val="right"/>
            </w:pPr>
            <w:r>
              <w:t xml:space="preserve">183.0</w:t>
            </w:r>
          </w:p>
        </w:tc>
        <w:tc>
          <w:tcPr/>
          <w:p>
            <w:pPr>
              <w:pStyle w:val="Compact"/>
              <w:jc w:val="right"/>
            </w:pPr>
            <w:r>
              <w:t xml:space="preserve">115</w:t>
            </w:r>
          </w:p>
        </w:tc>
        <w:tc>
          <w:tcPr/>
          <w:p>
            <w:pPr>
              <w:pStyle w:val="Compact"/>
              <w:jc w:val="right"/>
            </w:pPr>
            <w:r>
              <w:t xml:space="preserve">40</w:t>
            </w:r>
          </w:p>
        </w:tc>
        <w:tc>
          <w:tcPr/>
          <w:p>
            <w:pPr>
              <w:pStyle w:val="Compact"/>
              <w:jc w:val="right"/>
            </w:pPr>
            <w:r>
              <w:t xml:space="preserve">21.86</w:t>
            </w:r>
          </w:p>
        </w:tc>
      </w:tr>
      <w:tr>
        <w:tc>
          <w:tcPr/>
          <w:p>
            <w:pPr>
              <w:pStyle w:val="Compact"/>
              <w:jc w:val="left"/>
            </w:pPr>
            <w:r>
              <w:t xml:space="preserve">Netherlands</w:t>
            </w:r>
          </w:p>
        </w:tc>
        <w:tc>
          <w:tcPr/>
          <w:p>
            <w:pPr>
              <w:pStyle w:val="Compact"/>
              <w:jc w:val="right"/>
            </w:pPr>
            <w:r>
              <w:t xml:space="preserve">217.9</w:t>
            </w:r>
          </w:p>
        </w:tc>
        <w:tc>
          <w:tcPr/>
          <w:p>
            <w:pPr>
              <w:pStyle w:val="Compact"/>
              <w:jc w:val="right"/>
            </w:pPr>
            <w:r>
              <w:t xml:space="preserve">90</w:t>
            </w:r>
          </w:p>
        </w:tc>
        <w:tc>
          <w:tcPr/>
          <w:p>
            <w:pPr>
              <w:pStyle w:val="Compact"/>
              <w:jc w:val="right"/>
            </w:pPr>
            <w:r>
              <w:t xml:space="preserve">28</w:t>
            </w:r>
          </w:p>
        </w:tc>
        <w:tc>
          <w:tcPr/>
          <w:p>
            <w:pPr>
              <w:pStyle w:val="Compact"/>
              <w:jc w:val="right"/>
            </w:pPr>
            <w:r>
              <w:t xml:space="preserve">12.85</w:t>
            </w:r>
          </w:p>
        </w:tc>
      </w:tr>
      <w:tr>
        <w:tc>
          <w:tcPr/>
          <w:p>
            <w:pPr>
              <w:pStyle w:val="Compact"/>
              <w:jc w:val="left"/>
            </w:pPr>
            <w:r>
              <w:t xml:space="preserve">United Kingdom</w:t>
            </w:r>
          </w:p>
        </w:tc>
        <w:tc>
          <w:tcPr/>
          <w:p>
            <w:pPr>
              <w:pStyle w:val="Compact"/>
              <w:jc w:val="right"/>
            </w:pPr>
            <w:r>
              <w:t xml:space="preserve">283.5</w:t>
            </w:r>
          </w:p>
        </w:tc>
        <w:tc>
          <w:tcPr/>
          <w:p>
            <w:pPr>
              <w:pStyle w:val="Compact"/>
              <w:jc w:val="right"/>
            </w:pPr>
            <w:r>
              <w:t xml:space="preserve">105</w:t>
            </w:r>
          </w:p>
        </w:tc>
        <w:tc>
          <w:tcPr/>
          <w:p>
            <w:pPr>
              <w:pStyle w:val="Compact"/>
              <w:jc w:val="right"/>
            </w:pPr>
            <w:r>
              <w:t xml:space="preserve">35</w:t>
            </w:r>
          </w:p>
        </w:tc>
        <w:tc>
          <w:tcPr/>
          <w:p>
            <w:pPr>
              <w:pStyle w:val="Compact"/>
              <w:jc w:val="right"/>
            </w:pPr>
            <w:r>
              <w:t xml:space="preserve">12.34</w:t>
            </w:r>
          </w:p>
        </w:tc>
      </w:tr>
      <w:tr>
        <w:tc>
          <w:tcPr/>
          <w:p>
            <w:pPr>
              <w:pStyle w:val="Compact"/>
              <w:jc w:val="left"/>
            </w:pPr>
            <w:r>
              <w:t xml:space="preserve">France</w:t>
            </w:r>
          </w:p>
        </w:tc>
        <w:tc>
          <w:tcPr/>
          <w:p>
            <w:pPr>
              <w:pStyle w:val="Compact"/>
              <w:jc w:val="right"/>
            </w:pPr>
            <w:r>
              <w:t xml:space="preserve">255.0</w:t>
            </w:r>
          </w:p>
        </w:tc>
        <w:tc>
          <w:tcPr/>
          <w:p>
            <w:pPr>
              <w:pStyle w:val="Compact"/>
              <w:jc w:val="right"/>
            </w:pPr>
            <w:r>
              <w:t xml:space="preserve">110</w:t>
            </w:r>
          </w:p>
        </w:tc>
        <w:tc>
          <w:tcPr/>
          <w:p>
            <w:pPr>
              <w:pStyle w:val="Compact"/>
              <w:jc w:val="right"/>
            </w:pPr>
            <w:r>
              <w:t xml:space="preserve">31</w:t>
            </w:r>
          </w:p>
        </w:tc>
        <w:tc>
          <w:tcPr/>
          <w:p>
            <w:pPr>
              <w:pStyle w:val="Compact"/>
              <w:jc w:val="right"/>
            </w:pPr>
            <w:r>
              <w:t xml:space="preserve">12.16</w:t>
            </w:r>
          </w:p>
        </w:tc>
      </w:tr>
      <w:tr>
        <w:tc>
          <w:tcPr/>
          <w:p>
            <w:pPr>
              <w:pStyle w:val="Compact"/>
              <w:jc w:val="left"/>
            </w:pPr>
            <w:r>
              <w:t xml:space="preserve">Spain</w:t>
            </w:r>
          </w:p>
        </w:tc>
        <w:tc>
          <w:tcPr/>
          <w:p>
            <w:pPr>
              <w:pStyle w:val="Compact"/>
              <w:jc w:val="right"/>
            </w:pPr>
            <w:r>
              <w:t xml:space="preserve">238.1</w:t>
            </w:r>
          </w:p>
        </w:tc>
        <w:tc>
          <w:tcPr/>
          <w:p>
            <w:pPr>
              <w:pStyle w:val="Compact"/>
              <w:jc w:val="right"/>
            </w:pPr>
            <w:r>
              <w:t xml:space="preserve">93</w:t>
            </w:r>
          </w:p>
        </w:tc>
        <w:tc>
          <w:tcPr/>
          <w:p>
            <w:pPr>
              <w:pStyle w:val="Compact"/>
              <w:jc w:val="right"/>
            </w:pPr>
            <w:r>
              <w:t xml:space="preserve">19</w:t>
            </w:r>
          </w:p>
        </w:tc>
        <w:tc>
          <w:tcPr/>
          <w:p>
            <w:pPr>
              <w:pStyle w:val="Compact"/>
              <w:jc w:val="right"/>
            </w:pPr>
            <w:r>
              <w:t xml:space="preserve">7.98</w:t>
            </w:r>
          </w:p>
        </w:tc>
      </w:tr>
      <w:tr>
        <w:tc>
          <w:tcPr/>
          <w:p>
            <w:pPr>
              <w:pStyle w:val="Compact"/>
              <w:jc w:val="left"/>
            </w:pPr>
            <w:r>
              <w:t xml:space="preserve">Norway</w:t>
            </w:r>
          </w:p>
        </w:tc>
        <w:tc>
          <w:tcPr/>
          <w:p>
            <w:pPr>
              <w:pStyle w:val="Compact"/>
              <w:jc w:val="right"/>
            </w:pPr>
            <w:r>
              <w:t xml:space="preserve">252.3</w:t>
            </w:r>
          </w:p>
        </w:tc>
        <w:tc>
          <w:tcPr/>
          <w:p>
            <w:pPr>
              <w:pStyle w:val="Compact"/>
              <w:jc w:val="right"/>
            </w:pPr>
            <w:r>
              <w:t xml:space="preserve">91</w:t>
            </w:r>
          </w:p>
        </w:tc>
        <w:tc>
          <w:tcPr/>
          <w:p>
            <w:pPr>
              <w:pStyle w:val="Compact"/>
              <w:jc w:val="right"/>
            </w:pPr>
            <w:r>
              <w:t xml:space="preserve">19</w:t>
            </w:r>
          </w:p>
        </w:tc>
        <w:tc>
          <w:tcPr/>
          <w:p>
            <w:pPr>
              <w:pStyle w:val="Compact"/>
              <w:jc w:val="right"/>
            </w:pPr>
            <w:r>
              <w:t xml:space="preserve">7.53</w:t>
            </w:r>
          </w:p>
        </w:tc>
      </w:tr>
      <w:tr>
        <w:tc>
          <w:tcPr/>
          <w:p>
            <w:pPr>
              <w:pStyle w:val="Compact"/>
              <w:jc w:val="left"/>
            </w:pPr>
            <w:r>
              <w:t xml:space="preserve">Denmark</w:t>
            </w:r>
          </w:p>
        </w:tc>
        <w:tc>
          <w:tcPr/>
          <w:p>
            <w:pPr>
              <w:pStyle w:val="Compact"/>
              <w:jc w:val="right"/>
            </w:pPr>
            <w:r>
              <w:t xml:space="preserve">227.0</w:t>
            </w:r>
          </w:p>
        </w:tc>
        <w:tc>
          <w:tcPr/>
          <w:p>
            <w:pPr>
              <w:pStyle w:val="Compact"/>
              <w:jc w:val="right"/>
            </w:pPr>
            <w:r>
              <w:t xml:space="preserve">81</w:t>
            </w:r>
          </w:p>
        </w:tc>
        <w:tc>
          <w:tcPr/>
          <w:p>
            <w:pPr>
              <w:pStyle w:val="Compact"/>
              <w:jc w:val="right"/>
            </w:pPr>
            <w:r>
              <w:t xml:space="preserve">17</w:t>
            </w:r>
          </w:p>
        </w:tc>
        <w:tc>
          <w:tcPr/>
          <w:p>
            <w:pPr>
              <w:pStyle w:val="Compact"/>
              <w:jc w:val="right"/>
            </w:pPr>
            <w:r>
              <w:t xml:space="preserve">7.49</w:t>
            </w:r>
          </w:p>
        </w:tc>
      </w:tr>
      <w:tr>
        <w:tc>
          <w:tcPr/>
          <w:p>
            <w:pPr>
              <w:pStyle w:val="Compact"/>
              <w:jc w:val="left"/>
            </w:pPr>
            <w:r>
              <w:t xml:space="preserve">Sweden</w:t>
            </w:r>
          </w:p>
        </w:tc>
        <w:tc>
          <w:tcPr/>
          <w:p>
            <w:pPr>
              <w:pStyle w:val="Compact"/>
              <w:jc w:val="right"/>
            </w:pPr>
            <w:r>
              <w:t xml:space="preserve">276.1</w:t>
            </w:r>
          </w:p>
        </w:tc>
        <w:tc>
          <w:tcPr/>
          <w:p>
            <w:pPr>
              <w:pStyle w:val="Compact"/>
              <w:jc w:val="right"/>
            </w:pPr>
            <w:r>
              <w:t xml:space="preserve">79</w:t>
            </w:r>
          </w:p>
        </w:tc>
        <w:tc>
          <w:tcPr/>
          <w:p>
            <w:pPr>
              <w:pStyle w:val="Compact"/>
              <w:jc w:val="right"/>
            </w:pPr>
            <w:r>
              <w:t xml:space="preserve">17</w:t>
            </w:r>
          </w:p>
        </w:tc>
        <w:tc>
          <w:tcPr/>
          <w:p>
            <w:pPr>
              <w:pStyle w:val="Compact"/>
              <w:jc w:val="right"/>
            </w:pPr>
            <w:r>
              <w:t xml:space="preserve">6.16</w:t>
            </w:r>
          </w:p>
        </w:tc>
      </w:tr>
      <w:tr>
        <w:tc>
          <w:tcPr/>
          <w:p>
            <w:pPr>
              <w:pStyle w:val="Compact"/>
              <w:jc w:val="left"/>
            </w:pPr>
            <w:r>
              <w:t xml:space="preserve">Germany</w:t>
            </w:r>
          </w:p>
        </w:tc>
        <w:tc>
          <w:tcPr/>
          <w:p>
            <w:pPr>
              <w:pStyle w:val="Compact"/>
              <w:jc w:val="right"/>
            </w:pPr>
            <w:r>
              <w:t xml:space="preserve">261.7</w:t>
            </w:r>
          </w:p>
        </w:tc>
        <w:tc>
          <w:tcPr/>
          <w:p>
            <w:pPr>
              <w:pStyle w:val="Compact"/>
              <w:jc w:val="right"/>
            </w:pPr>
            <w:r>
              <w:t xml:space="preserve">68</w:t>
            </w:r>
          </w:p>
        </w:tc>
        <w:tc>
          <w:tcPr/>
          <w:p>
            <w:pPr>
              <w:pStyle w:val="Compact"/>
              <w:jc w:val="right"/>
            </w:pPr>
            <w:r>
              <w:t xml:space="preserve">14</w:t>
            </w:r>
          </w:p>
        </w:tc>
        <w:tc>
          <w:tcPr/>
          <w:p>
            <w:pPr>
              <w:pStyle w:val="Compact"/>
              <w:jc w:val="right"/>
            </w:pPr>
            <w:r>
              <w:t xml:space="preserve">5.35</w:t>
            </w:r>
          </w:p>
        </w:tc>
      </w:tr>
      <w:tr>
        <w:tc>
          <w:tcPr/>
          <w:p>
            <w:pPr>
              <w:pStyle w:val="Compact"/>
              <w:jc w:val="left"/>
            </w:pPr>
            <w:r>
              <w:t xml:space="preserve">Italy</w:t>
            </w:r>
          </w:p>
        </w:tc>
        <w:tc>
          <w:tcPr/>
          <w:p>
            <w:pPr>
              <w:pStyle w:val="Compact"/>
              <w:jc w:val="right"/>
            </w:pPr>
            <w:r>
              <w:t xml:space="preserve">239.5</w:t>
            </w:r>
          </w:p>
        </w:tc>
        <w:tc>
          <w:tcPr/>
          <w:p>
            <w:pPr>
              <w:pStyle w:val="Compact"/>
              <w:jc w:val="right"/>
            </w:pPr>
            <w:r>
              <w:t xml:space="preserve">120</w:t>
            </w:r>
          </w:p>
        </w:tc>
        <w:tc>
          <w:tcPr/>
          <w:p>
            <w:pPr>
              <w:pStyle w:val="Compact"/>
              <w:jc w:val="right"/>
            </w:pPr>
            <w:r>
              <w:t xml:space="preserve">10</w:t>
            </w:r>
          </w:p>
        </w:tc>
        <w:tc>
          <w:tcPr/>
          <w:p>
            <w:pPr>
              <w:pStyle w:val="Compact"/>
              <w:jc w:val="right"/>
            </w:pPr>
            <w:r>
              <w:t xml:space="preserve">4.18</w:t>
            </w:r>
          </w:p>
        </w:tc>
      </w:tr>
    </w:tbl>
    <w:bookmarkEnd w:id="33"/>
    <w:bookmarkEnd w:id="34"/>
    <w:bookmarkEnd w:id="35"/>
    <w:bookmarkStart w:id="40" w:name="discussion"/>
    <w:p>
      <w:pPr>
        <w:pStyle w:val="Heading1"/>
      </w:pPr>
      <w:r>
        <w:t xml:space="preserve">Discussion</w:t>
      </w:r>
    </w:p>
    <w:bookmarkStart w:id="36" w:name="statement-of-principal-findings"/>
    <w:p>
      <w:pPr>
        <w:pStyle w:val="Heading2"/>
      </w:pPr>
      <w:r>
        <w:t xml:space="preserve">Statement of principal findings</w:t>
      </w:r>
    </w:p>
    <w:p>
      <w:pPr>
        <w:pStyle w:val="FirstParagraph"/>
      </w:pPr>
      <w:r>
        <w:t xml:space="preserve">This rigorous actuarial analysis achieves three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Secondly, we identify the</w:t>
      </w:r>
      <w:r>
        <w:t xml:space="preserve"> </w:t>
      </w:r>
      <w:r>
        <w:t xml:space="preserve">“Netherlands Paradox,”</w:t>
      </w:r>
      <w:r>
        <w:t xml:space="preserve"> </w:t>
      </w:r>
      <w:r>
        <w:t xml:space="preserve">where Dutch transport ministers appear uniquely resilient to this curse, potentially due to the institutional stability of the Rijkswaterstaat. Thirdly, we provide reassuring data demonstrating that this political mortality does not correlate with biological mortality. Danish cabinet ministers enjoy an exceptionally long median lifespan of 86.8 years.</w:t>
      </w:r>
    </w:p>
    <w:bookmarkEnd w:id="36"/>
    <w:bookmarkStart w:id="37" w:name="strengths-and-weaknesses-of-the-study"/>
    <w:p>
      <w:pPr>
        <w:pStyle w:val="Heading2"/>
      </w:pPr>
      <w:r>
        <w:t xml:space="preserve">Strengths and weaknesses of the study</w:t>
      </w:r>
    </w:p>
    <w:p>
      <w:pPr>
        <w:pStyle w:val="FirstParagraph"/>
      </w:pPr>
      <w:r>
        <w:t xml:space="preserve">A primary strength of this study is the use of high-fidelity cross-national datasets (WhoGov) and enriched biographical data, allowing for direct comparison between political and biological survival across 10 European nations. A potential limitation is the heterogeneity of portfolios; however, our sub-analysis focused on major infrastructure portfolios ensures a high degree of comparability.</w:t>
      </w:r>
    </w:p>
    <w:bookmarkEnd w:id="37"/>
    <w:bookmarkStart w:id="38" w:name="meaning-of-the-study"/>
    <w:p>
      <w:pPr>
        <w:pStyle w:val="Heading2"/>
      </w:pPr>
      <w:r>
        <w:t xml:space="preserve">Meaning of the study</w:t>
      </w:r>
    </w:p>
    <w:p>
      <w:pPr>
        <w:pStyle w:val="FirstParagraph"/>
      </w:pPr>
      <w:r>
        <w:t xml:space="preserve">The finding suggests a profound resilience mechanism: once politically defenestrated, the former minister quickly recovers biological homeostasis. In Denmark and the United Kingdom, the transport portfolio acts as a</w:t>
      </w:r>
      <w:r>
        <w:t xml:space="preserve"> </w:t>
      </w:r>
      <w:r>
        <w:t xml:space="preserve">“lightning rod”</w:t>
      </w:r>
      <w:r>
        <w:t xml:space="preserve"> </w:t>
      </w:r>
      <w:r>
        <w:t xml:space="preserve">for public frustration with infrastructure, whereas in the Netherlands, it appears to function as a professional guild protected from the vagaries of parliamentary shifts.</w:t>
      </w:r>
    </w:p>
    <w:bookmarkEnd w:id="38"/>
    <w:bookmarkStart w:id="39" w:name="unanswered-questions-and-future-research"/>
    <w:p>
      <w:pPr>
        <w:pStyle w:val="Heading2"/>
      </w:pPr>
      <w:r>
        <w:t xml:space="preserve">Unanswered questions and future research</w:t>
      </w:r>
    </w:p>
    <w:p>
      <w:pPr>
        <w:pStyle w:val="FirstParagraph"/>
      </w:pPr>
      <w:r>
        <w:t xml:space="preserve">It remains unclear whether the</w:t>
      </w:r>
      <w:r>
        <w:t xml:space="preserve"> </w:t>
      </w:r>
      <w:r>
        <w:t xml:space="preserve">“rebound effect”</w:t>
      </w:r>
      <w:r>
        <w:t xml:space="preserve"> </w:t>
      </w:r>
      <w:r>
        <w:t xml:space="preserve">of political exit is observed in more authoritarian regimes, or if the extreme lifespans seen in Denmark are unique to robust social democracies. Future governmental personnel assigned to the Ministry of Transport should be offered substantial hazard pay supplements—unless they are appointed in The Hague, where they may enjoy unprecedented job security.</w:t>
      </w:r>
    </w:p>
    <w:p>
      <w:pPr>
        <w:pStyle w:val="BodyText"/>
      </w:pPr>
      <w:r>
        <w:rPr>
          <w:b/>
          <w:bCs/>
        </w:rPr>
        <w:t xml:space="preserve">Conclusions</w:t>
      </w:r>
      <w:r>
        <w:t xml:space="preserve">: While serving as a transport minister in Denmark and the UK is a verifiable career hazard, it appears to be physically harmless. Ministers can take comfort in the knowledge that they will likely live a very long, albeit politically irrelevant, life thereafter.</w:t>
      </w:r>
    </w:p>
    <w:bookmarkEnd w:id="39"/>
    <w:bookmarkEnd w:id="40"/>
    <w:bookmarkStart w:id="41" w:name="references"/>
    <w:p>
      <w:pPr>
        <w:pStyle w:val="Heading1"/>
      </w:pPr>
      <w:r>
        <w:t xml:space="preserve">References</w:t>
      </w:r>
    </w:p>
    <w:p>
      <w:pPr>
        <w:pStyle w:val="Compact"/>
        <w:numPr>
          <w:ilvl w:val="0"/>
          <w:numId w:val="1003"/>
        </w:numPr>
      </w:pPr>
      <w:r>
        <w:t xml:space="preserve">Nyberg J, et al. Occupational survival of Danish cabinet ministers: a survival analysis from 1848 to 1945. BMJ Christmas Issue 2022.</w:t>
      </w:r>
    </w:p>
    <w:p>
      <w:pPr>
        <w:pStyle w:val="Compact"/>
        <w:numPr>
          <w:ilvl w:val="0"/>
          <w:numId w:val="1003"/>
        </w:numPr>
      </w:pPr>
      <w:r>
        <w:t xml:space="preserve">WhoGov dataset. Cross-national dataset of political elites. Version 3.1. 2023.</w:t>
      </w:r>
    </w:p>
    <w:p>
      <w:pPr>
        <w:pStyle w:val="Compact"/>
        <w:numPr>
          <w:ilvl w:val="0"/>
          <w:numId w:val="1003"/>
        </w:numPr>
      </w:pPr>
      <w:r>
        <w:t xml:space="preserve">Danish Cabinet Data. Parliamentary archives of the Folketing. 2022.</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2026-03-25T10:29:55Z</dcterms:created>
  <dcterms:modified xsi:type="dcterms:W3CDTF">2026-03-25T10:29:55Z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