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4.png" ContentType="image/png"/>
  <Override PartName="/word/media/rId27.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Occupational Survival of European Cabinet Ministers: A Multi-National Retrospective Cohort Study</w:t>
      </w:r>
    </w:p>
    <w:p>
      <w:pPr>
        <w:pStyle w:val="Author"/>
      </w:pPr>
      <w:r>
        <w:t xml:space="preserve">Michael Asger Andersen</w:t>
      </w:r>
    </w:p>
    <w:p>
      <w:pPr>
        <w:pStyle w:val="Date"/>
      </w:pPr>
      <w:r>
        <w:t xml:space="preserve">2026-03-25</w:t>
      </w:r>
    </w:p>
    <w:bookmarkStart w:id="36" w:name="abstract"/>
    <w:p>
      <w:pPr>
        <w:pStyle w:val="Heading1"/>
      </w:pPr>
      <w:r>
        <w:t xml:space="preserve">Abstract</w:t>
      </w:r>
    </w:p>
    <w:p>
      <w:pPr>
        <w:pStyle w:val="FirstParagraph"/>
      </w:pPr>
      <w:r>
        <w:rPr>
          <w:b/>
          <w:bCs/>
        </w:rPr>
        <w:t xml:space="preserve">Objective</w:t>
      </w:r>
      <w:r>
        <w:t xml:space="preserve">: To quantify the occupational hazards of high-level political office, evaluating both political career survival and physical mortality among European cabinet ministers, with a specific focus on the</w:t>
      </w:r>
      <w:r>
        <w:t xml:space="preserve"> </w:t>
      </w:r>
      <w:r>
        <w:t xml:space="preserve">“Transport Minister Curse.”</w:t>
      </w:r>
      <w:r>
        <w:br/>
      </w:r>
      <w:r>
        <w:rPr>
          <w:b/>
          <w:bCs/>
        </w:rPr>
        <w:t xml:space="preserve">Design</w:t>
      </w:r>
      <w:r>
        <w:t xml:space="preserve">: Population-based retrospective cohort study.</w:t>
      </w:r>
      <w:r>
        <w:br/>
      </w:r>
      <w:r>
        <w:rPr>
          <w:b/>
          <w:bCs/>
        </w:rPr>
        <w:t xml:space="preserve">Setting</w:t>
      </w:r>
      <w:r>
        <w:t xml:space="preserve">: Ten European nations (Denmark, France, Germany, Greece, Italy, Netherlands, Norway, Spain, Sweden, United Kingdom) using the WhoGov cross-national dataset (1945–2025).</w:t>
      </w:r>
      <w:r>
        <w:br/>
      </w:r>
      <w:r>
        <w:rPr>
          <w:b/>
          <w:bCs/>
        </w:rPr>
        <w:t xml:space="preserve">Participants</w:t>
      </w:r>
      <w:r>
        <w:t xml:space="preserve">: A total of 665 Danish cabinet appointments and 1121 international ministerial appointments.</w:t>
      </w:r>
      <w:r>
        <w:br/>
      </w:r>
      <w:r>
        <w:rPr>
          <w:b/>
          <w:bCs/>
        </w:rPr>
        <w:t xml:space="preserve">Main outcome measures</w:t>
      </w:r>
      <w:r>
        <w:t xml:space="preserve">: The primary outcome was</w:t>
      </w:r>
      <w:r>
        <w:t xml:space="preserve"> </w:t>
      </w:r>
      <w:r>
        <w:t xml:space="preserve">“political mortality,”</w:t>
      </w:r>
      <w:r>
        <w:t xml:space="preserve"> </w:t>
      </w:r>
      <w:r>
        <w:t xml:space="preserve">defined as career termination (firing or resignation) prior to the natural dissolution of a government. The secondary outcome was</w:t>
      </w:r>
      <w:r>
        <w:t xml:space="preserve"> </w:t>
      </w:r>
      <w:r>
        <w:t xml:space="preserve">“physical mortality in office.”</w:t>
      </w:r>
      <w:r>
        <w:br/>
      </w:r>
      <w:r>
        <w:rPr>
          <w:b/>
          <w:bCs/>
        </w:rPr>
        <w:t xml:space="preserve">Results</w:t>
      </w:r>
      <w:r>
        <w:t xml:space="preserve">: Serving as Minister of Transport in Denmark was associated with a significantly increased hazard of early career termination (adjusted hazard ratio 3.26, 95% CI 1.39 to 7.65,</w:t>
      </w:r>
      <w:r>
        <w:t xml:space="preserve"> </w:t>
      </w:r>
      <w:r>
        <w:rPr>
          <w:i/>
          <w:iCs/>
        </w:rPr>
        <w:t xml:space="preserve">P</w:t>
      </w:r>
      <w:r>
        <w:t xml:space="preserve"> </w:t>
      </w:r>
      <w:r>
        <w:t xml:space="preserve">= 0.007). Across Europe, political firing rates varied fivefold, from 4.2 per 100 person-years in Italy to 21.9 in Greece. Physical hazards were rare but catastrophic; we identified four deaths in office related to heart failure, myocardial infarction, and malignancy.</w:t>
      </w:r>
      <w:r>
        <w:br/>
      </w:r>
      <w:r>
        <w:rPr>
          <w:b/>
          <w:bCs/>
        </w:rPr>
        <w:t xml:space="preserve">Conclusions</w:t>
      </w:r>
      <w:r>
        <w:t xml:space="preserve">: High-level political office in Europe is characterized by extreme career volatility, particularly within the transport and finance portfolios. While</w:t>
      </w:r>
      <w:r>
        <w:t xml:space="preserve"> </w:t>
      </w:r>
      <w:r>
        <w:t xml:space="preserve">“political death”</w:t>
      </w:r>
      <w:r>
        <w:t xml:space="preserve"> </w:t>
      </w:r>
      <w:r>
        <w:t xml:space="preserve">is common, literal death in office remains infrequent, though often occurring under acute professional stress.</w:t>
      </w:r>
    </w:p>
    <w:bookmarkEnd w:id="36"/>
    <w:bookmarkStart w:id="39" w:name="introduction"/>
    <w:p>
      <w:pPr>
        <w:pStyle w:val="Heading1"/>
      </w:pPr>
      <w:r>
        <w:t xml:space="preserve">Introduction</w:t>
      </w:r>
    </w:p>
    <w:p>
      <w:pPr>
        <w:pStyle w:val="FirstParagraph"/>
      </w:pPr>
      <w:r>
        <w:t xml:space="preserve">The literature on occupational hazards is extensive for traditionally dangerous professions such as deep-sea fishing, offshore drilling, and structural firefighting. However, the occupational risks faced by the architects of national policy—cabinet ministers—remain surprisingly under-researched. While ministers do not routinely face the threat of falling objects or toxic atmospheres (with the occasional exception of parliament house canteens), they are exposed to psychological and professional stressors that rival any high-risk industry.</w:t>
      </w:r>
    </w:p>
    <w:p>
      <w:pPr>
        <w:pStyle w:val="BodyText"/>
      </w:pPr>
      <w:r>
        <w:t xml:space="preserve">Political life is characterized by a unique form of mortality:</w:t>
      </w:r>
      <w:r>
        <w:t xml:space="preserve"> </w:t>
      </w:r>
      <w:r>
        <w:t xml:space="preserve">“career termination.”</w:t>
      </w:r>
      <w:r>
        <w:t xml:space="preserve"> </w:t>
      </w:r>
      <w:r>
        <w:t xml:space="preserve">Unlike traditional employment, where termination follows a predictable path of performance review, ministerial life can end abruptly due to parliamentary shifts, public scandals, or the whims of a head of government. This</w:t>
      </w:r>
      <w:r>
        <w:t xml:space="preserve"> </w:t>
      </w:r>
      <w:r>
        <w:t xml:space="preserve">“political death”</w:t>
      </w:r>
      <w:r>
        <w:t xml:space="preserve"> </w:t>
      </w:r>
      <w:r>
        <w:t xml:space="preserve">often occurs in a highly public and scrutinized environment, carrying significant social and professional costs.</w:t>
      </w:r>
    </w:p>
    <w:p>
      <w:pPr>
        <w:pStyle w:val="BodyText"/>
      </w:pPr>
      <w:r>
        <w:t xml:space="preserve">Furthermore, the physical toll of office cannot be ignored. The cardiovascular impact of high-stakes decision-making and international diplomacy has been hinted at in historical anecdotes, yet few studies have quantitatively assessed the incidence of physical demise during active ministerial service.</w:t>
      </w:r>
    </w:p>
    <w:p>
      <w:pPr>
        <w:pStyle w:val="BodyText"/>
      </w:pPr>
      <w:r>
        <w:t xml:space="preserve">In this study, we leverage the WhoGov cross-national dataset to provide the first comprehensive, STROBE-compliant analysis of ministerial survival across 10 European nations. We specifically investigate the</w:t>
      </w:r>
      <w:r>
        <w:t xml:space="preserve"> </w:t>
      </w:r>
      <w:r>
        <w:t xml:space="preserve">“Transport Minister Curse”</w:t>
      </w:r>
      <w:r>
        <w:t xml:space="preserve">—a phenomenon long suspected by political commentators in Denmark—while situating these findings within a broader European context of political and physical mortality.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w:t>
      </w:r>
      <w:r>
        <w:rPr>
          <w:i/>
          <w:iCs/>
        </w:rPr>
        <w:t xml:space="preserve">P</w:t>
      </w:r>
      <w:r>
        <w:t xml:space="preserve">=0.47),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37"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37"/>
    <w:bookmarkStart w:id="38" w:name="what-this-study-adds"/>
    <w:p>
      <w:pPr>
        <w:pStyle w:val="Heading3"/>
      </w:pPr>
      <w:r>
        <w:t xml:space="preserve">What this study adds</w:t>
      </w:r>
    </w:p>
    <w:p>
      <w:pPr>
        <w:pStyle w:val="Compact"/>
        <w:numPr>
          <w:ilvl w:val="0"/>
          <w:numId w:val="1002"/>
        </w:numPr>
      </w:pPr>
      <w:r>
        <w:t xml:space="preserve">Serving as Minister of Transport in Denmark more than doubles the hazard of early career termination (HR 2.23,</w:t>
      </w:r>
      <w:r>
        <w:t xml:space="preserve"> </w:t>
      </w:r>
      <w:r>
        <w:rPr>
          <w:i/>
          <w:iCs/>
        </w:rPr>
        <w:t xml:space="preserve">P</w:t>
      </w:r>
      <w:r>
        <w:t xml:space="preserve">=0.011).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38"/>
    <w:bookmarkEnd w:id="39"/>
    <w:bookmarkStart w:id="45" w:name="methods"/>
    <w:p>
      <w:pPr>
        <w:pStyle w:val="Heading1"/>
      </w:pPr>
      <w:r>
        <w:t xml:space="preserve">Methods</w:t>
      </w:r>
    </w:p>
    <w:bookmarkStart w:id="40"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and transport) across 10 European nations (Denmark, France, Germany, Greece, Italy, Netherlands, Norway, Spain, Sweden, and the United Kingdom).</w:t>
      </w:r>
    </w:p>
    <w:bookmarkEnd w:id="40"/>
    <w:bookmarkStart w:id="41" w:name="study-design-and-setting"/>
    <w:p>
      <w:pPr>
        <w:pStyle w:val="Heading2"/>
      </w:pPr>
      <w:r>
        <w:t xml:space="preserve">Study design and setting</w:t>
      </w:r>
    </w:p>
    <w:p>
      <w:pPr>
        <w:pStyle w:val="FirstParagraph"/>
      </w:pPr>
      <w:r>
        <w:t xml:space="preserve">We conducted a multicenter retrospective cohort study across 10 European nations (Denmark, France, Germany, Greece, Italy, Netherlands, Norway, Spain, Sweden, and the United Kingdom). The study period varied by nation according to data availability but generally spanned from the post-World War II reconstruction era (1945) to the present day (March 2026). This longitudinal approach allowed for the observation of ministerial survival across diverse geopolitical eras, including the Cold War, the expansion of the European Union, and the digital governance era.</w:t>
      </w:r>
    </w:p>
    <w:bookmarkEnd w:id="41"/>
    <w:bookmarkStart w:id="42" w:name="participants-and-eligibility-criteria"/>
    <w:p>
      <w:pPr>
        <w:pStyle w:val="Heading2"/>
      </w:pPr>
      <w:r>
        <w:t xml:space="preserve">Participants and eligibility criteria</w:t>
      </w:r>
    </w:p>
    <w:p>
      <w:pPr>
        <w:pStyle w:val="FirstParagraph"/>
      </w:pPr>
      <w:r>
        <w:t xml:space="preserve">The study population comprised individuals formally appointed as cabinet ministers within recognized national governments. Participants were identified using the WhoGov cross-national dataset of political elites (version 3.1). Inclusion criteria for the primary analysis required a valid date of appointment and a verifiable date of exit from office.</w:t>
      </w:r>
    </w:p>
    <w:p>
      <w:pPr>
        <w:pStyle w:val="BodyText"/>
      </w:pPr>
      <w:r>
        <w:t xml:space="preserve">To ensure the integrity of the survival analysis and minimize the impact of administrative artifacts, we secondary-filtered the appointments. Ministerial terms lasting fewer than 30 days were excluded, as these often reflect technical overlaps during reshuffles or temporary</w:t>
      </w:r>
      <w:r>
        <w:t xml:space="preserve"> </w:t>
      </w:r>
      <w:r>
        <w:t xml:space="preserve">“ad interim”</w:t>
      </w:r>
      <w:r>
        <w:t xml:space="preserve"> </w:t>
      </w:r>
      <w:r>
        <w:t xml:space="preserve">duties rather than genuine occupational risk. All appointments with nonsensical date boundaries (e.g., negative duration) were likewise excluded.</w:t>
      </w:r>
    </w:p>
    <w:bookmarkEnd w:id="42"/>
    <w:bookmarkStart w:id="43" w:name="variables-and-outcome-definitions"/>
    <w:p>
      <w:pPr>
        <w:pStyle w:val="Heading2"/>
      </w:pPr>
      <w:r>
        <w:t xml:space="preserve">Variables and outcome definitions</w:t>
      </w:r>
    </w:p>
    <w:p>
      <w:pPr>
        <w:pStyle w:val="FirstParagraph"/>
      </w:pPr>
      <w:r>
        <w:t xml:space="preserve">The primary exposure was the ministerial portfolio, categorized into major groups: Transport, Finance, Defense, Interior/Justice, and Health (the latter serving as the reference group due to its perceived universal relevance and comparative stability).</w:t>
      </w:r>
    </w:p>
    <w:p>
      <w:pPr>
        <w:pStyle w:val="BodyText"/>
      </w:pPr>
      <w:r>
        <w:t xml:space="preserve">The primary endpoint,</w:t>
      </w:r>
      <w:r>
        <w:t xml:space="preserve"> </w:t>
      </w:r>
      <w:r>
        <w:t xml:space="preserve">“political mortality,”</w:t>
      </w:r>
      <w:r>
        <w:t xml:space="preserve"> </w:t>
      </w:r>
      <w:r>
        <w:t xml:space="preserve">was defined as career termination occurring before the natural dissolution or structural reorganization of a government. Termination events included dismissal (firing), forced resignation due to scandal, or voluntary resignation prior to government cessation. Appointments that concluded simultaneously with a government’s end were statistically censored.</w:t>
      </w:r>
    </w:p>
    <w:p>
      <w:pPr>
        <w:pStyle w:val="BodyText"/>
      </w:pPr>
      <w:r>
        <w:t xml:space="preserve">The secondary endpoint was</w:t>
      </w:r>
      <w:r>
        <w:t xml:space="preserve"> </w:t>
      </w:r>
      <w:r>
        <w:t xml:space="preserve">“literal death in office,”</w:t>
      </w:r>
      <w:r>
        <w:t xml:space="preserve"> </w:t>
      </w:r>
      <w:r>
        <w:t xml:space="preserve">defined as a participant passing away during their active tenure or within 30 days of an exit that appeared to be biologically rather than politically motivated.</w:t>
      </w:r>
    </w:p>
    <w:bookmarkEnd w:id="43"/>
    <w:bookmarkStart w:id="44" w:name="statistical-methods"/>
    <w:p>
      <w:pPr>
        <w:pStyle w:val="Heading2"/>
      </w:pPr>
      <w:r>
        <w:t xml:space="preserve">Statistical methods</w:t>
      </w:r>
    </w:p>
    <w:p>
      <w:pPr>
        <w:pStyle w:val="FirstParagraph"/>
      </w:pPr>
      <w:r>
        <w:t xml:space="preserve">Career survival was measured in person-years from the date of appointment to either career termination or censoring. We used Kaplan-Meier survival curves to visually assess occupational longevity. To address the</w:t>
      </w:r>
      <w:r>
        <w:t xml:space="preserve"> </w:t>
      </w:r>
      <w:r>
        <w:t xml:space="preserve">“length-biased sampling”</w:t>
      </w:r>
      <w:r>
        <w:t xml:space="preserve"> </w:t>
      </w:r>
      <w:r>
        <w:t xml:space="preserve">inherent in political terms, the time-at-risk for the Danish analysis was capped at 4 years—the maximum standard duration of a parliamentary term in Denmark.</w:t>
      </w:r>
    </w:p>
    <w:p>
      <w:pPr>
        <w:pStyle w:val="BodyText"/>
      </w:pPr>
      <w:r>
        <w:t xml:space="preserve">Hazard ratios (HR) were estimated using multivariable Cox proportional hazards regression models. For the Danish cohort, models were adjusted for the prevailing political bloc (Left-wing vs Right-wing) and historical era. Statistical significance was set at</w:t>
      </w:r>
      <w:r>
        <w:t xml:space="preserve"> </w:t>
      </w:r>
      <w:r>
        <w:rPr>
          <w:i/>
          <w:iCs/>
        </w:rPr>
        <w:t xml:space="preserve">P</w:t>
      </w:r>
      <w:r>
        <w:t xml:space="preserve"> </w:t>
      </w:r>
      <w:r>
        <w:t xml:space="preserve">&lt; 0.05. All analyses were conducted in R version 4.5.1.</w:t>
      </w:r>
    </w:p>
    <w:bookmarkEnd w:id="44"/>
    <w:bookmarkEnd w:id="45"/>
    <w:bookmarkStart w:id="60" w:name="results"/>
    <w:p>
      <w:pPr>
        <w:pStyle w:val="Heading1"/>
      </w:pPr>
      <w:r>
        <w:t xml:space="preserve">Results</w:t>
      </w:r>
    </w:p>
    <w:bookmarkStart w:id="47" w:name="Xe5c75803a9774ebd3d0bb06444c7addac4662b2"/>
    <w:p>
      <w:pPr>
        <w:pStyle w:val="Heading2"/>
      </w:pPr>
      <w:r>
        <w:t xml:space="preserve">Baseline characteristics of the European ministerial cohort</w:t>
      </w:r>
    </w:p>
    <w:p>
      <w:pPr>
        <w:pStyle w:val="FirstParagraph"/>
      </w:pPr>
      <w:r>
        <w:t xml:space="preserve">The analyzed cohort comprised 1121 ministerial appointments across 10 European nations, representing 952 unique individuals (table 1). The United Kingdom, France, and Greece provided the largest individual sub-cohorts, while Denmark and Germany represented the most stable political environments in terms of appointment volume relative to the study period.</w:t>
      </w:r>
    </w:p>
    <w:bookmarkStart w:id="46" w:name="X2cb0b33f96e15a85d8c9c932c7f5eb8213fcb6f"/>
    <w:p>
      <w:pPr>
        <w:pStyle w:val="Heading3"/>
      </w:pPr>
      <w:r>
        <w:t xml:space="preserve">Table 1. Baseline characteristics of the international ministerial cohort (1945–2025)</w:t>
      </w:r>
    </w:p>
    <w:tbl>
      <w:tblPr>
        <w:tblStyle w:val="Table"/>
        <w:tblW w:type="pct" w:w="5000"/>
        <w:tblLayout w:type="fixed"/>
        <w:tblLook w:firstRow="1" w:lastRow="0" w:firstColumn="0" w:lastColumn="0" w:noHBand="0" w:noVBand="0" w:val="0020"/>
      </w:tblPr>
      <w:tblGrid>
        <w:gridCol w:w="1747"/>
        <w:gridCol w:w="2445"/>
        <w:gridCol w:w="2212"/>
        <w:gridCol w:w="1514"/>
      </w:tblGrid>
      <w:tr>
        <w:trPr>
          <w:tblHeader w:val="on"/>
        </w:trPr>
        <w:tc>
          <w:tcPr/>
          <w:p>
            <w:pPr>
              <w:pStyle w:val="Compact"/>
              <w:jc w:val="left"/>
            </w:pPr>
            <w:r>
              <w:t xml:space="preserve">Country</w:t>
            </w:r>
          </w:p>
        </w:tc>
        <w:tc>
          <w:tcPr/>
          <w:p>
            <w:pPr>
              <w:pStyle w:val="Compact"/>
              <w:jc w:val="right"/>
            </w:pPr>
            <w:r>
              <w:t xml:space="preserve">Analyzable Appts (N)</w:t>
            </w:r>
          </w:p>
        </w:tc>
        <w:tc>
          <w:tcPr/>
          <w:p>
            <w:pPr>
              <w:pStyle w:val="Compact"/>
              <w:jc w:val="right"/>
            </w:pPr>
            <w:r>
              <w:t xml:space="preserve">Unique Persons (N)</w:t>
            </w:r>
          </w:p>
        </w:tc>
        <w:tc>
          <w:tcPr/>
          <w:p>
            <w:pPr>
              <w:pStyle w:val="Compact"/>
              <w:jc w:val="left"/>
            </w:pPr>
            <w:r>
              <w:t xml:space="preserve">Study Period</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81</w:t>
            </w:r>
          </w:p>
        </w:tc>
        <w:tc>
          <w:tcPr/>
          <w:p>
            <w:pPr>
              <w:pStyle w:val="Compact"/>
              <w:jc w:val="left"/>
            </w:pPr>
            <w:r>
              <w:t xml:space="preserve">1973-2023</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110</w:t>
            </w:r>
          </w:p>
        </w:tc>
        <w:tc>
          <w:tcPr/>
          <w:p>
            <w:pPr>
              <w:pStyle w:val="Compact"/>
              <w:jc w:val="left"/>
            </w:pPr>
            <w:r>
              <w:t xml:space="preserve">1974-2025</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68</w:t>
            </w:r>
          </w:p>
        </w:tc>
        <w:tc>
          <w:tcPr/>
          <w:p>
            <w:pPr>
              <w:pStyle w:val="Compact"/>
              <w:jc w:val="left"/>
            </w:pPr>
            <w:r>
              <w:t xml:space="preserve">1969-2024</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115</w:t>
            </w:r>
          </w:p>
        </w:tc>
        <w:tc>
          <w:tcPr/>
          <w:p>
            <w:pPr>
              <w:pStyle w:val="Compact"/>
              <w:jc w:val="left"/>
            </w:pPr>
            <w:r>
              <w:t xml:space="preserve">1974-2023</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120</w:t>
            </w:r>
          </w:p>
        </w:tc>
        <w:tc>
          <w:tcPr/>
          <w:p>
            <w:pPr>
              <w:pStyle w:val="Compact"/>
              <w:jc w:val="left"/>
            </w:pPr>
            <w:r>
              <w:t xml:space="preserve">1974-2021</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90</w:t>
            </w:r>
          </w:p>
        </w:tc>
        <w:tc>
          <w:tcPr/>
          <w:p>
            <w:pPr>
              <w:pStyle w:val="Compact"/>
              <w:jc w:val="left"/>
            </w:pPr>
            <w:r>
              <w:t xml:space="preserve">1973-2025</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91</w:t>
            </w:r>
          </w:p>
        </w:tc>
        <w:tc>
          <w:tcPr/>
          <w:p>
            <w:pPr>
              <w:pStyle w:val="Compact"/>
              <w:jc w:val="left"/>
            </w:pPr>
            <w:r>
              <w:t xml:space="preserve">1973-2022</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93</w:t>
            </w:r>
          </w:p>
        </w:tc>
        <w:tc>
          <w:tcPr/>
          <w:p>
            <w:pPr>
              <w:pStyle w:val="Compact"/>
              <w:jc w:val="left"/>
            </w:pPr>
            <w:r>
              <w:t xml:space="preserve">1973-2023</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79</w:t>
            </w:r>
          </w:p>
        </w:tc>
        <w:tc>
          <w:tcPr/>
          <w:p>
            <w:pPr>
              <w:pStyle w:val="Compact"/>
              <w:jc w:val="left"/>
            </w:pPr>
            <w:r>
              <w:t xml:space="preserve">1955-2022</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105</w:t>
            </w:r>
          </w:p>
        </w:tc>
        <w:tc>
          <w:tcPr/>
          <w:p>
            <w:pPr>
              <w:pStyle w:val="Compact"/>
              <w:jc w:val="left"/>
            </w:pPr>
            <w:r>
              <w:t xml:space="preserve">1940-2024</w:t>
            </w:r>
          </w:p>
        </w:tc>
      </w:tr>
    </w:tbl>
    <w:bookmarkEnd w:id="46"/>
    <w:bookmarkEnd w:id="47"/>
    <w:bookmarkStart w:id="49" w:name="X44fe196dfea3d0f54a7e20b1b47b90a985176da"/>
    <w:p>
      <w:pPr>
        <w:pStyle w:val="Heading2"/>
      </w:pPr>
      <w:r>
        <w:t xml:space="preserve">Incidence of political mortality (career termination)</w:t>
      </w:r>
    </w:p>
    <w:p>
      <w:pPr>
        <w:pStyle w:val="FirstParagraph"/>
      </w:pPr>
      <w:r>
        <w:t xml:space="preserve">Across the 10 nations, we observed 5-fold variation in the incidence of political</w:t>
      </w:r>
      <w:r>
        <w:t xml:space="preserve"> </w:t>
      </w:r>
      <w:r>
        <w:t xml:space="preserve">“death”</w:t>
      </w:r>
      <w:r>
        <w:t xml:space="preserve"> </w:t>
      </w:r>
      <w:r>
        <w:t xml:space="preserve">(career termination). Greece exhibited the highest incidence rate of ministerial firing (21.9 per 100 person-years), followed by the Netherlands and the United Kingdom (over 12 per 100 person-years). Conversely, Italy demonstrated the highest professional stability, with an incidence rate of only 4.2 per 100 person-years (table 2).</w:t>
      </w:r>
    </w:p>
    <w:bookmarkStart w:id="48" w:name="X3e40c95bceab9e7688b3cfdf400125c34676d8b"/>
    <w:p>
      <w:pPr>
        <w:pStyle w:val="Heading3"/>
      </w:pPr>
      <w:r>
        <w:t xml:space="preserve">Table 2. Summary of political mortality incidence by nation</w:t>
      </w:r>
    </w:p>
    <w:tbl>
      <w:tblPr>
        <w:tblStyle w:val="Table"/>
        <w:tblW w:type="pct" w:w="5000"/>
        <w:tblLayout w:type="fixed"/>
        <w:tblLook w:firstRow="1" w:lastRow="0" w:firstColumn="0" w:lastColumn="0" w:noHBand="0" w:noVBand="0" w:val="0020"/>
      </w:tblPr>
      <w:tblGrid>
        <w:gridCol w:w="1563"/>
        <w:gridCol w:w="1354"/>
        <w:gridCol w:w="1042"/>
        <w:gridCol w:w="1042"/>
        <w:gridCol w:w="2917"/>
      </w:tblGrid>
      <w:tr>
        <w:trPr>
          <w:tblHeader w:val="on"/>
        </w:trPr>
        <w:tc>
          <w:tcPr/>
          <w:p>
            <w:pPr>
              <w:pStyle w:val="Compact"/>
              <w:jc w:val="left"/>
            </w:pPr>
            <w:r>
              <w:t xml:space="preserve">Country</w:t>
            </w:r>
          </w:p>
        </w:tc>
        <w:tc>
          <w:tcPr/>
          <w:p>
            <w:pPr>
              <w:pStyle w:val="Compact"/>
              <w:jc w:val="right"/>
            </w:pPr>
            <w:r>
              <w:t xml:space="preserve">Person-Years</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Incidence Rate (per 100 PY)</w:t>
            </w:r>
          </w:p>
        </w:tc>
      </w:tr>
      <w:tr>
        <w:tc>
          <w:tcPr/>
          <w:p>
            <w:pPr>
              <w:pStyle w:val="Compact"/>
              <w:jc w:val="left"/>
            </w:pPr>
            <w:r>
              <w:t xml:space="preserve">Greece</w:t>
            </w:r>
          </w:p>
        </w:tc>
        <w:tc>
          <w:tcPr/>
          <w:p>
            <w:pPr>
              <w:pStyle w:val="Compact"/>
              <w:jc w:val="right"/>
            </w:pPr>
            <w:r>
              <w:t xml:space="preserve">183.00</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21.86</w:t>
            </w:r>
          </w:p>
        </w:tc>
      </w:tr>
      <w:tr>
        <w:tc>
          <w:tcPr/>
          <w:p>
            <w:pPr>
              <w:pStyle w:val="Compact"/>
              <w:jc w:val="left"/>
            </w:pPr>
            <w:r>
              <w:t xml:space="preserve">Netherlands</w:t>
            </w:r>
          </w:p>
        </w:tc>
        <w:tc>
          <w:tcPr/>
          <w:p>
            <w:pPr>
              <w:pStyle w:val="Compact"/>
              <w:jc w:val="right"/>
            </w:pPr>
            <w:r>
              <w:t xml:space="preserve">217.93</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12.85</w:t>
            </w:r>
          </w:p>
        </w:tc>
      </w:tr>
      <w:tr>
        <w:tc>
          <w:tcPr/>
          <w:p>
            <w:pPr>
              <w:pStyle w:val="Compact"/>
              <w:jc w:val="left"/>
            </w:pPr>
            <w:r>
              <w:t xml:space="preserve">United Kingdom</w:t>
            </w:r>
          </w:p>
        </w:tc>
        <w:tc>
          <w:tcPr/>
          <w:p>
            <w:pPr>
              <w:pStyle w:val="Compact"/>
              <w:jc w:val="right"/>
            </w:pPr>
            <w:r>
              <w:t xml:space="preserve">283.53</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12.34</w:t>
            </w:r>
          </w:p>
        </w:tc>
      </w:tr>
      <w:tr>
        <w:tc>
          <w:tcPr/>
          <w:p>
            <w:pPr>
              <w:pStyle w:val="Compact"/>
              <w:jc w:val="left"/>
            </w:pPr>
            <w:r>
              <w:t xml:space="preserve">France</w:t>
            </w:r>
          </w:p>
        </w:tc>
        <w:tc>
          <w:tcPr/>
          <w:p>
            <w:pPr>
              <w:pStyle w:val="Compact"/>
              <w:jc w:val="right"/>
            </w:pPr>
            <w:r>
              <w:t xml:space="preserve">254.97</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12.16</w:t>
            </w:r>
          </w:p>
        </w:tc>
      </w:tr>
      <w:tr>
        <w:tc>
          <w:tcPr/>
          <w:p>
            <w:pPr>
              <w:pStyle w:val="Compact"/>
              <w:jc w:val="left"/>
            </w:pPr>
            <w:r>
              <w:t xml:space="preserve">Spain</w:t>
            </w:r>
          </w:p>
        </w:tc>
        <w:tc>
          <w:tcPr/>
          <w:p>
            <w:pPr>
              <w:pStyle w:val="Compact"/>
              <w:jc w:val="right"/>
            </w:pPr>
            <w:r>
              <w:t xml:space="preserve">238.09</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7.98</w:t>
            </w:r>
          </w:p>
        </w:tc>
      </w:tr>
      <w:tr>
        <w:tc>
          <w:tcPr/>
          <w:p>
            <w:pPr>
              <w:pStyle w:val="Compact"/>
              <w:jc w:val="left"/>
            </w:pPr>
            <w:r>
              <w:t xml:space="preserve">Norway</w:t>
            </w:r>
          </w:p>
        </w:tc>
        <w:tc>
          <w:tcPr/>
          <w:p>
            <w:pPr>
              <w:pStyle w:val="Compact"/>
              <w:jc w:val="right"/>
            </w:pPr>
            <w:r>
              <w:t xml:space="preserve">252.34</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7.53</w:t>
            </w:r>
          </w:p>
        </w:tc>
      </w:tr>
      <w:tr>
        <w:tc>
          <w:tcPr/>
          <w:p>
            <w:pPr>
              <w:pStyle w:val="Compact"/>
              <w:jc w:val="left"/>
            </w:pPr>
            <w:r>
              <w:t xml:space="preserve">Denmark</w:t>
            </w:r>
          </w:p>
        </w:tc>
        <w:tc>
          <w:tcPr/>
          <w:p>
            <w:pPr>
              <w:pStyle w:val="Compact"/>
              <w:jc w:val="right"/>
            </w:pPr>
            <w:r>
              <w:t xml:space="preserve">227.05</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7.49</w:t>
            </w:r>
          </w:p>
        </w:tc>
      </w:tr>
      <w:tr>
        <w:tc>
          <w:tcPr/>
          <w:p>
            <w:pPr>
              <w:pStyle w:val="Compact"/>
              <w:jc w:val="left"/>
            </w:pPr>
            <w:r>
              <w:t xml:space="preserve">Sweden</w:t>
            </w:r>
          </w:p>
        </w:tc>
        <w:tc>
          <w:tcPr/>
          <w:p>
            <w:pPr>
              <w:pStyle w:val="Compact"/>
              <w:jc w:val="right"/>
            </w:pPr>
            <w:r>
              <w:t xml:space="preserve">276.15</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6.16</w:t>
            </w:r>
          </w:p>
        </w:tc>
      </w:tr>
      <w:tr>
        <w:tc>
          <w:tcPr/>
          <w:p>
            <w:pPr>
              <w:pStyle w:val="Compact"/>
              <w:jc w:val="left"/>
            </w:pPr>
            <w:r>
              <w:t xml:space="preserve">Germany</w:t>
            </w:r>
          </w:p>
        </w:tc>
        <w:tc>
          <w:tcPr/>
          <w:p>
            <w:pPr>
              <w:pStyle w:val="Compact"/>
              <w:jc w:val="right"/>
            </w:pPr>
            <w:r>
              <w:t xml:space="preserve">261.70</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5.35</w:t>
            </w:r>
          </w:p>
        </w:tc>
      </w:tr>
      <w:tr>
        <w:tc>
          <w:tcPr/>
          <w:p>
            <w:pPr>
              <w:pStyle w:val="Compact"/>
              <w:jc w:val="left"/>
            </w:pPr>
            <w:r>
              <w:t xml:space="preserve">Italy</w:t>
            </w:r>
          </w:p>
        </w:tc>
        <w:tc>
          <w:tcPr/>
          <w:p>
            <w:pPr>
              <w:pStyle w:val="Compact"/>
              <w:jc w:val="right"/>
            </w:pPr>
            <w:r>
              <w:t xml:space="preserve">239.46</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4.18</w:t>
            </w:r>
          </w:p>
        </w:tc>
      </w:tr>
    </w:tbl>
    <w:bookmarkEnd w:id="48"/>
    <w:bookmarkEnd w:id="49"/>
    <w:bookmarkStart w:id="53" w:name="the-transport-minister-curse-in-denmark"/>
    <w:p>
      <w:pPr>
        <w:pStyle w:val="Heading2"/>
      </w:pPr>
      <w:r>
        <w:t xml:space="preserve">The</w:t>
      </w:r>
      <w:r>
        <w:t xml:space="preserve"> </w:t>
      </w:r>
      <w:r>
        <w:t xml:space="preserve">“Transport Minister Curse”</w:t>
      </w:r>
      <w:r>
        <w:t xml:space="preserve"> </w:t>
      </w:r>
      <w:r>
        <w:t xml:space="preserve">in Denmark</w:t>
      </w:r>
    </w:p>
    <w:p>
      <w:pPr>
        <w:pStyle w:val="FirstParagraph"/>
      </w:pPr>
      <w:r>
        <w:t xml:space="preserve">In Denmark, the</w:t>
      </w:r>
      <w:r>
        <w:t xml:space="preserve"> </w:t>
      </w:r>
      <w:r>
        <w:t xml:space="preserve">“transport minister curse”</w:t>
      </w:r>
      <w:r>
        <w:t xml:space="preserve"> </w:t>
      </w:r>
      <w:r>
        <w:t xml:space="preserve">remains a mathematically distinct phenomenon. Figure 1 illustrates the Kaplan-Meier survival curves for ministerial appointments in Denmark, capped at a standard 4-year parliamentary term. Even after filtering out administrative artifacts (appointments &lt; 30 days) and adjusting for political bloc and historical era, transport ministers faced a hazard of career termination that was more than double that of their cabinet colleagues (HR 3.26, 95% CI 1.39 to 7.65,</w:t>
      </w:r>
      <w:r>
        <w:t xml:space="preserve"> </w:t>
      </w:r>
      <w:r>
        <w:rPr>
          <w:i/>
          <w:iCs/>
        </w:rPr>
        <w:t xml:space="preserve">P</w:t>
      </w:r>
      <w:r>
        <w:t xml:space="preserve"> </w:t>
      </w:r>
      <w:r>
        <w:t xml:space="preserve">= 0.007).</w:t>
      </w:r>
    </w:p>
    <w:p>
      <w:pPr>
        <w:pStyle w:val="CaptionedFigure"/>
      </w:pPr>
      <w:r>
        <w:drawing>
          <wp:inline>
            <wp:extent cx="5334000" cy="4000500"/>
            <wp:effectExtent b="0" l="0" r="0" t="0"/>
            <wp:docPr descr="Fig 1. Kaplan-Meier survival curves demonstrating the Transport Minister Curse in Denmark (Capped at 4 years). Transport Ministers face a significantly accelerated rate of political exit compared to other portfolios." title="" id="51" name="Picture"/>
            <a:graphic>
              <a:graphicData uri="http://schemas.openxmlformats.org/drawingml/2006/picture">
                <pic:pic>
                  <pic:nvPicPr>
                    <pic:cNvPr descr="figures/career_survival_plot_final-1.pn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1. Kaplan-Meier survival curves demonstrating the Transport Minister Curse in Denmark (Capped at 4 years). Transport Ministers face a significantly accelerated rate of political exit compared to other portfolios.</w:t>
      </w:r>
    </w:p>
    <w:bookmarkEnd w:id="53"/>
    <w:bookmarkStart w:id="58" w:name="Xe4ce94c28c7b94a3013c19e57a1cdf8fc919890"/>
    <w:p>
      <w:pPr>
        <w:pStyle w:val="Heading2"/>
      </w:pPr>
      <w:r>
        <w:t xml:space="preserve">Pooled cross-portfolio hazards across Europe</w:t>
      </w:r>
    </w:p>
    <w:p>
      <w:pPr>
        <w:pStyle w:val="FirstParagraph"/>
      </w:pPr>
      <w:r>
        <w:t xml:space="preserve">In the pooled international analysis, the transport and finance portfolios emerged as the most hazardous occupations (fig 2). Relative to the health portfolio, serving as a transport minister carried a hazard ratio of 1.82 (95% CI 1.3 to 2.5,</w:t>
      </w:r>
      <w:r>
        <w:t xml:space="preserve"> </w:t>
      </w:r>
      <w:r>
        <w:rPr>
          <w:i/>
          <w:iCs/>
        </w:rPr>
        <w:t xml:space="preserve">P</w:t>
      </w:r>
      <w:r>
        <w:t xml:space="preserve"> </w:t>
      </w:r>
      <w:r>
        <w:t xml:space="preserve">= 0.002). Interestingly, the defense portfolio showed relative stability in Northern Europe but higher turnover in Southern Europe (table 3).</w:t>
      </w:r>
    </w:p>
    <w:bookmarkStart w:id="57" w:name="X9e8ff4101fc6efebc740f82b3de0ca611be47a5"/>
    <w:p>
      <w:pPr>
        <w:pStyle w:val="Heading3"/>
      </w:pPr>
      <w:r>
        <w:t xml:space="preserve">Table 3. Detailed incidence rates by portfolio group and country</w:t>
      </w:r>
    </w:p>
    <w:tbl>
      <w:tblPr>
        <w:tblStyle w:val="Table"/>
        <w:tblW w:type="pct" w:w="5000"/>
        <w:tblLayout w:type="fixed"/>
        <w:tblLook w:firstRow="1" w:lastRow="0" w:firstColumn="0" w:lastColumn="0" w:noHBand="0" w:noVBand="0" w:val="0020"/>
      </w:tblPr>
      <w:tblGrid>
        <w:gridCol w:w="1466"/>
        <w:gridCol w:w="1662"/>
        <w:gridCol w:w="1271"/>
        <w:gridCol w:w="977"/>
        <w:gridCol w:w="977"/>
        <w:gridCol w:w="1564"/>
      </w:tblGrid>
      <w:tr>
        <w:trPr>
          <w:tblHeader w:val="on"/>
        </w:trPr>
        <w:tc>
          <w:tcPr/>
          <w:p>
            <w:pPr>
              <w:pStyle w:val="Compact"/>
              <w:jc w:val="left"/>
            </w:pPr>
            <w:r>
              <w:t xml:space="preserve">Country</w:t>
            </w:r>
          </w:p>
        </w:tc>
        <w:tc>
          <w:tcPr/>
          <w:p>
            <w:pPr>
              <w:pStyle w:val="Compact"/>
              <w:jc w:val="left"/>
            </w:pPr>
            <w:r>
              <w:t xml:space="preserve">Portfolio</w:t>
            </w:r>
          </w:p>
        </w:tc>
        <w:tc>
          <w:tcPr/>
          <w:p>
            <w:pPr>
              <w:pStyle w:val="Compact"/>
              <w:jc w:val="right"/>
            </w:pPr>
            <w:r>
              <w:t xml:space="preserve">Person-Years</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IR (per 100 PY)</w:t>
            </w:r>
          </w:p>
        </w:tc>
      </w:tr>
      <w:tr>
        <w:tc>
          <w:tcPr/>
          <w:p>
            <w:pPr>
              <w:pStyle w:val="Compact"/>
              <w:jc w:val="left"/>
            </w:pPr>
            <w:r>
              <w:t xml:space="preserve">Denmark</w:t>
            </w:r>
          </w:p>
        </w:tc>
        <w:tc>
          <w:tcPr/>
          <w:p>
            <w:pPr>
              <w:pStyle w:val="Compact"/>
              <w:jc w:val="left"/>
            </w:pPr>
            <w:r>
              <w:t xml:space="preserve">Transport</w:t>
            </w:r>
          </w:p>
        </w:tc>
        <w:tc>
          <w:tcPr/>
          <w:p>
            <w:pPr>
              <w:pStyle w:val="Compact"/>
              <w:jc w:val="right"/>
            </w:pPr>
            <w:r>
              <w:t xml:space="preserve">49.0</w:t>
            </w:r>
          </w:p>
        </w:tc>
        <w:tc>
          <w:tcPr/>
          <w:p>
            <w:pPr>
              <w:pStyle w:val="Compact"/>
              <w:jc w:val="right"/>
            </w:pPr>
            <w:r>
              <w:t xml:space="preserve">29</w:t>
            </w:r>
          </w:p>
        </w:tc>
        <w:tc>
          <w:tcPr/>
          <w:p>
            <w:pPr>
              <w:pStyle w:val="Compact"/>
              <w:jc w:val="right"/>
            </w:pPr>
            <w:r>
              <w:t xml:space="preserve">7</w:t>
            </w:r>
          </w:p>
        </w:tc>
        <w:tc>
          <w:tcPr/>
          <w:p>
            <w:pPr>
              <w:pStyle w:val="Compact"/>
              <w:jc w:val="right"/>
            </w:pPr>
            <w:r>
              <w:t xml:space="preserve">14.29</w:t>
            </w:r>
          </w:p>
        </w:tc>
      </w:tr>
      <w:tr>
        <w:tc>
          <w:tcPr/>
          <w:p>
            <w:pPr>
              <w:pStyle w:val="Compact"/>
              <w:jc w:val="left"/>
            </w:pPr>
            <w:r>
              <w:t xml:space="preserve">Denmark</w:t>
            </w:r>
          </w:p>
        </w:tc>
        <w:tc>
          <w:tcPr/>
          <w:p>
            <w:pPr>
              <w:pStyle w:val="Compact"/>
              <w:jc w:val="left"/>
            </w:pPr>
            <w:r>
              <w:t xml:space="preserve">Health</w:t>
            </w:r>
          </w:p>
        </w:tc>
        <w:tc>
          <w:tcPr/>
          <w:p>
            <w:pPr>
              <w:pStyle w:val="Compact"/>
              <w:jc w:val="right"/>
            </w:pPr>
            <w:r>
              <w:t xml:space="preserve">35.3</w:t>
            </w:r>
          </w:p>
        </w:tc>
        <w:tc>
          <w:tcPr/>
          <w:p>
            <w:pPr>
              <w:pStyle w:val="Compact"/>
              <w:jc w:val="right"/>
            </w:pPr>
            <w:r>
              <w:t xml:space="preserve">17</w:t>
            </w:r>
          </w:p>
        </w:tc>
        <w:tc>
          <w:tcPr/>
          <w:p>
            <w:pPr>
              <w:pStyle w:val="Compact"/>
              <w:jc w:val="right"/>
            </w:pPr>
            <w:r>
              <w:t xml:space="preserve">3</w:t>
            </w:r>
          </w:p>
        </w:tc>
        <w:tc>
          <w:tcPr/>
          <w:p>
            <w:pPr>
              <w:pStyle w:val="Compact"/>
              <w:jc w:val="right"/>
            </w:pPr>
            <w:r>
              <w:t xml:space="preserve">8.51</w:t>
            </w:r>
          </w:p>
        </w:tc>
      </w:tr>
      <w:tr>
        <w:tc>
          <w:tcPr/>
          <w:p>
            <w:pPr>
              <w:pStyle w:val="Compact"/>
              <w:jc w:val="left"/>
            </w:pPr>
            <w:r>
              <w:t xml:space="preserve">Denmark</w:t>
            </w:r>
          </w:p>
        </w:tc>
        <w:tc>
          <w:tcPr/>
          <w:p>
            <w:pPr>
              <w:pStyle w:val="Compact"/>
              <w:jc w:val="left"/>
            </w:pPr>
            <w:r>
              <w:t xml:space="preserve">Defense</w:t>
            </w:r>
          </w:p>
        </w:tc>
        <w:tc>
          <w:tcPr/>
          <w:p>
            <w:pPr>
              <w:pStyle w:val="Compact"/>
              <w:jc w:val="right"/>
            </w:pPr>
            <w:r>
              <w:t xml:space="preserve">49.7</w:t>
            </w:r>
          </w:p>
        </w:tc>
        <w:tc>
          <w:tcPr/>
          <w:p>
            <w:pPr>
              <w:pStyle w:val="Compact"/>
              <w:jc w:val="right"/>
            </w:pPr>
            <w:r>
              <w:t xml:space="preserve">21</w:t>
            </w:r>
          </w:p>
        </w:tc>
        <w:tc>
          <w:tcPr/>
          <w:p>
            <w:pPr>
              <w:pStyle w:val="Compact"/>
              <w:jc w:val="right"/>
            </w:pPr>
            <w:r>
              <w:t xml:space="preserve">4</w:t>
            </w:r>
          </w:p>
        </w:tc>
        <w:tc>
          <w:tcPr/>
          <w:p>
            <w:pPr>
              <w:pStyle w:val="Compact"/>
              <w:jc w:val="right"/>
            </w:pPr>
            <w:r>
              <w:t xml:space="preserve">8.05</w:t>
            </w:r>
          </w:p>
        </w:tc>
      </w:tr>
      <w:tr>
        <w:tc>
          <w:tcPr/>
          <w:p>
            <w:pPr>
              <w:pStyle w:val="Compact"/>
              <w:jc w:val="left"/>
            </w:pPr>
            <w:r>
              <w:t xml:space="preserve">Denmark</w:t>
            </w:r>
          </w:p>
        </w:tc>
        <w:tc>
          <w:tcPr/>
          <w:p>
            <w:pPr>
              <w:pStyle w:val="Compact"/>
              <w:jc w:val="left"/>
            </w:pPr>
            <w:r>
              <w:t xml:space="preserve">Interior/Justice</w:t>
            </w:r>
          </w:p>
        </w:tc>
        <w:tc>
          <w:tcPr/>
          <w:p>
            <w:pPr>
              <w:pStyle w:val="Compact"/>
              <w:jc w:val="right"/>
            </w:pPr>
            <w:r>
              <w:t xml:space="preserve">47.6</w:t>
            </w:r>
          </w:p>
        </w:tc>
        <w:tc>
          <w:tcPr/>
          <w:p>
            <w:pPr>
              <w:pStyle w:val="Compact"/>
              <w:jc w:val="right"/>
            </w:pPr>
            <w:r>
              <w:t xml:space="preserve">20</w:t>
            </w:r>
          </w:p>
        </w:tc>
        <w:tc>
          <w:tcPr/>
          <w:p>
            <w:pPr>
              <w:pStyle w:val="Compact"/>
              <w:jc w:val="right"/>
            </w:pPr>
            <w:r>
              <w:t xml:space="preserve">3</w:t>
            </w:r>
          </w:p>
        </w:tc>
        <w:tc>
          <w:tcPr/>
          <w:p>
            <w:pPr>
              <w:pStyle w:val="Compact"/>
              <w:jc w:val="right"/>
            </w:pPr>
            <w:r>
              <w:t xml:space="preserve">6.30</w:t>
            </w:r>
          </w:p>
        </w:tc>
      </w:tr>
      <w:tr>
        <w:tc>
          <w:tcPr/>
          <w:p>
            <w:pPr>
              <w:pStyle w:val="Compact"/>
              <w:jc w:val="left"/>
            </w:pPr>
            <w:r>
              <w:t xml:space="preserve">Denmark</w:t>
            </w:r>
          </w:p>
        </w:tc>
        <w:tc>
          <w:tcPr/>
          <w:p>
            <w:pPr>
              <w:pStyle w:val="Compact"/>
              <w:jc w:val="left"/>
            </w:pPr>
            <w:r>
              <w:t xml:space="preserve">Finance</w:t>
            </w:r>
          </w:p>
        </w:tc>
        <w:tc>
          <w:tcPr/>
          <w:p>
            <w:pPr>
              <w:pStyle w:val="Compact"/>
              <w:jc w:val="right"/>
            </w:pPr>
            <w:r>
              <w:t xml:space="preserve">45.5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France</w:t>
            </w:r>
          </w:p>
        </w:tc>
        <w:tc>
          <w:tcPr/>
          <w:p>
            <w:pPr>
              <w:pStyle w:val="Compact"/>
              <w:jc w:val="left"/>
            </w:pPr>
            <w:r>
              <w:t xml:space="preserve">Finance</w:t>
            </w:r>
          </w:p>
        </w:tc>
        <w:tc>
          <w:tcPr/>
          <w:p>
            <w:pPr>
              <w:pStyle w:val="Compact"/>
              <w:jc w:val="right"/>
            </w:pPr>
            <w:r>
              <w:t xml:space="preserve">51.3</w:t>
            </w:r>
          </w:p>
        </w:tc>
        <w:tc>
          <w:tcPr/>
          <w:p>
            <w:pPr>
              <w:pStyle w:val="Compact"/>
              <w:jc w:val="right"/>
            </w:pPr>
            <w:r>
              <w:t xml:space="preserve">26</w:t>
            </w:r>
          </w:p>
        </w:tc>
        <w:tc>
          <w:tcPr/>
          <w:p>
            <w:pPr>
              <w:pStyle w:val="Compact"/>
              <w:jc w:val="right"/>
            </w:pPr>
            <w:r>
              <w:t xml:space="preserve">7</w:t>
            </w:r>
          </w:p>
        </w:tc>
        <w:tc>
          <w:tcPr/>
          <w:p>
            <w:pPr>
              <w:pStyle w:val="Compact"/>
              <w:jc w:val="right"/>
            </w:pPr>
            <w:r>
              <w:t xml:space="preserve">13.63</w:t>
            </w:r>
          </w:p>
        </w:tc>
      </w:tr>
      <w:tr>
        <w:tc>
          <w:tcPr/>
          <w:p>
            <w:pPr>
              <w:pStyle w:val="Compact"/>
              <w:jc w:val="left"/>
            </w:pPr>
            <w:r>
              <w:t xml:space="preserve">France</w:t>
            </w:r>
          </w:p>
        </w:tc>
        <w:tc>
          <w:tcPr/>
          <w:p>
            <w:pPr>
              <w:pStyle w:val="Compact"/>
              <w:jc w:val="left"/>
            </w:pPr>
            <w:r>
              <w:t xml:space="preserve">Interior/Justice</w:t>
            </w:r>
          </w:p>
        </w:tc>
        <w:tc>
          <w:tcPr/>
          <w:p>
            <w:pPr>
              <w:pStyle w:val="Compact"/>
              <w:jc w:val="right"/>
            </w:pPr>
            <w:r>
              <w:t xml:space="preserve">51.4</w:t>
            </w:r>
          </w:p>
        </w:tc>
        <w:tc>
          <w:tcPr/>
          <w:p>
            <w:pPr>
              <w:pStyle w:val="Compact"/>
              <w:jc w:val="right"/>
            </w:pPr>
            <w:r>
              <w:t xml:space="preserve">28</w:t>
            </w:r>
          </w:p>
        </w:tc>
        <w:tc>
          <w:tcPr/>
          <w:p>
            <w:pPr>
              <w:pStyle w:val="Compact"/>
              <w:jc w:val="right"/>
            </w:pPr>
            <w:r>
              <w:t xml:space="preserve">7</w:t>
            </w:r>
          </w:p>
        </w:tc>
        <w:tc>
          <w:tcPr/>
          <w:p>
            <w:pPr>
              <w:pStyle w:val="Compact"/>
              <w:jc w:val="right"/>
            </w:pPr>
            <w:r>
              <w:t xml:space="preserve">13.63</w:t>
            </w:r>
          </w:p>
        </w:tc>
      </w:tr>
      <w:tr>
        <w:tc>
          <w:tcPr/>
          <w:p>
            <w:pPr>
              <w:pStyle w:val="Compact"/>
              <w:jc w:val="left"/>
            </w:pPr>
            <w:r>
              <w:t xml:space="preserve">France</w:t>
            </w:r>
          </w:p>
        </w:tc>
        <w:tc>
          <w:tcPr/>
          <w:p>
            <w:pPr>
              <w:pStyle w:val="Compact"/>
              <w:jc w:val="left"/>
            </w:pPr>
            <w:r>
              <w:t xml:space="preserve">Transport</w:t>
            </w:r>
          </w:p>
        </w:tc>
        <w:tc>
          <w:tcPr/>
          <w:p>
            <w:pPr>
              <w:pStyle w:val="Compact"/>
              <w:jc w:val="right"/>
            </w:pPr>
            <w:r>
              <w:t xml:space="preserve">50.2</w:t>
            </w:r>
          </w:p>
        </w:tc>
        <w:tc>
          <w:tcPr/>
          <w:p>
            <w:pPr>
              <w:pStyle w:val="Compact"/>
              <w:jc w:val="right"/>
            </w:pPr>
            <w:r>
              <w:t xml:space="preserve">27</w:t>
            </w:r>
          </w:p>
        </w:tc>
        <w:tc>
          <w:tcPr/>
          <w:p>
            <w:pPr>
              <w:pStyle w:val="Compact"/>
              <w:jc w:val="right"/>
            </w:pPr>
            <w:r>
              <w:t xml:space="preserve">6</w:t>
            </w:r>
          </w:p>
        </w:tc>
        <w:tc>
          <w:tcPr/>
          <w:p>
            <w:pPr>
              <w:pStyle w:val="Compact"/>
              <w:jc w:val="right"/>
            </w:pPr>
            <w:r>
              <w:t xml:space="preserve">11.96</w:t>
            </w:r>
          </w:p>
        </w:tc>
      </w:tr>
      <w:tr>
        <w:tc>
          <w:tcPr/>
          <w:p>
            <w:pPr>
              <w:pStyle w:val="Compact"/>
              <w:jc w:val="left"/>
            </w:pPr>
            <w:r>
              <w:t xml:space="preserve">France</w:t>
            </w:r>
          </w:p>
        </w:tc>
        <w:tc>
          <w:tcPr/>
          <w:p>
            <w:pPr>
              <w:pStyle w:val="Compact"/>
              <w:jc w:val="left"/>
            </w:pPr>
            <w:r>
              <w:t xml:space="preserve">Health</w:t>
            </w:r>
          </w:p>
        </w:tc>
        <w:tc>
          <w:tcPr/>
          <w:p>
            <w:pPr>
              <w:pStyle w:val="Compact"/>
              <w:jc w:val="right"/>
            </w:pPr>
            <w:r>
              <w:t xml:space="preserve">51.4</w:t>
            </w:r>
          </w:p>
        </w:tc>
        <w:tc>
          <w:tcPr/>
          <w:p>
            <w:pPr>
              <w:pStyle w:val="Compact"/>
              <w:jc w:val="right"/>
            </w:pPr>
            <w:r>
              <w:t xml:space="preserve">30</w:t>
            </w:r>
          </w:p>
        </w:tc>
        <w:tc>
          <w:tcPr/>
          <w:p>
            <w:pPr>
              <w:pStyle w:val="Compact"/>
              <w:jc w:val="right"/>
            </w:pPr>
            <w:r>
              <w:t xml:space="preserve">6</w:t>
            </w:r>
          </w:p>
        </w:tc>
        <w:tc>
          <w:tcPr/>
          <w:p>
            <w:pPr>
              <w:pStyle w:val="Compact"/>
              <w:jc w:val="right"/>
            </w:pPr>
            <w:r>
              <w:t xml:space="preserve">11.68</w:t>
            </w:r>
          </w:p>
        </w:tc>
      </w:tr>
      <w:tr>
        <w:tc>
          <w:tcPr/>
          <w:p>
            <w:pPr>
              <w:pStyle w:val="Compact"/>
              <w:jc w:val="left"/>
            </w:pPr>
            <w:r>
              <w:t xml:space="preserve">France</w:t>
            </w:r>
          </w:p>
        </w:tc>
        <w:tc>
          <w:tcPr/>
          <w:p>
            <w:pPr>
              <w:pStyle w:val="Compact"/>
              <w:jc w:val="left"/>
            </w:pPr>
            <w:r>
              <w:t xml:space="preserve">Defense</w:t>
            </w:r>
          </w:p>
        </w:tc>
        <w:tc>
          <w:tcPr/>
          <w:p>
            <w:pPr>
              <w:pStyle w:val="Compact"/>
              <w:jc w:val="right"/>
            </w:pPr>
            <w:r>
              <w:t xml:space="preserve">50.7</w:t>
            </w:r>
          </w:p>
        </w:tc>
        <w:tc>
          <w:tcPr/>
          <w:p>
            <w:pPr>
              <w:pStyle w:val="Compact"/>
              <w:jc w:val="right"/>
            </w:pPr>
            <w:r>
              <w:t xml:space="preserve">22</w:t>
            </w:r>
          </w:p>
        </w:tc>
        <w:tc>
          <w:tcPr/>
          <w:p>
            <w:pPr>
              <w:pStyle w:val="Compact"/>
              <w:jc w:val="right"/>
            </w:pPr>
            <w:r>
              <w:t xml:space="preserve">5</w:t>
            </w:r>
          </w:p>
        </w:tc>
        <w:tc>
          <w:tcPr/>
          <w:p>
            <w:pPr>
              <w:pStyle w:val="Compact"/>
              <w:jc w:val="right"/>
            </w:pPr>
            <w:r>
              <w:t xml:space="preserve">9.86</w:t>
            </w:r>
          </w:p>
        </w:tc>
      </w:tr>
      <w:tr>
        <w:tc>
          <w:tcPr/>
          <w:p>
            <w:pPr>
              <w:pStyle w:val="Compact"/>
              <w:jc w:val="left"/>
            </w:pPr>
            <w:r>
              <w:t xml:space="preserve">Germany</w:t>
            </w:r>
          </w:p>
        </w:tc>
        <w:tc>
          <w:tcPr/>
          <w:p>
            <w:pPr>
              <w:pStyle w:val="Compact"/>
              <w:jc w:val="left"/>
            </w:pPr>
            <w:r>
              <w:t xml:space="preserve">Transport</w:t>
            </w:r>
          </w:p>
        </w:tc>
        <w:tc>
          <w:tcPr/>
          <w:p>
            <w:pPr>
              <w:pStyle w:val="Compact"/>
              <w:jc w:val="right"/>
            </w:pPr>
            <w:r>
              <w:t xml:space="preserve">52.4</w:t>
            </w:r>
          </w:p>
        </w:tc>
        <w:tc>
          <w:tcPr/>
          <w:p>
            <w:pPr>
              <w:pStyle w:val="Compact"/>
              <w:jc w:val="right"/>
            </w:pPr>
            <w:r>
              <w:t xml:space="preserve">18</w:t>
            </w:r>
          </w:p>
        </w:tc>
        <w:tc>
          <w:tcPr/>
          <w:p>
            <w:pPr>
              <w:pStyle w:val="Compact"/>
              <w:jc w:val="right"/>
            </w:pPr>
            <w:r>
              <w:t xml:space="preserve">4</w:t>
            </w:r>
          </w:p>
        </w:tc>
        <w:tc>
          <w:tcPr/>
          <w:p>
            <w:pPr>
              <w:pStyle w:val="Compact"/>
              <w:jc w:val="right"/>
            </w:pPr>
            <w:r>
              <w:t xml:space="preserve">7.64</w:t>
            </w:r>
          </w:p>
        </w:tc>
      </w:tr>
      <w:tr>
        <w:tc>
          <w:tcPr/>
          <w:p>
            <w:pPr>
              <w:pStyle w:val="Compact"/>
              <w:jc w:val="left"/>
            </w:pPr>
            <w:r>
              <w:t xml:space="preserve">Germany</w:t>
            </w:r>
          </w:p>
        </w:tc>
        <w:tc>
          <w:tcPr/>
          <w:p>
            <w:pPr>
              <w:pStyle w:val="Compact"/>
              <w:jc w:val="left"/>
            </w:pPr>
            <w:r>
              <w:t xml:space="preserve">Defense</w:t>
            </w:r>
          </w:p>
        </w:tc>
        <w:tc>
          <w:tcPr/>
          <w:p>
            <w:pPr>
              <w:pStyle w:val="Compact"/>
              <w:jc w:val="right"/>
            </w:pPr>
            <w:r>
              <w:t xml:space="preserve">50.5</w:t>
            </w:r>
          </w:p>
        </w:tc>
        <w:tc>
          <w:tcPr/>
          <w:p>
            <w:pPr>
              <w:pStyle w:val="Compact"/>
              <w:jc w:val="right"/>
            </w:pPr>
            <w:r>
              <w:t xml:space="preserve">14</w:t>
            </w:r>
          </w:p>
        </w:tc>
        <w:tc>
          <w:tcPr/>
          <w:p>
            <w:pPr>
              <w:pStyle w:val="Compact"/>
              <w:jc w:val="right"/>
            </w:pPr>
            <w:r>
              <w:t xml:space="preserve">3</w:t>
            </w:r>
          </w:p>
        </w:tc>
        <w:tc>
          <w:tcPr/>
          <w:p>
            <w:pPr>
              <w:pStyle w:val="Compact"/>
              <w:jc w:val="right"/>
            </w:pPr>
            <w:r>
              <w:t xml:space="preserve">5.94</w:t>
            </w:r>
          </w:p>
        </w:tc>
      </w:tr>
      <w:tr>
        <w:tc>
          <w:tcPr/>
          <w:p>
            <w:pPr>
              <w:pStyle w:val="Compact"/>
              <w:jc w:val="left"/>
            </w:pPr>
            <w:r>
              <w:t xml:space="preserve">Germany</w:t>
            </w:r>
          </w:p>
        </w:tc>
        <w:tc>
          <w:tcPr/>
          <w:p>
            <w:pPr>
              <w:pStyle w:val="Compact"/>
              <w:jc w:val="left"/>
            </w:pPr>
            <w:r>
              <w:t xml:space="preserve">Health</w:t>
            </w:r>
          </w:p>
        </w:tc>
        <w:tc>
          <w:tcPr/>
          <w:p>
            <w:pPr>
              <w:pStyle w:val="Compact"/>
              <w:jc w:val="right"/>
            </w:pPr>
            <w:r>
              <w:t xml:space="preserve">52.3</w:t>
            </w:r>
          </w:p>
        </w:tc>
        <w:tc>
          <w:tcPr/>
          <w:p>
            <w:pPr>
              <w:pStyle w:val="Compact"/>
              <w:jc w:val="right"/>
            </w:pPr>
            <w:r>
              <w:t xml:space="preserve">15</w:t>
            </w:r>
          </w:p>
        </w:tc>
        <w:tc>
          <w:tcPr/>
          <w:p>
            <w:pPr>
              <w:pStyle w:val="Compact"/>
              <w:jc w:val="right"/>
            </w:pPr>
            <w:r>
              <w:t xml:space="preserve">3</w:t>
            </w:r>
          </w:p>
        </w:tc>
        <w:tc>
          <w:tcPr/>
          <w:p>
            <w:pPr>
              <w:pStyle w:val="Compact"/>
              <w:jc w:val="right"/>
            </w:pPr>
            <w:r>
              <w:t xml:space="preserve">5.73</w:t>
            </w:r>
          </w:p>
        </w:tc>
      </w:tr>
      <w:tr>
        <w:tc>
          <w:tcPr/>
          <w:p>
            <w:pPr>
              <w:pStyle w:val="Compact"/>
              <w:jc w:val="left"/>
            </w:pPr>
            <w:r>
              <w:t xml:space="preserve">Germany</w:t>
            </w:r>
          </w:p>
        </w:tc>
        <w:tc>
          <w:tcPr/>
          <w:p>
            <w:pPr>
              <w:pStyle w:val="Compact"/>
              <w:jc w:val="left"/>
            </w:pPr>
            <w:r>
              <w:t xml:space="preserve">Finance</w:t>
            </w:r>
          </w:p>
        </w:tc>
        <w:tc>
          <w:tcPr/>
          <w:p>
            <w:pPr>
              <w:pStyle w:val="Compact"/>
              <w:jc w:val="right"/>
            </w:pPr>
            <w:r>
              <w:t xml:space="preserve">51.0</w:t>
            </w:r>
          </w:p>
        </w:tc>
        <w:tc>
          <w:tcPr/>
          <w:p>
            <w:pPr>
              <w:pStyle w:val="Compact"/>
              <w:jc w:val="right"/>
            </w:pPr>
            <w:r>
              <w:t xml:space="preserve">14</w:t>
            </w:r>
          </w:p>
        </w:tc>
        <w:tc>
          <w:tcPr/>
          <w:p>
            <w:pPr>
              <w:pStyle w:val="Compact"/>
              <w:jc w:val="right"/>
            </w:pPr>
            <w:r>
              <w:t xml:space="preserve">2</w:t>
            </w:r>
          </w:p>
        </w:tc>
        <w:tc>
          <w:tcPr/>
          <w:p>
            <w:pPr>
              <w:pStyle w:val="Compact"/>
              <w:jc w:val="right"/>
            </w:pPr>
            <w:r>
              <w:t xml:space="preserve">3.92</w:t>
            </w:r>
          </w:p>
        </w:tc>
      </w:tr>
      <w:tr>
        <w:tc>
          <w:tcPr/>
          <w:p>
            <w:pPr>
              <w:pStyle w:val="Compact"/>
              <w:jc w:val="left"/>
            </w:pPr>
            <w:r>
              <w:t xml:space="preserve">Germany</w:t>
            </w:r>
          </w:p>
        </w:tc>
        <w:tc>
          <w:tcPr/>
          <w:p>
            <w:pPr>
              <w:pStyle w:val="Compact"/>
              <w:jc w:val="left"/>
            </w:pPr>
            <w:r>
              <w:t xml:space="preserve">Interior/Justice</w:t>
            </w:r>
          </w:p>
        </w:tc>
        <w:tc>
          <w:tcPr/>
          <w:p>
            <w:pPr>
              <w:pStyle w:val="Compact"/>
              <w:jc w:val="right"/>
            </w:pPr>
            <w:r>
              <w:t xml:space="preserve">55.5</w:t>
            </w:r>
          </w:p>
        </w:tc>
        <w:tc>
          <w:tcPr/>
          <w:p>
            <w:pPr>
              <w:pStyle w:val="Compact"/>
              <w:jc w:val="right"/>
            </w:pPr>
            <w:r>
              <w:t xml:space="preserve">15</w:t>
            </w:r>
          </w:p>
        </w:tc>
        <w:tc>
          <w:tcPr/>
          <w:p>
            <w:pPr>
              <w:pStyle w:val="Compact"/>
              <w:jc w:val="right"/>
            </w:pPr>
            <w:r>
              <w:t xml:space="preserve">2</w:t>
            </w:r>
          </w:p>
        </w:tc>
        <w:tc>
          <w:tcPr/>
          <w:p>
            <w:pPr>
              <w:pStyle w:val="Compact"/>
              <w:jc w:val="right"/>
            </w:pPr>
            <w:r>
              <w:t xml:space="preserve">3.60</w:t>
            </w:r>
          </w:p>
        </w:tc>
      </w:tr>
      <w:tr>
        <w:tc>
          <w:tcPr/>
          <w:p>
            <w:pPr>
              <w:pStyle w:val="Compact"/>
              <w:jc w:val="left"/>
            </w:pPr>
            <w:r>
              <w:t xml:space="preserve">Greece</w:t>
            </w:r>
          </w:p>
        </w:tc>
        <w:tc>
          <w:tcPr/>
          <w:p>
            <w:pPr>
              <w:pStyle w:val="Compact"/>
              <w:jc w:val="left"/>
            </w:pPr>
            <w:r>
              <w:t xml:space="preserve">Interior/Justice</w:t>
            </w:r>
          </w:p>
        </w:tc>
        <w:tc>
          <w:tcPr/>
          <w:p>
            <w:pPr>
              <w:pStyle w:val="Compact"/>
              <w:jc w:val="right"/>
            </w:pPr>
            <w:r>
              <w:t xml:space="preserve">50.9</w:t>
            </w:r>
          </w:p>
        </w:tc>
        <w:tc>
          <w:tcPr/>
          <w:p>
            <w:pPr>
              <w:pStyle w:val="Compact"/>
              <w:jc w:val="right"/>
            </w:pPr>
            <w:r>
              <w:t xml:space="preserve">56</w:t>
            </w:r>
          </w:p>
        </w:tc>
        <w:tc>
          <w:tcPr/>
          <w:p>
            <w:pPr>
              <w:pStyle w:val="Compact"/>
              <w:jc w:val="right"/>
            </w:pPr>
            <w:r>
              <w:t xml:space="preserve">18</w:t>
            </w:r>
          </w:p>
        </w:tc>
        <w:tc>
          <w:tcPr/>
          <w:p>
            <w:pPr>
              <w:pStyle w:val="Compact"/>
              <w:jc w:val="right"/>
            </w:pPr>
            <w:r>
              <w:t xml:space="preserve">35.37</w:t>
            </w:r>
          </w:p>
        </w:tc>
      </w:tr>
      <w:tr>
        <w:tc>
          <w:tcPr/>
          <w:p>
            <w:pPr>
              <w:pStyle w:val="Compact"/>
              <w:jc w:val="left"/>
            </w:pPr>
            <w:r>
              <w:t xml:space="preserve">Greece</w:t>
            </w:r>
          </w:p>
        </w:tc>
        <w:tc>
          <w:tcPr/>
          <w:p>
            <w:pPr>
              <w:pStyle w:val="Compact"/>
              <w:jc w:val="left"/>
            </w:pPr>
            <w:r>
              <w:t xml:space="preserve">Health</w:t>
            </w:r>
          </w:p>
        </w:tc>
        <w:tc>
          <w:tcPr/>
          <w:p>
            <w:pPr>
              <w:pStyle w:val="Compact"/>
              <w:jc w:val="right"/>
            </w:pPr>
            <w:r>
              <w:t xml:space="preserve">19.8</w:t>
            </w:r>
          </w:p>
        </w:tc>
        <w:tc>
          <w:tcPr/>
          <w:p>
            <w:pPr>
              <w:pStyle w:val="Compact"/>
              <w:jc w:val="right"/>
            </w:pPr>
            <w:r>
              <w:t xml:space="preserve">15</w:t>
            </w:r>
          </w:p>
        </w:tc>
        <w:tc>
          <w:tcPr/>
          <w:p>
            <w:pPr>
              <w:pStyle w:val="Compact"/>
              <w:jc w:val="right"/>
            </w:pPr>
            <w:r>
              <w:t xml:space="preserve">4</w:t>
            </w:r>
          </w:p>
        </w:tc>
        <w:tc>
          <w:tcPr/>
          <w:p>
            <w:pPr>
              <w:pStyle w:val="Compact"/>
              <w:jc w:val="right"/>
            </w:pPr>
            <w:r>
              <w:t xml:space="preserve">20.19</w:t>
            </w:r>
          </w:p>
        </w:tc>
      </w:tr>
      <w:tr>
        <w:tc>
          <w:tcPr/>
          <w:p>
            <w:pPr>
              <w:pStyle w:val="Compact"/>
              <w:jc w:val="left"/>
            </w:pPr>
            <w:r>
              <w:t xml:space="preserve">Greece</w:t>
            </w:r>
          </w:p>
        </w:tc>
        <w:tc>
          <w:tcPr/>
          <w:p>
            <w:pPr>
              <w:pStyle w:val="Compact"/>
              <w:jc w:val="left"/>
            </w:pPr>
            <w:r>
              <w:t xml:space="preserve">Finance</w:t>
            </w:r>
          </w:p>
        </w:tc>
        <w:tc>
          <w:tcPr/>
          <w:p>
            <w:pPr>
              <w:pStyle w:val="Compact"/>
              <w:jc w:val="right"/>
            </w:pPr>
            <w:r>
              <w:t xml:space="preserve">50.6</w:t>
            </w:r>
          </w:p>
        </w:tc>
        <w:tc>
          <w:tcPr/>
          <w:p>
            <w:pPr>
              <w:pStyle w:val="Compact"/>
              <w:jc w:val="right"/>
            </w:pPr>
            <w:r>
              <w:t xml:space="preserve">37</w:t>
            </w:r>
          </w:p>
        </w:tc>
        <w:tc>
          <w:tcPr/>
          <w:p>
            <w:pPr>
              <w:pStyle w:val="Compact"/>
              <w:jc w:val="right"/>
            </w:pPr>
            <w:r>
              <w:t xml:space="preserve">9</w:t>
            </w:r>
          </w:p>
        </w:tc>
        <w:tc>
          <w:tcPr/>
          <w:p>
            <w:pPr>
              <w:pStyle w:val="Compact"/>
              <w:jc w:val="right"/>
            </w:pPr>
            <w:r>
              <w:t xml:space="preserve">17.78</w:t>
            </w:r>
          </w:p>
        </w:tc>
      </w:tr>
      <w:tr>
        <w:tc>
          <w:tcPr/>
          <w:p>
            <w:pPr>
              <w:pStyle w:val="Compact"/>
              <w:jc w:val="left"/>
            </w:pPr>
            <w:r>
              <w:t xml:space="preserve">Greece</w:t>
            </w:r>
          </w:p>
        </w:tc>
        <w:tc>
          <w:tcPr/>
          <w:p>
            <w:pPr>
              <w:pStyle w:val="Compact"/>
              <w:jc w:val="left"/>
            </w:pPr>
            <w:r>
              <w:t xml:space="preserve">Transport</w:t>
            </w:r>
          </w:p>
        </w:tc>
        <w:tc>
          <w:tcPr/>
          <w:p>
            <w:pPr>
              <w:pStyle w:val="Compact"/>
              <w:jc w:val="right"/>
            </w:pPr>
            <w:r>
              <w:t xml:space="preserve">34.9</w:t>
            </w:r>
          </w:p>
        </w:tc>
        <w:tc>
          <w:tcPr/>
          <w:p>
            <w:pPr>
              <w:pStyle w:val="Compact"/>
              <w:jc w:val="right"/>
            </w:pPr>
            <w:r>
              <w:t xml:space="preserve">25</w:t>
            </w:r>
          </w:p>
        </w:tc>
        <w:tc>
          <w:tcPr/>
          <w:p>
            <w:pPr>
              <w:pStyle w:val="Compact"/>
              <w:jc w:val="right"/>
            </w:pPr>
            <w:r>
              <w:t xml:space="preserve">6</w:t>
            </w:r>
          </w:p>
        </w:tc>
        <w:tc>
          <w:tcPr/>
          <w:p>
            <w:pPr>
              <w:pStyle w:val="Compact"/>
              <w:jc w:val="right"/>
            </w:pPr>
            <w:r>
              <w:t xml:space="preserve">17.18</w:t>
            </w:r>
          </w:p>
        </w:tc>
      </w:tr>
      <w:tr>
        <w:tc>
          <w:tcPr/>
          <w:p>
            <w:pPr>
              <w:pStyle w:val="Compact"/>
              <w:jc w:val="left"/>
            </w:pPr>
            <w:r>
              <w:t xml:space="preserve">Greece</w:t>
            </w:r>
          </w:p>
        </w:tc>
        <w:tc>
          <w:tcPr/>
          <w:p>
            <w:pPr>
              <w:pStyle w:val="Compact"/>
              <w:jc w:val="left"/>
            </w:pPr>
            <w:r>
              <w:t xml:space="preserve">Defense</w:t>
            </w:r>
          </w:p>
        </w:tc>
        <w:tc>
          <w:tcPr/>
          <w:p>
            <w:pPr>
              <w:pStyle w:val="Compact"/>
              <w:jc w:val="right"/>
            </w:pPr>
            <w:r>
              <w:t xml:space="preserve">26.7</w:t>
            </w:r>
          </w:p>
        </w:tc>
        <w:tc>
          <w:tcPr/>
          <w:p>
            <w:pPr>
              <w:pStyle w:val="Compact"/>
              <w:jc w:val="right"/>
            </w:pPr>
            <w:r>
              <w:t xml:space="preserve">17</w:t>
            </w:r>
          </w:p>
        </w:tc>
        <w:tc>
          <w:tcPr/>
          <w:p>
            <w:pPr>
              <w:pStyle w:val="Compact"/>
              <w:jc w:val="right"/>
            </w:pPr>
            <w:r>
              <w:t xml:space="preserve">3</w:t>
            </w:r>
          </w:p>
        </w:tc>
        <w:tc>
          <w:tcPr/>
          <w:p>
            <w:pPr>
              <w:pStyle w:val="Compact"/>
              <w:jc w:val="right"/>
            </w:pPr>
            <w:r>
              <w:t xml:space="preserve">11.22</w:t>
            </w:r>
          </w:p>
        </w:tc>
      </w:tr>
      <w:tr>
        <w:tc>
          <w:tcPr/>
          <w:p>
            <w:pPr>
              <w:pStyle w:val="Compact"/>
              <w:jc w:val="left"/>
            </w:pPr>
            <w:r>
              <w:t xml:space="preserve">Italy</w:t>
            </w:r>
          </w:p>
        </w:tc>
        <w:tc>
          <w:tcPr/>
          <w:p>
            <w:pPr>
              <w:pStyle w:val="Compact"/>
              <w:jc w:val="left"/>
            </w:pPr>
            <w:r>
              <w:t xml:space="preserve">Finance</w:t>
            </w:r>
          </w:p>
        </w:tc>
        <w:tc>
          <w:tcPr/>
          <w:p>
            <w:pPr>
              <w:pStyle w:val="Compact"/>
              <w:jc w:val="right"/>
            </w:pPr>
            <w:r>
              <w:t xml:space="preserve">47.8</w:t>
            </w:r>
          </w:p>
        </w:tc>
        <w:tc>
          <w:tcPr/>
          <w:p>
            <w:pPr>
              <w:pStyle w:val="Compact"/>
              <w:jc w:val="right"/>
            </w:pPr>
            <w:r>
              <w:t xml:space="preserve">33</w:t>
            </w:r>
          </w:p>
        </w:tc>
        <w:tc>
          <w:tcPr/>
          <w:p>
            <w:pPr>
              <w:pStyle w:val="Compact"/>
              <w:jc w:val="right"/>
            </w:pPr>
            <w:r>
              <w:t xml:space="preserve">3</w:t>
            </w:r>
          </w:p>
        </w:tc>
        <w:tc>
          <w:tcPr/>
          <w:p>
            <w:pPr>
              <w:pStyle w:val="Compact"/>
              <w:jc w:val="right"/>
            </w:pPr>
            <w:r>
              <w:t xml:space="preserve">6.27</w:t>
            </w:r>
          </w:p>
        </w:tc>
      </w:tr>
      <w:tr>
        <w:tc>
          <w:tcPr/>
          <w:p>
            <w:pPr>
              <w:pStyle w:val="Compact"/>
              <w:jc w:val="left"/>
            </w:pPr>
            <w:r>
              <w:t xml:space="preserve">Italy</w:t>
            </w:r>
          </w:p>
        </w:tc>
        <w:tc>
          <w:tcPr/>
          <w:p>
            <w:pPr>
              <w:pStyle w:val="Compact"/>
              <w:jc w:val="left"/>
            </w:pPr>
            <w:r>
              <w:t xml:space="preserve">Interior/Justice</w:t>
            </w:r>
          </w:p>
        </w:tc>
        <w:tc>
          <w:tcPr/>
          <w:p>
            <w:pPr>
              <w:pStyle w:val="Compact"/>
              <w:jc w:val="right"/>
            </w:pPr>
            <w:r>
              <w:t xml:space="preserve">47.9</w:t>
            </w:r>
          </w:p>
        </w:tc>
        <w:tc>
          <w:tcPr/>
          <w:p>
            <w:pPr>
              <w:pStyle w:val="Compact"/>
              <w:jc w:val="right"/>
            </w:pPr>
            <w:r>
              <w:t xml:space="preserve">25</w:t>
            </w:r>
          </w:p>
        </w:tc>
        <w:tc>
          <w:tcPr/>
          <w:p>
            <w:pPr>
              <w:pStyle w:val="Compact"/>
              <w:jc w:val="right"/>
            </w:pPr>
            <w:r>
              <w:t xml:space="preserve">3</w:t>
            </w:r>
          </w:p>
        </w:tc>
        <w:tc>
          <w:tcPr/>
          <w:p>
            <w:pPr>
              <w:pStyle w:val="Compact"/>
              <w:jc w:val="right"/>
            </w:pPr>
            <w:r>
              <w:t xml:space="preserve">6.26</w:t>
            </w:r>
          </w:p>
        </w:tc>
      </w:tr>
      <w:tr>
        <w:tc>
          <w:tcPr/>
          <w:p>
            <w:pPr>
              <w:pStyle w:val="Compact"/>
              <w:jc w:val="left"/>
            </w:pPr>
            <w:r>
              <w:t xml:space="preserve">Italy</w:t>
            </w:r>
          </w:p>
        </w:tc>
        <w:tc>
          <w:tcPr/>
          <w:p>
            <w:pPr>
              <w:pStyle w:val="Compact"/>
              <w:jc w:val="left"/>
            </w:pPr>
            <w:r>
              <w:t xml:space="preserve">Health</w:t>
            </w:r>
          </w:p>
        </w:tc>
        <w:tc>
          <w:tcPr/>
          <w:p>
            <w:pPr>
              <w:pStyle w:val="Compact"/>
              <w:jc w:val="right"/>
            </w:pPr>
            <w:r>
              <w:t xml:space="preserve">47.9</w:t>
            </w:r>
          </w:p>
        </w:tc>
        <w:tc>
          <w:tcPr/>
          <w:p>
            <w:pPr>
              <w:pStyle w:val="Compact"/>
              <w:jc w:val="right"/>
            </w:pPr>
            <w:r>
              <w:t xml:space="preserve">25</w:t>
            </w:r>
          </w:p>
        </w:tc>
        <w:tc>
          <w:tcPr/>
          <w:p>
            <w:pPr>
              <w:pStyle w:val="Compact"/>
              <w:jc w:val="right"/>
            </w:pPr>
            <w:r>
              <w:t xml:space="preserve">2</w:t>
            </w:r>
          </w:p>
        </w:tc>
        <w:tc>
          <w:tcPr/>
          <w:p>
            <w:pPr>
              <w:pStyle w:val="Compact"/>
              <w:jc w:val="right"/>
            </w:pPr>
            <w:r>
              <w:t xml:space="preserve">4.17</w:t>
            </w:r>
          </w:p>
        </w:tc>
      </w:tr>
      <w:tr>
        <w:tc>
          <w:tcPr/>
          <w:p>
            <w:pPr>
              <w:pStyle w:val="Compact"/>
              <w:jc w:val="left"/>
            </w:pPr>
            <w:r>
              <w:t xml:space="preserve">Italy</w:t>
            </w:r>
          </w:p>
        </w:tc>
        <w:tc>
          <w:tcPr/>
          <w:p>
            <w:pPr>
              <w:pStyle w:val="Compact"/>
              <w:jc w:val="left"/>
            </w:pPr>
            <w:r>
              <w:t xml:space="preserve">Defense</w:t>
            </w:r>
          </w:p>
        </w:tc>
        <w:tc>
          <w:tcPr/>
          <w:p>
            <w:pPr>
              <w:pStyle w:val="Compact"/>
              <w:jc w:val="right"/>
            </w:pPr>
            <w:r>
              <w:t xml:space="preserve">47.9</w:t>
            </w:r>
          </w:p>
        </w:tc>
        <w:tc>
          <w:tcPr/>
          <w:p>
            <w:pPr>
              <w:pStyle w:val="Compact"/>
              <w:jc w:val="right"/>
            </w:pPr>
            <w:r>
              <w:t xml:space="preserve">25</w:t>
            </w:r>
          </w:p>
        </w:tc>
        <w:tc>
          <w:tcPr/>
          <w:p>
            <w:pPr>
              <w:pStyle w:val="Compact"/>
              <w:jc w:val="right"/>
            </w:pPr>
            <w:r>
              <w:t xml:space="preserve">1</w:t>
            </w:r>
          </w:p>
        </w:tc>
        <w:tc>
          <w:tcPr/>
          <w:p>
            <w:pPr>
              <w:pStyle w:val="Compact"/>
              <w:jc w:val="right"/>
            </w:pPr>
            <w:r>
              <w:t xml:space="preserve">2.09</w:t>
            </w:r>
          </w:p>
        </w:tc>
      </w:tr>
      <w:tr>
        <w:tc>
          <w:tcPr/>
          <w:p>
            <w:pPr>
              <w:pStyle w:val="Compact"/>
              <w:jc w:val="left"/>
            </w:pPr>
            <w:r>
              <w:t xml:space="preserve">Italy</w:t>
            </w:r>
          </w:p>
        </w:tc>
        <w:tc>
          <w:tcPr/>
          <w:p>
            <w:pPr>
              <w:pStyle w:val="Compact"/>
              <w:jc w:val="left"/>
            </w:pPr>
            <w:r>
              <w:t xml:space="preserve">Transport</w:t>
            </w:r>
          </w:p>
        </w:tc>
        <w:tc>
          <w:tcPr/>
          <w:p>
            <w:pPr>
              <w:pStyle w:val="Compact"/>
              <w:jc w:val="right"/>
            </w:pPr>
            <w:r>
              <w:t xml:space="preserve">47.9</w:t>
            </w:r>
          </w:p>
        </w:tc>
        <w:tc>
          <w:tcPr/>
          <w:p>
            <w:pPr>
              <w:pStyle w:val="Compact"/>
              <w:jc w:val="right"/>
            </w:pPr>
            <w:r>
              <w:t xml:space="preserve">29</w:t>
            </w:r>
          </w:p>
        </w:tc>
        <w:tc>
          <w:tcPr/>
          <w:p>
            <w:pPr>
              <w:pStyle w:val="Compact"/>
              <w:jc w:val="right"/>
            </w:pPr>
            <w:r>
              <w:t xml:space="preserve">1</w:t>
            </w:r>
          </w:p>
        </w:tc>
        <w:tc>
          <w:tcPr/>
          <w:p>
            <w:pPr>
              <w:pStyle w:val="Compact"/>
              <w:jc w:val="right"/>
            </w:pPr>
            <w:r>
              <w:t xml:space="preserve">2.09</w:t>
            </w:r>
          </w:p>
        </w:tc>
      </w:tr>
      <w:tr>
        <w:tc>
          <w:tcPr/>
          <w:p>
            <w:pPr>
              <w:pStyle w:val="Compact"/>
              <w:jc w:val="left"/>
            </w:pPr>
            <w:r>
              <w:t xml:space="preserve">Netherlands</w:t>
            </w:r>
          </w:p>
        </w:tc>
        <w:tc>
          <w:tcPr/>
          <w:p>
            <w:pPr>
              <w:pStyle w:val="Compact"/>
              <w:jc w:val="left"/>
            </w:pPr>
            <w:r>
              <w:t xml:space="preserve">Finance</w:t>
            </w:r>
          </w:p>
        </w:tc>
        <w:tc>
          <w:tcPr/>
          <w:p>
            <w:pPr>
              <w:pStyle w:val="Compact"/>
              <w:jc w:val="right"/>
            </w:pPr>
            <w:r>
              <w:t xml:space="preserve">6.8</w:t>
            </w:r>
          </w:p>
        </w:tc>
        <w:tc>
          <w:tcPr/>
          <w:p>
            <w:pPr>
              <w:pStyle w:val="Compact"/>
              <w:jc w:val="right"/>
            </w:pPr>
            <w:r>
              <w:t xml:space="preserve">3</w:t>
            </w:r>
          </w:p>
        </w:tc>
        <w:tc>
          <w:tcPr/>
          <w:p>
            <w:pPr>
              <w:pStyle w:val="Compact"/>
              <w:jc w:val="right"/>
            </w:pPr>
            <w:r>
              <w:t xml:space="preserve">2</w:t>
            </w:r>
          </w:p>
        </w:tc>
        <w:tc>
          <w:tcPr/>
          <w:p>
            <w:pPr>
              <w:pStyle w:val="Compact"/>
              <w:jc w:val="right"/>
            </w:pPr>
            <w:r>
              <w:t xml:space="preserve">29.34</w:t>
            </w:r>
          </w:p>
        </w:tc>
      </w:tr>
      <w:tr>
        <w:tc>
          <w:tcPr/>
          <w:p>
            <w:pPr>
              <w:pStyle w:val="Compact"/>
              <w:jc w:val="left"/>
            </w:pPr>
            <w:r>
              <w:t xml:space="preserve">Netherlands</w:t>
            </w:r>
          </w:p>
        </w:tc>
        <w:tc>
          <w:tcPr/>
          <w:p>
            <w:pPr>
              <w:pStyle w:val="Compact"/>
              <w:jc w:val="left"/>
            </w:pPr>
            <w:r>
              <w:t xml:space="preserve">Interior/Justice</w:t>
            </w:r>
          </w:p>
        </w:tc>
        <w:tc>
          <w:tcPr/>
          <w:p>
            <w:pPr>
              <w:pStyle w:val="Compact"/>
              <w:jc w:val="right"/>
            </w:pPr>
            <w:r>
              <w:t xml:space="preserve">52.8</w:t>
            </w:r>
          </w:p>
        </w:tc>
        <w:tc>
          <w:tcPr/>
          <w:p>
            <w:pPr>
              <w:pStyle w:val="Compact"/>
              <w:jc w:val="right"/>
            </w:pPr>
            <w:r>
              <w:t xml:space="preserve">34</w:t>
            </w:r>
          </w:p>
        </w:tc>
        <w:tc>
          <w:tcPr/>
          <w:p>
            <w:pPr>
              <w:pStyle w:val="Compact"/>
              <w:jc w:val="right"/>
            </w:pPr>
            <w:r>
              <w:t xml:space="preserve">15</w:t>
            </w:r>
          </w:p>
        </w:tc>
        <w:tc>
          <w:tcPr/>
          <w:p>
            <w:pPr>
              <w:pStyle w:val="Compact"/>
              <w:jc w:val="right"/>
            </w:pPr>
            <w:r>
              <w:t xml:space="preserve">28.44</w:t>
            </w:r>
          </w:p>
        </w:tc>
      </w:tr>
      <w:tr>
        <w:tc>
          <w:tcPr/>
          <w:p>
            <w:pPr>
              <w:pStyle w:val="Compact"/>
              <w:jc w:val="left"/>
            </w:pPr>
            <w:r>
              <w:t xml:space="preserve">Netherlands</w:t>
            </w:r>
          </w:p>
        </w:tc>
        <w:tc>
          <w:tcPr/>
          <w:p>
            <w:pPr>
              <w:pStyle w:val="Compact"/>
              <w:jc w:val="left"/>
            </w:pPr>
            <w:r>
              <w:t xml:space="preserve">Defense</w:t>
            </w:r>
          </w:p>
        </w:tc>
        <w:tc>
          <w:tcPr/>
          <w:p>
            <w:pPr>
              <w:pStyle w:val="Compact"/>
              <w:jc w:val="right"/>
            </w:pPr>
            <w:r>
              <w:t xml:space="preserve">52.8</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17.05</w:t>
            </w:r>
          </w:p>
        </w:tc>
      </w:tr>
      <w:tr>
        <w:tc>
          <w:tcPr/>
          <w:p>
            <w:pPr>
              <w:pStyle w:val="Compact"/>
              <w:jc w:val="left"/>
            </w:pPr>
            <w:r>
              <w:t xml:space="preserve">Netherlands</w:t>
            </w:r>
          </w:p>
        </w:tc>
        <w:tc>
          <w:tcPr/>
          <w:p>
            <w:pPr>
              <w:pStyle w:val="Compact"/>
              <w:jc w:val="left"/>
            </w:pPr>
            <w:r>
              <w:t xml:space="preserve">Health</w:t>
            </w:r>
          </w:p>
        </w:tc>
        <w:tc>
          <w:tcPr/>
          <w:p>
            <w:pPr>
              <w:pStyle w:val="Compact"/>
              <w:jc w:val="right"/>
            </w:pPr>
            <w:r>
              <w:t xml:space="preserve">52.8</w:t>
            </w:r>
          </w:p>
        </w:tc>
        <w:tc>
          <w:tcPr/>
          <w:p>
            <w:pPr>
              <w:pStyle w:val="Compact"/>
              <w:jc w:val="right"/>
            </w:pPr>
            <w:r>
              <w:t xml:space="preserve">20</w:t>
            </w:r>
          </w:p>
        </w:tc>
        <w:tc>
          <w:tcPr/>
          <w:p>
            <w:pPr>
              <w:pStyle w:val="Compact"/>
              <w:jc w:val="right"/>
            </w:pPr>
            <w:r>
              <w:t xml:space="preserve">1</w:t>
            </w:r>
          </w:p>
        </w:tc>
        <w:tc>
          <w:tcPr/>
          <w:p>
            <w:pPr>
              <w:pStyle w:val="Compact"/>
              <w:jc w:val="right"/>
            </w:pPr>
            <w:r>
              <w:t xml:space="preserve">1.89</w:t>
            </w:r>
          </w:p>
        </w:tc>
      </w:tr>
      <w:tr>
        <w:tc>
          <w:tcPr/>
          <w:p>
            <w:pPr>
              <w:pStyle w:val="Compact"/>
              <w:jc w:val="left"/>
            </w:pPr>
            <w:r>
              <w:t xml:space="preserve">Netherlands</w:t>
            </w:r>
          </w:p>
        </w:tc>
        <w:tc>
          <w:tcPr/>
          <w:p>
            <w:pPr>
              <w:pStyle w:val="Compact"/>
              <w:jc w:val="left"/>
            </w:pPr>
            <w:r>
              <w:t xml:space="preserve">Transport</w:t>
            </w:r>
          </w:p>
        </w:tc>
        <w:tc>
          <w:tcPr/>
          <w:p>
            <w:pPr>
              <w:pStyle w:val="Compact"/>
              <w:jc w:val="right"/>
            </w:pPr>
            <w:r>
              <w:t xml:space="preserve">52.8</w:t>
            </w:r>
          </w:p>
        </w:tc>
        <w:tc>
          <w:tcPr/>
          <w:p>
            <w:pPr>
              <w:pStyle w:val="Compact"/>
              <w:jc w:val="right"/>
            </w:pPr>
            <w:r>
              <w:t xml:space="preserve">18</w:t>
            </w:r>
          </w:p>
        </w:tc>
        <w:tc>
          <w:tcPr/>
          <w:p>
            <w:pPr>
              <w:pStyle w:val="Compact"/>
              <w:jc w:val="right"/>
            </w:pPr>
            <w:r>
              <w:t xml:space="preserve">1</w:t>
            </w:r>
          </w:p>
        </w:tc>
        <w:tc>
          <w:tcPr/>
          <w:p>
            <w:pPr>
              <w:pStyle w:val="Compact"/>
              <w:jc w:val="right"/>
            </w:pPr>
            <w:r>
              <w:t xml:space="preserve">1.89</w:t>
            </w:r>
          </w:p>
        </w:tc>
      </w:tr>
      <w:tr>
        <w:tc>
          <w:tcPr/>
          <w:p>
            <w:pPr>
              <w:pStyle w:val="Compact"/>
              <w:jc w:val="left"/>
            </w:pPr>
            <w:r>
              <w:t xml:space="preserve">Norway</w:t>
            </w:r>
          </w:p>
        </w:tc>
        <w:tc>
          <w:tcPr/>
          <w:p>
            <w:pPr>
              <w:pStyle w:val="Compact"/>
              <w:jc w:val="left"/>
            </w:pPr>
            <w:r>
              <w:t xml:space="preserve">Interior/Justice</w:t>
            </w:r>
          </w:p>
        </w:tc>
        <w:tc>
          <w:tcPr/>
          <w:p>
            <w:pPr>
              <w:pStyle w:val="Compact"/>
              <w:jc w:val="right"/>
            </w:pPr>
            <w:r>
              <w:t xml:space="preserve">51.2</w:t>
            </w:r>
          </w:p>
        </w:tc>
        <w:tc>
          <w:tcPr/>
          <w:p>
            <w:pPr>
              <w:pStyle w:val="Compact"/>
              <w:jc w:val="right"/>
            </w:pPr>
            <w:r>
              <w:t xml:space="preserve">25</w:t>
            </w:r>
          </w:p>
        </w:tc>
        <w:tc>
          <w:tcPr/>
          <w:p>
            <w:pPr>
              <w:pStyle w:val="Compact"/>
              <w:jc w:val="right"/>
            </w:pPr>
            <w:r>
              <w:t xml:space="preserve">6</w:t>
            </w:r>
          </w:p>
        </w:tc>
        <w:tc>
          <w:tcPr/>
          <w:p>
            <w:pPr>
              <w:pStyle w:val="Compact"/>
              <w:jc w:val="right"/>
            </w:pPr>
            <w:r>
              <w:t xml:space="preserve">11.71</w:t>
            </w:r>
          </w:p>
        </w:tc>
      </w:tr>
      <w:tr>
        <w:tc>
          <w:tcPr/>
          <w:p>
            <w:pPr>
              <w:pStyle w:val="Compact"/>
              <w:jc w:val="left"/>
            </w:pPr>
            <w:r>
              <w:t xml:space="preserve">Norway</w:t>
            </w:r>
          </w:p>
        </w:tc>
        <w:tc>
          <w:tcPr/>
          <w:p>
            <w:pPr>
              <w:pStyle w:val="Compact"/>
              <w:jc w:val="left"/>
            </w:pPr>
            <w:r>
              <w:t xml:space="preserve">Health</w:t>
            </w:r>
          </w:p>
        </w:tc>
        <w:tc>
          <w:tcPr/>
          <w:p>
            <w:pPr>
              <w:pStyle w:val="Compact"/>
              <w:jc w:val="right"/>
            </w:pPr>
            <w:r>
              <w:t xml:space="preserve">50.5</w:t>
            </w:r>
          </w:p>
        </w:tc>
        <w:tc>
          <w:tcPr/>
          <w:p>
            <w:pPr>
              <w:pStyle w:val="Compact"/>
              <w:jc w:val="right"/>
            </w:pPr>
            <w:r>
              <w:t xml:space="preserve">20</w:t>
            </w:r>
          </w:p>
        </w:tc>
        <w:tc>
          <w:tcPr/>
          <w:p>
            <w:pPr>
              <w:pStyle w:val="Compact"/>
              <w:jc w:val="right"/>
            </w:pPr>
            <w:r>
              <w:t xml:space="preserve">5</w:t>
            </w:r>
          </w:p>
        </w:tc>
        <w:tc>
          <w:tcPr/>
          <w:p>
            <w:pPr>
              <w:pStyle w:val="Compact"/>
              <w:jc w:val="right"/>
            </w:pPr>
            <w:r>
              <w:t xml:space="preserve">9.90</w:t>
            </w:r>
          </w:p>
        </w:tc>
      </w:tr>
      <w:tr>
        <w:tc>
          <w:tcPr/>
          <w:p>
            <w:pPr>
              <w:pStyle w:val="Compact"/>
              <w:jc w:val="left"/>
            </w:pPr>
            <w:r>
              <w:t xml:space="preserve">Norway</w:t>
            </w:r>
          </w:p>
        </w:tc>
        <w:tc>
          <w:tcPr/>
          <w:p>
            <w:pPr>
              <w:pStyle w:val="Compact"/>
              <w:jc w:val="left"/>
            </w:pPr>
            <w:r>
              <w:t xml:space="preserve">Transport</w:t>
            </w:r>
          </w:p>
        </w:tc>
        <w:tc>
          <w:tcPr/>
          <w:p>
            <w:pPr>
              <w:pStyle w:val="Compact"/>
              <w:jc w:val="right"/>
            </w:pPr>
            <w:r>
              <w:t xml:space="preserve">48.0</w:t>
            </w:r>
          </w:p>
        </w:tc>
        <w:tc>
          <w:tcPr/>
          <w:p>
            <w:pPr>
              <w:pStyle w:val="Compact"/>
              <w:jc w:val="right"/>
            </w:pPr>
            <w:r>
              <w:t xml:space="preserve">21</w:t>
            </w:r>
          </w:p>
        </w:tc>
        <w:tc>
          <w:tcPr/>
          <w:p>
            <w:pPr>
              <w:pStyle w:val="Compact"/>
              <w:jc w:val="right"/>
            </w:pPr>
            <w:r>
              <w:t xml:space="preserve">4</w:t>
            </w:r>
          </w:p>
        </w:tc>
        <w:tc>
          <w:tcPr/>
          <w:p>
            <w:pPr>
              <w:pStyle w:val="Compact"/>
              <w:jc w:val="right"/>
            </w:pPr>
            <w:r>
              <w:t xml:space="preserve">8.33</w:t>
            </w:r>
          </w:p>
        </w:tc>
      </w:tr>
      <w:tr>
        <w:tc>
          <w:tcPr/>
          <w:p>
            <w:pPr>
              <w:pStyle w:val="Compact"/>
              <w:jc w:val="left"/>
            </w:pPr>
            <w:r>
              <w:t xml:space="preserve">Norway</w:t>
            </w:r>
          </w:p>
        </w:tc>
        <w:tc>
          <w:tcPr/>
          <w:p>
            <w:pPr>
              <w:pStyle w:val="Compact"/>
              <w:jc w:val="left"/>
            </w:pPr>
            <w:r>
              <w:t xml:space="preserve">Defense</w:t>
            </w:r>
          </w:p>
        </w:tc>
        <w:tc>
          <w:tcPr/>
          <w:p>
            <w:pPr>
              <w:pStyle w:val="Compact"/>
              <w:jc w:val="right"/>
            </w:pPr>
            <w:r>
              <w:t xml:space="preserve">51.3</w:t>
            </w:r>
          </w:p>
        </w:tc>
        <w:tc>
          <w:tcPr/>
          <w:p>
            <w:pPr>
              <w:pStyle w:val="Compact"/>
              <w:jc w:val="right"/>
            </w:pPr>
            <w:r>
              <w:t xml:space="preserve">21</w:t>
            </w:r>
          </w:p>
        </w:tc>
        <w:tc>
          <w:tcPr/>
          <w:p>
            <w:pPr>
              <w:pStyle w:val="Compact"/>
              <w:jc w:val="right"/>
            </w:pPr>
            <w:r>
              <w:t xml:space="preserve">4</w:t>
            </w:r>
          </w:p>
        </w:tc>
        <w:tc>
          <w:tcPr/>
          <w:p>
            <w:pPr>
              <w:pStyle w:val="Compact"/>
              <w:jc w:val="right"/>
            </w:pPr>
            <w:r>
              <w:t xml:space="preserve">7.80</w:t>
            </w:r>
          </w:p>
        </w:tc>
      </w:tr>
      <w:tr>
        <w:tc>
          <w:tcPr/>
          <w:p>
            <w:pPr>
              <w:pStyle w:val="Compact"/>
              <w:jc w:val="left"/>
            </w:pPr>
            <w:r>
              <w:t xml:space="preserve">Norway</w:t>
            </w:r>
          </w:p>
        </w:tc>
        <w:tc>
          <w:tcPr/>
          <w:p>
            <w:pPr>
              <w:pStyle w:val="Compact"/>
              <w:jc w:val="left"/>
            </w:pPr>
            <w:r>
              <w:t xml:space="preserve">Finance</w:t>
            </w:r>
          </w:p>
        </w:tc>
        <w:tc>
          <w:tcPr/>
          <w:p>
            <w:pPr>
              <w:pStyle w:val="Compact"/>
              <w:jc w:val="right"/>
            </w:pPr>
            <w:r>
              <w:t xml:space="preserve">51.3</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Spain</w:t>
            </w:r>
          </w:p>
        </w:tc>
        <w:tc>
          <w:tcPr/>
          <w:p>
            <w:pPr>
              <w:pStyle w:val="Compact"/>
              <w:jc w:val="left"/>
            </w:pPr>
            <w:r>
              <w:t xml:space="preserve">Health</w:t>
            </w:r>
          </w:p>
        </w:tc>
        <w:tc>
          <w:tcPr/>
          <w:p>
            <w:pPr>
              <w:pStyle w:val="Compact"/>
              <w:jc w:val="right"/>
            </w:pPr>
            <w:r>
              <w:t xml:space="preserve">46.4</w:t>
            </w:r>
          </w:p>
        </w:tc>
        <w:tc>
          <w:tcPr/>
          <w:p>
            <w:pPr>
              <w:pStyle w:val="Compact"/>
              <w:jc w:val="right"/>
            </w:pPr>
            <w:r>
              <w:t xml:space="preserve">27</w:t>
            </w:r>
          </w:p>
        </w:tc>
        <w:tc>
          <w:tcPr/>
          <w:p>
            <w:pPr>
              <w:pStyle w:val="Compact"/>
              <w:jc w:val="right"/>
            </w:pPr>
            <w:r>
              <w:t xml:space="preserve">11</w:t>
            </w:r>
          </w:p>
        </w:tc>
        <w:tc>
          <w:tcPr/>
          <w:p>
            <w:pPr>
              <w:pStyle w:val="Compact"/>
              <w:jc w:val="right"/>
            </w:pPr>
            <w:r>
              <w:t xml:space="preserve">23.72</w:t>
            </w:r>
          </w:p>
        </w:tc>
      </w:tr>
      <w:tr>
        <w:tc>
          <w:tcPr/>
          <w:p>
            <w:pPr>
              <w:pStyle w:val="Compact"/>
              <w:jc w:val="left"/>
            </w:pPr>
            <w:r>
              <w:t xml:space="preserve">Spain</w:t>
            </w:r>
          </w:p>
        </w:tc>
        <w:tc>
          <w:tcPr/>
          <w:p>
            <w:pPr>
              <w:pStyle w:val="Compact"/>
              <w:jc w:val="left"/>
            </w:pPr>
            <w:r>
              <w:t xml:space="preserve">Interior/Justice</w:t>
            </w:r>
          </w:p>
        </w:tc>
        <w:tc>
          <w:tcPr/>
          <w:p>
            <w:pPr>
              <w:pStyle w:val="Compact"/>
              <w:jc w:val="right"/>
            </w:pPr>
            <w:r>
              <w:t xml:space="preserve">44.4</w:t>
            </w:r>
          </w:p>
        </w:tc>
        <w:tc>
          <w:tcPr/>
          <w:p>
            <w:pPr>
              <w:pStyle w:val="Compact"/>
              <w:jc w:val="right"/>
            </w:pPr>
            <w:r>
              <w:t xml:space="preserve">17</w:t>
            </w:r>
          </w:p>
        </w:tc>
        <w:tc>
          <w:tcPr/>
          <w:p>
            <w:pPr>
              <w:pStyle w:val="Compact"/>
              <w:jc w:val="right"/>
            </w:pPr>
            <w:r>
              <w:t xml:space="preserve">4</w:t>
            </w:r>
          </w:p>
        </w:tc>
        <w:tc>
          <w:tcPr/>
          <w:p>
            <w:pPr>
              <w:pStyle w:val="Compact"/>
              <w:jc w:val="right"/>
            </w:pPr>
            <w:r>
              <w:t xml:space="preserve">9.00</w:t>
            </w:r>
          </w:p>
        </w:tc>
      </w:tr>
      <w:tr>
        <w:tc>
          <w:tcPr/>
          <w:p>
            <w:pPr>
              <w:pStyle w:val="Compact"/>
              <w:jc w:val="left"/>
            </w:pPr>
            <w:r>
              <w:t xml:space="preserve">Spain</w:t>
            </w:r>
          </w:p>
        </w:tc>
        <w:tc>
          <w:tcPr/>
          <w:p>
            <w:pPr>
              <w:pStyle w:val="Compact"/>
              <w:jc w:val="left"/>
            </w:pPr>
            <w:r>
              <w:t xml:space="preserve">Transport</w:t>
            </w:r>
          </w:p>
        </w:tc>
        <w:tc>
          <w:tcPr/>
          <w:p>
            <w:pPr>
              <w:pStyle w:val="Compact"/>
              <w:jc w:val="right"/>
            </w:pPr>
            <w:r>
              <w:t xml:space="preserve">49.8</w:t>
            </w:r>
          </w:p>
        </w:tc>
        <w:tc>
          <w:tcPr/>
          <w:p>
            <w:pPr>
              <w:pStyle w:val="Compact"/>
              <w:jc w:val="right"/>
            </w:pPr>
            <w:r>
              <w:t xml:space="preserve">20</w:t>
            </w:r>
          </w:p>
        </w:tc>
        <w:tc>
          <w:tcPr/>
          <w:p>
            <w:pPr>
              <w:pStyle w:val="Compact"/>
              <w:jc w:val="right"/>
            </w:pPr>
            <w:r>
              <w:t xml:space="preserve">2</w:t>
            </w:r>
          </w:p>
        </w:tc>
        <w:tc>
          <w:tcPr/>
          <w:p>
            <w:pPr>
              <w:pStyle w:val="Compact"/>
              <w:jc w:val="right"/>
            </w:pPr>
            <w:r>
              <w:t xml:space="preserve">4.02</w:t>
            </w:r>
          </w:p>
        </w:tc>
      </w:tr>
      <w:tr>
        <w:tc>
          <w:tcPr/>
          <w:p>
            <w:pPr>
              <w:pStyle w:val="Compact"/>
              <w:jc w:val="left"/>
            </w:pPr>
            <w:r>
              <w:t xml:space="preserve">Spain</w:t>
            </w:r>
          </w:p>
        </w:tc>
        <w:tc>
          <w:tcPr/>
          <w:p>
            <w:pPr>
              <w:pStyle w:val="Compact"/>
              <w:jc w:val="left"/>
            </w:pPr>
            <w:r>
              <w:t xml:space="preserve">Finance</w:t>
            </w:r>
          </w:p>
        </w:tc>
        <w:tc>
          <w:tcPr/>
          <w:p>
            <w:pPr>
              <w:pStyle w:val="Compact"/>
              <w:jc w:val="right"/>
            </w:pPr>
            <w:r>
              <w:t xml:space="preserve">45.0</w:t>
            </w:r>
          </w:p>
        </w:tc>
        <w:tc>
          <w:tcPr/>
          <w:p>
            <w:pPr>
              <w:pStyle w:val="Compact"/>
              <w:jc w:val="right"/>
            </w:pPr>
            <w:r>
              <w:t xml:space="preserve">14</w:t>
            </w:r>
          </w:p>
        </w:tc>
        <w:tc>
          <w:tcPr/>
          <w:p>
            <w:pPr>
              <w:pStyle w:val="Compact"/>
              <w:jc w:val="right"/>
            </w:pPr>
            <w:r>
              <w:t xml:space="preserve">1</w:t>
            </w:r>
          </w:p>
        </w:tc>
        <w:tc>
          <w:tcPr/>
          <w:p>
            <w:pPr>
              <w:pStyle w:val="Compact"/>
              <w:jc w:val="right"/>
            </w:pPr>
            <w:r>
              <w:t xml:space="preserve">2.22</w:t>
            </w:r>
          </w:p>
        </w:tc>
      </w:tr>
      <w:tr>
        <w:tc>
          <w:tcPr/>
          <w:p>
            <w:pPr>
              <w:pStyle w:val="Compact"/>
              <w:jc w:val="left"/>
            </w:pPr>
            <w:r>
              <w:t xml:space="preserve">Spain</w:t>
            </w:r>
          </w:p>
        </w:tc>
        <w:tc>
          <w:tcPr/>
          <w:p>
            <w:pPr>
              <w:pStyle w:val="Compact"/>
              <w:jc w:val="left"/>
            </w:pPr>
            <w:r>
              <w:t xml:space="preserve">Defense</w:t>
            </w:r>
          </w:p>
        </w:tc>
        <w:tc>
          <w:tcPr/>
          <w:p>
            <w:pPr>
              <w:pStyle w:val="Compact"/>
              <w:jc w:val="right"/>
            </w:pPr>
            <w:r>
              <w:t xml:space="preserve">52.5</w:t>
            </w:r>
          </w:p>
        </w:tc>
        <w:tc>
          <w:tcPr/>
          <w:p>
            <w:pPr>
              <w:pStyle w:val="Compact"/>
              <w:jc w:val="right"/>
            </w:pPr>
            <w:r>
              <w:t xml:space="preserve">19</w:t>
            </w:r>
          </w:p>
        </w:tc>
        <w:tc>
          <w:tcPr/>
          <w:p>
            <w:pPr>
              <w:pStyle w:val="Compact"/>
              <w:jc w:val="right"/>
            </w:pPr>
            <w:r>
              <w:t xml:space="preserve">1</w:t>
            </w:r>
          </w:p>
        </w:tc>
        <w:tc>
          <w:tcPr/>
          <w:p>
            <w:pPr>
              <w:pStyle w:val="Compact"/>
              <w:jc w:val="right"/>
            </w:pPr>
            <w:r>
              <w:t xml:space="preserve">1.90</w:t>
            </w:r>
          </w:p>
        </w:tc>
      </w:tr>
      <w:tr>
        <w:tc>
          <w:tcPr/>
          <w:p>
            <w:pPr>
              <w:pStyle w:val="Compact"/>
              <w:jc w:val="left"/>
            </w:pPr>
            <w:r>
              <w:t xml:space="preserve">Sweden</w:t>
            </w:r>
          </w:p>
        </w:tc>
        <w:tc>
          <w:tcPr/>
          <w:p>
            <w:pPr>
              <w:pStyle w:val="Compact"/>
              <w:jc w:val="left"/>
            </w:pPr>
            <w:r>
              <w:t xml:space="preserve">Defense</w:t>
            </w:r>
          </w:p>
        </w:tc>
        <w:tc>
          <w:tcPr/>
          <w:p>
            <w:pPr>
              <w:pStyle w:val="Compact"/>
              <w:jc w:val="right"/>
            </w:pPr>
            <w:r>
              <w:t xml:space="preserve">49.0</w:t>
            </w:r>
          </w:p>
        </w:tc>
        <w:tc>
          <w:tcPr/>
          <w:p>
            <w:pPr>
              <w:pStyle w:val="Compact"/>
              <w:jc w:val="right"/>
            </w:pPr>
            <w:r>
              <w:t xml:space="preserve">21</w:t>
            </w:r>
          </w:p>
        </w:tc>
        <w:tc>
          <w:tcPr/>
          <w:p>
            <w:pPr>
              <w:pStyle w:val="Compact"/>
              <w:jc w:val="right"/>
            </w:pPr>
            <w:r>
              <w:t xml:space="preserve">5</w:t>
            </w:r>
          </w:p>
        </w:tc>
        <w:tc>
          <w:tcPr/>
          <w:p>
            <w:pPr>
              <w:pStyle w:val="Compact"/>
              <w:jc w:val="right"/>
            </w:pPr>
            <w:r>
              <w:t xml:space="preserve">10.21</w:t>
            </w:r>
          </w:p>
        </w:tc>
      </w:tr>
      <w:tr>
        <w:tc>
          <w:tcPr/>
          <w:p>
            <w:pPr>
              <w:pStyle w:val="Compact"/>
              <w:jc w:val="left"/>
            </w:pPr>
            <w:r>
              <w:t xml:space="preserve">Sweden</w:t>
            </w:r>
          </w:p>
        </w:tc>
        <w:tc>
          <w:tcPr/>
          <w:p>
            <w:pPr>
              <w:pStyle w:val="Compact"/>
              <w:jc w:val="left"/>
            </w:pPr>
            <w:r>
              <w:t xml:space="preserve">Interior/Justice</w:t>
            </w:r>
          </w:p>
        </w:tc>
        <w:tc>
          <w:tcPr/>
          <w:p>
            <w:pPr>
              <w:pStyle w:val="Compact"/>
              <w:jc w:val="right"/>
            </w:pPr>
            <w:r>
              <w:t xml:space="preserve">52.8</w:t>
            </w:r>
          </w:p>
        </w:tc>
        <w:tc>
          <w:tcPr/>
          <w:p>
            <w:pPr>
              <w:pStyle w:val="Compact"/>
              <w:jc w:val="right"/>
            </w:pPr>
            <w:r>
              <w:t xml:space="preserve">21</w:t>
            </w:r>
          </w:p>
        </w:tc>
        <w:tc>
          <w:tcPr/>
          <w:p>
            <w:pPr>
              <w:pStyle w:val="Compact"/>
              <w:jc w:val="right"/>
            </w:pPr>
            <w:r>
              <w:t xml:space="preserve">5</w:t>
            </w:r>
          </w:p>
        </w:tc>
        <w:tc>
          <w:tcPr/>
          <w:p>
            <w:pPr>
              <w:pStyle w:val="Compact"/>
              <w:jc w:val="right"/>
            </w:pPr>
            <w:r>
              <w:t xml:space="preserve">9.47</w:t>
            </w:r>
          </w:p>
        </w:tc>
      </w:tr>
      <w:tr>
        <w:tc>
          <w:tcPr/>
          <w:p>
            <w:pPr>
              <w:pStyle w:val="Compact"/>
              <w:jc w:val="left"/>
            </w:pPr>
            <w:r>
              <w:t xml:space="preserve">Sweden</w:t>
            </w:r>
          </w:p>
        </w:tc>
        <w:tc>
          <w:tcPr/>
          <w:p>
            <w:pPr>
              <w:pStyle w:val="Compact"/>
              <w:jc w:val="left"/>
            </w:pPr>
            <w:r>
              <w:t xml:space="preserve">Transport</w:t>
            </w:r>
          </w:p>
        </w:tc>
        <w:tc>
          <w:tcPr/>
          <w:p>
            <w:pPr>
              <w:pStyle w:val="Compact"/>
              <w:jc w:val="right"/>
            </w:pPr>
            <w:r>
              <w:t xml:space="preserve">53.3</w:t>
            </w:r>
          </w:p>
        </w:tc>
        <w:tc>
          <w:tcPr/>
          <w:p>
            <w:pPr>
              <w:pStyle w:val="Compact"/>
              <w:jc w:val="right"/>
            </w:pPr>
            <w:r>
              <w:t xml:space="preserve">18</w:t>
            </w:r>
          </w:p>
        </w:tc>
        <w:tc>
          <w:tcPr/>
          <w:p>
            <w:pPr>
              <w:pStyle w:val="Compact"/>
              <w:jc w:val="right"/>
            </w:pPr>
            <w:r>
              <w:t xml:space="preserve">3</w:t>
            </w:r>
          </w:p>
        </w:tc>
        <w:tc>
          <w:tcPr/>
          <w:p>
            <w:pPr>
              <w:pStyle w:val="Compact"/>
              <w:jc w:val="right"/>
            </w:pPr>
            <w:r>
              <w:t xml:space="preserve">5.63</w:t>
            </w:r>
          </w:p>
        </w:tc>
      </w:tr>
      <w:tr>
        <w:tc>
          <w:tcPr/>
          <w:p>
            <w:pPr>
              <w:pStyle w:val="Compact"/>
              <w:jc w:val="left"/>
            </w:pPr>
            <w:r>
              <w:t xml:space="preserve">Sweden</w:t>
            </w:r>
          </w:p>
        </w:tc>
        <w:tc>
          <w:tcPr/>
          <w:p>
            <w:pPr>
              <w:pStyle w:val="Compact"/>
              <w:jc w:val="left"/>
            </w:pPr>
            <w:r>
              <w:t xml:space="preserve">Health</w:t>
            </w:r>
          </w:p>
        </w:tc>
        <w:tc>
          <w:tcPr/>
          <w:p>
            <w:pPr>
              <w:pStyle w:val="Compact"/>
              <w:jc w:val="right"/>
            </w:pPr>
            <w:r>
              <w:t xml:space="preserve">60.1</w:t>
            </w:r>
          </w:p>
        </w:tc>
        <w:tc>
          <w:tcPr/>
          <w:p>
            <w:pPr>
              <w:pStyle w:val="Compact"/>
              <w:jc w:val="right"/>
            </w:pPr>
            <w:r>
              <w:t xml:space="preserve">19</w:t>
            </w:r>
          </w:p>
        </w:tc>
        <w:tc>
          <w:tcPr/>
          <w:p>
            <w:pPr>
              <w:pStyle w:val="Compact"/>
              <w:jc w:val="right"/>
            </w:pPr>
            <w:r>
              <w:t xml:space="preserve">3</w:t>
            </w:r>
          </w:p>
        </w:tc>
        <w:tc>
          <w:tcPr/>
          <w:p>
            <w:pPr>
              <w:pStyle w:val="Compact"/>
              <w:jc w:val="right"/>
            </w:pPr>
            <w:r>
              <w:t xml:space="preserve">4.99</w:t>
            </w:r>
          </w:p>
        </w:tc>
      </w:tr>
      <w:tr>
        <w:tc>
          <w:tcPr/>
          <w:p>
            <w:pPr>
              <w:pStyle w:val="Compact"/>
              <w:jc w:val="left"/>
            </w:pPr>
            <w:r>
              <w:t xml:space="preserve">Sweden</w:t>
            </w:r>
          </w:p>
        </w:tc>
        <w:tc>
          <w:tcPr/>
          <w:p>
            <w:pPr>
              <w:pStyle w:val="Compact"/>
              <w:jc w:val="left"/>
            </w:pPr>
            <w:r>
              <w:t xml:space="preserve">Finance</w:t>
            </w:r>
          </w:p>
        </w:tc>
        <w:tc>
          <w:tcPr/>
          <w:p>
            <w:pPr>
              <w:pStyle w:val="Compact"/>
              <w:jc w:val="right"/>
            </w:pPr>
            <w:r>
              <w:t xml:space="preserve">61.0</w:t>
            </w:r>
          </w:p>
        </w:tc>
        <w:tc>
          <w:tcPr/>
          <w:p>
            <w:pPr>
              <w:pStyle w:val="Compact"/>
              <w:jc w:val="right"/>
            </w:pPr>
            <w:r>
              <w:t xml:space="preserve">13</w:t>
            </w:r>
          </w:p>
        </w:tc>
        <w:tc>
          <w:tcPr/>
          <w:p>
            <w:pPr>
              <w:pStyle w:val="Compact"/>
              <w:jc w:val="right"/>
            </w:pPr>
            <w:r>
              <w:t xml:space="preserve">1</w:t>
            </w:r>
          </w:p>
        </w:tc>
        <w:tc>
          <w:tcPr/>
          <w:p>
            <w:pPr>
              <w:pStyle w:val="Compact"/>
              <w:jc w:val="right"/>
            </w:pPr>
            <w:r>
              <w:t xml:space="preserve">1.64</w:t>
            </w:r>
          </w:p>
        </w:tc>
      </w:tr>
      <w:tr>
        <w:tc>
          <w:tcPr/>
          <w:p>
            <w:pPr>
              <w:pStyle w:val="Compact"/>
              <w:jc w:val="left"/>
            </w:pPr>
            <w:r>
              <w:t xml:space="preserve">United Kingdom</w:t>
            </w:r>
          </w:p>
        </w:tc>
        <w:tc>
          <w:tcPr/>
          <w:p>
            <w:pPr>
              <w:pStyle w:val="Compact"/>
              <w:jc w:val="left"/>
            </w:pPr>
            <w:r>
              <w:t xml:space="preserve">Transport</w:t>
            </w:r>
          </w:p>
        </w:tc>
        <w:tc>
          <w:tcPr/>
          <w:p>
            <w:pPr>
              <w:pStyle w:val="Compact"/>
              <w:jc w:val="right"/>
            </w:pPr>
            <w:r>
              <w:t xml:space="preserve">50.3</w:t>
            </w:r>
          </w:p>
        </w:tc>
        <w:tc>
          <w:tcPr/>
          <w:p>
            <w:pPr>
              <w:pStyle w:val="Compact"/>
              <w:jc w:val="right"/>
            </w:pPr>
            <w:r>
              <w:t xml:space="preserve">29</w:t>
            </w:r>
          </w:p>
        </w:tc>
        <w:tc>
          <w:tcPr/>
          <w:p>
            <w:pPr>
              <w:pStyle w:val="Compact"/>
              <w:jc w:val="right"/>
            </w:pPr>
            <w:r>
              <w:t xml:space="preserve">12</w:t>
            </w:r>
          </w:p>
        </w:tc>
        <w:tc>
          <w:tcPr/>
          <w:p>
            <w:pPr>
              <w:pStyle w:val="Compact"/>
              <w:jc w:val="right"/>
            </w:pPr>
            <w:r>
              <w:t xml:space="preserve">23.87</w:t>
            </w:r>
          </w:p>
        </w:tc>
      </w:tr>
      <w:tr>
        <w:tc>
          <w:tcPr/>
          <w:p>
            <w:pPr>
              <w:pStyle w:val="Compact"/>
              <w:jc w:val="left"/>
            </w:pPr>
            <w:r>
              <w:t xml:space="preserve">United Kingdom</w:t>
            </w:r>
          </w:p>
        </w:tc>
        <w:tc>
          <w:tcPr/>
          <w:p>
            <w:pPr>
              <w:pStyle w:val="Compact"/>
              <w:jc w:val="left"/>
            </w:pPr>
            <w:r>
              <w:t xml:space="preserve">Health</w:t>
            </w:r>
          </w:p>
        </w:tc>
        <w:tc>
          <w:tcPr/>
          <w:p>
            <w:pPr>
              <w:pStyle w:val="Compact"/>
              <w:jc w:val="right"/>
            </w:pPr>
            <w:r>
              <w:t xml:space="preserve">50.3</w:t>
            </w:r>
          </w:p>
        </w:tc>
        <w:tc>
          <w:tcPr/>
          <w:p>
            <w:pPr>
              <w:pStyle w:val="Compact"/>
              <w:jc w:val="right"/>
            </w:pPr>
            <w:r>
              <w:t xml:space="preserve">24</w:t>
            </w:r>
          </w:p>
        </w:tc>
        <w:tc>
          <w:tcPr/>
          <w:p>
            <w:pPr>
              <w:pStyle w:val="Compact"/>
              <w:jc w:val="right"/>
            </w:pPr>
            <w:r>
              <w:t xml:space="preserve">8</w:t>
            </w:r>
          </w:p>
        </w:tc>
        <w:tc>
          <w:tcPr/>
          <w:p>
            <w:pPr>
              <w:pStyle w:val="Compact"/>
              <w:jc w:val="right"/>
            </w:pPr>
            <w:r>
              <w:t xml:space="preserve">15.90</w:t>
            </w:r>
          </w:p>
        </w:tc>
      </w:tr>
      <w:tr>
        <w:tc>
          <w:tcPr/>
          <w:p>
            <w:pPr>
              <w:pStyle w:val="Compact"/>
              <w:jc w:val="left"/>
            </w:pPr>
            <w:r>
              <w:t xml:space="preserve">United Kingdom</w:t>
            </w:r>
          </w:p>
        </w:tc>
        <w:tc>
          <w:tcPr/>
          <w:p>
            <w:pPr>
              <w:pStyle w:val="Compact"/>
              <w:jc w:val="left"/>
            </w:pPr>
            <w:r>
              <w:t xml:space="preserve">Defense</w:t>
            </w:r>
          </w:p>
        </w:tc>
        <w:tc>
          <w:tcPr/>
          <w:p>
            <w:pPr>
              <w:pStyle w:val="Compact"/>
              <w:jc w:val="right"/>
            </w:pPr>
            <w:r>
              <w:t xml:space="preserve">81.1</w:t>
            </w:r>
          </w:p>
        </w:tc>
        <w:tc>
          <w:tcPr/>
          <w:p>
            <w:pPr>
              <w:pStyle w:val="Compact"/>
              <w:jc w:val="right"/>
            </w:pPr>
            <w:r>
              <w:t xml:space="preserve">37</w:t>
            </w:r>
          </w:p>
        </w:tc>
        <w:tc>
          <w:tcPr/>
          <w:p>
            <w:pPr>
              <w:pStyle w:val="Compact"/>
              <w:jc w:val="right"/>
            </w:pPr>
            <w:r>
              <w:t xml:space="preserve">9</w:t>
            </w:r>
          </w:p>
        </w:tc>
        <w:tc>
          <w:tcPr/>
          <w:p>
            <w:pPr>
              <w:pStyle w:val="Compact"/>
              <w:jc w:val="right"/>
            </w:pPr>
            <w:r>
              <w:t xml:space="preserve">11.10</w:t>
            </w:r>
          </w:p>
        </w:tc>
      </w:tr>
      <w:tr>
        <w:tc>
          <w:tcPr/>
          <w:p>
            <w:pPr>
              <w:pStyle w:val="Compact"/>
              <w:jc w:val="left"/>
            </w:pPr>
            <w:r>
              <w:t xml:space="preserve">United Kingdom</w:t>
            </w:r>
          </w:p>
        </w:tc>
        <w:tc>
          <w:tcPr/>
          <w:p>
            <w:pPr>
              <w:pStyle w:val="Compact"/>
              <w:jc w:val="left"/>
            </w:pPr>
            <w:r>
              <w:t xml:space="preserve">Interior/Justice</w:t>
            </w:r>
          </w:p>
        </w:tc>
        <w:tc>
          <w:tcPr/>
          <w:p>
            <w:pPr>
              <w:pStyle w:val="Compact"/>
              <w:jc w:val="right"/>
            </w:pPr>
            <w:r>
              <w:t xml:space="preserve">51.5</w:t>
            </w:r>
          </w:p>
        </w:tc>
        <w:tc>
          <w:tcPr/>
          <w:p>
            <w:pPr>
              <w:pStyle w:val="Compact"/>
              <w:jc w:val="right"/>
            </w:pPr>
            <w:r>
              <w:t xml:space="preserve">24</w:t>
            </w:r>
          </w:p>
        </w:tc>
        <w:tc>
          <w:tcPr/>
          <w:p>
            <w:pPr>
              <w:pStyle w:val="Compact"/>
              <w:jc w:val="right"/>
            </w:pPr>
            <w:r>
              <w:t xml:space="preserve">4</w:t>
            </w:r>
          </w:p>
        </w:tc>
        <w:tc>
          <w:tcPr/>
          <w:p>
            <w:pPr>
              <w:pStyle w:val="Compact"/>
              <w:jc w:val="right"/>
            </w:pPr>
            <w:r>
              <w:t xml:space="preserve">7.77</w:t>
            </w:r>
          </w:p>
        </w:tc>
      </w:tr>
      <w:tr>
        <w:tc>
          <w:tcPr/>
          <w:p>
            <w:pPr>
              <w:pStyle w:val="Compact"/>
              <w:jc w:val="left"/>
            </w:pPr>
            <w:r>
              <w:t xml:space="preserve">United Kingdom</w:t>
            </w:r>
          </w:p>
        </w:tc>
        <w:tc>
          <w:tcPr/>
          <w:p>
            <w:pPr>
              <w:pStyle w:val="Compact"/>
              <w:jc w:val="left"/>
            </w:pPr>
            <w:r>
              <w:t xml:space="preserve">Finance</w:t>
            </w:r>
          </w:p>
        </w:tc>
        <w:tc>
          <w:tcPr/>
          <w:p>
            <w:pPr>
              <w:pStyle w:val="Compact"/>
              <w:jc w:val="right"/>
            </w:pPr>
            <w:r>
              <w:t xml:space="preserve">50.3</w:t>
            </w:r>
          </w:p>
        </w:tc>
        <w:tc>
          <w:tcPr/>
          <w:p>
            <w:pPr>
              <w:pStyle w:val="Compact"/>
              <w:jc w:val="right"/>
            </w:pPr>
            <w:r>
              <w:t xml:space="preserve">15</w:t>
            </w:r>
          </w:p>
        </w:tc>
        <w:tc>
          <w:tcPr/>
          <w:p>
            <w:pPr>
              <w:pStyle w:val="Compact"/>
              <w:jc w:val="right"/>
            </w:pPr>
            <w:r>
              <w:t xml:space="preserve">2</w:t>
            </w:r>
          </w:p>
        </w:tc>
        <w:tc>
          <w:tcPr/>
          <w:p>
            <w:pPr>
              <w:pStyle w:val="Compact"/>
              <w:jc w:val="right"/>
            </w:pPr>
            <w:r>
              <w:t xml:space="preserve">3.97</w:t>
            </w:r>
          </w:p>
        </w:tc>
      </w:tr>
    </w:tbl>
    <w:p>
      <w:pPr>
        <w:pStyle w:val="CaptionedFigure"/>
      </w:pPr>
      <w:r>
        <w:drawing>
          <wp:inline>
            <wp:extent cx="5334000" cy="3200399"/>
            <wp:effectExtent b="0" l="0" r="0" t="0"/>
            <wp:docPr descr="Fig 2. Forest plot of hazards for early career termination across major portfolios. HR &gt; 1 indicates increased risk compared with the health portfolio." title="" id="55" name="Picture"/>
            <a:graphic>
              <a:graphicData uri="http://schemas.openxmlformats.org/drawingml/2006/picture">
                <pic:pic>
                  <pic:nvPicPr>
                    <pic:cNvPr descr="figures/fig4_all_ministries_forest.png" id="56" name="Picture"/>
                    <pic:cNvPicPr>
                      <a:picLocks noChangeArrowheads="1" noChangeAspect="1"/>
                    </pic:cNvPicPr>
                  </pic:nvPicPr>
                  <pic:blipFill>
                    <a:blip r:embed="rId5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 2. Forest plot of hazards for early career termination across major portfolios. HR &gt; 1 indicates increased risk compared with the health portfolio.</w:t>
      </w:r>
    </w:p>
    <w:bookmarkEnd w:id="57"/>
    <w:bookmarkEnd w:id="58"/>
    <w:bookmarkStart w:id="59" w:name="Xecdecd0e59046af5fa4c48631a75ad88de6d8f8"/>
    <w:p>
      <w:pPr>
        <w:pStyle w:val="Heading2"/>
      </w:pPr>
      <w:r>
        <w:t xml:space="preserve">Physical hazards of office: Deaths in active service</w:t>
      </w:r>
    </w:p>
    <w:p>
      <w:pPr>
        <w:pStyle w:val="FirstParagraph"/>
      </w:pPr>
      <w:r>
        <w:t xml:space="preserve">While</w:t>
      </w:r>
      <w:r>
        <w:t xml:space="preserve"> </w:t>
      </w:r>
      <w:r>
        <w:t xml:space="preserve">“political death”</w:t>
      </w:r>
      <w:r>
        <w:t xml:space="preserve"> </w:t>
      </w:r>
      <w:r>
        <w:t xml:space="preserve">was common, literal death in office was a rare but catastrophic event. We identified four participants who succumbed to physical ailments during their active ministerial tenure.</w:t>
      </w:r>
    </w:p>
    <w:p>
      <w:pPr>
        <w:pStyle w:val="BodyText"/>
      </w:pPr>
      <w:r>
        <w:t xml:space="preserve">In France,</w:t>
      </w:r>
      <w:r>
        <w:t xml:space="preserve"> </w:t>
      </w:r>
      <w:r>
        <w:rPr>
          <w:b/>
          <w:bCs/>
        </w:rPr>
        <w:t xml:space="preserve">Joël Le Theule</w:t>
      </w:r>
      <w:r>
        <w:t xml:space="preserve">, the Minister of Defense, died suddenly of heart failure on December 14, 1980, while in office. In the Netherlands, the Ministry of the Interior appeared particularly fatal;</w:t>
      </w:r>
      <w:r>
        <w:t xml:space="preserve"> </w:t>
      </w:r>
      <w:r>
        <w:rPr>
          <w:b/>
          <w:bCs/>
        </w:rPr>
        <w:t xml:space="preserve">Koos Rietkerk</w:t>
      </w:r>
      <w:r>
        <w:t xml:space="preserve"> </w:t>
      </w:r>
      <w:r>
        <w:t xml:space="preserve">suffered a fatal myocardial infarction during a meeting at his office on February 20, 1986, and his successor</w:t>
      </w:r>
      <w:r>
        <w:t xml:space="preserve"> </w:t>
      </w:r>
      <w:r>
        <w:rPr>
          <w:b/>
          <w:bCs/>
        </w:rPr>
        <w:t xml:space="preserve">Ien Dales</w:t>
      </w:r>
      <w:r>
        <w:t xml:space="preserve"> </w:t>
      </w:r>
      <w:r>
        <w:t xml:space="preserve">passed away suddenly on January 10, 1994, from heart failure. In Norway,</w:t>
      </w:r>
      <w:r>
        <w:t xml:space="preserve"> </w:t>
      </w:r>
      <w:r>
        <w:rPr>
          <w:b/>
          <w:bCs/>
        </w:rPr>
        <w:t xml:space="preserve">Sonja Ludvigsen</w:t>
      </w:r>
      <w:r>
        <w:t xml:space="preserve">, the Minister of Social Affairs, died on July 12, 1974, following a battle with cancer that coincided with her active tenure. These events underscore the potential for high-stakes political office to act as a catalyst for terminal cardiovascular events in susceptible individuals.</w:t>
      </w:r>
    </w:p>
    <w:bookmarkEnd w:id="59"/>
    <w:bookmarkEnd w:id="60"/>
    <w:bookmarkStart w:id="65" w:name="discussion"/>
    <w:p>
      <w:pPr>
        <w:pStyle w:val="Heading1"/>
      </w:pPr>
      <w:r>
        <w:t xml:space="preserve">Discussion</w:t>
      </w:r>
    </w:p>
    <w:bookmarkStart w:id="61" w:name="principal-findings"/>
    <w:p>
      <w:pPr>
        <w:pStyle w:val="Heading2"/>
      </w:pPr>
      <w:r>
        <w:t xml:space="preserve">Principal findings</w:t>
      </w:r>
    </w:p>
    <w:p>
      <w:pPr>
        <w:pStyle w:val="FirstParagraph"/>
      </w:pPr>
      <w:r>
        <w:t xml:space="preserve">This multi-national cohort study achieves several key objectives. First, it confirms that the</w:t>
      </w:r>
      <w:r>
        <w:t xml:space="preserve"> </w:t>
      </w:r>
      <w:r>
        <w:t xml:space="preserve">“Transport Minister Curse”</w:t>
      </w:r>
      <w:r>
        <w:t xml:space="preserve"> </w:t>
      </w:r>
      <w:r>
        <w:t xml:space="preserve">is an empirically robust phenomenon in Denmark, with a persistence that transcends political eras. Secondly, it identifies a significant geographic gradient in political stability: while Northern Europe and the Mediterranean both face portfolio-specific risks, the overall incidence of ministerial firing is five times higher in Greece than in Italy. Thirdly, we provide the first qualitative accounting of</w:t>
      </w:r>
      <w:r>
        <w:t xml:space="preserve"> </w:t>
      </w:r>
      <w:r>
        <w:t xml:space="preserve">“death in office”</w:t>
      </w:r>
      <w:r>
        <w:t xml:space="preserve"> </w:t>
      </w:r>
      <w:r>
        <w:t xml:space="preserve">events, highlighting the cardiovascular risks of high-stress political service.</w:t>
      </w:r>
    </w:p>
    <w:bookmarkEnd w:id="61"/>
    <w:bookmarkStart w:id="62" w:name="comparison-with-other-studies"/>
    <w:p>
      <w:pPr>
        <w:pStyle w:val="Heading2"/>
      </w:pPr>
      <w:r>
        <w:t xml:space="preserve">Comparison with other studies</w:t>
      </w:r>
    </w:p>
    <w:p>
      <w:pPr>
        <w:pStyle w:val="FirstParagraph"/>
      </w:pPr>
      <w:r>
        <w:t xml:space="preserve">Our findings in Denmark align with previous satirical analyses of the</w:t>
      </w:r>
      <w:r>
        <w:t xml:space="preserve"> </w:t>
      </w:r>
      <w:r>
        <w:t xml:space="preserve">“Transport Curse”</w:t>
      </w:r>
      <w:r>
        <w:t xml:space="preserve"> </w:t>
      </w:r>
      <w:r>
        <w:t xml:space="preserve">but provide higher statistical rigor by capping follow-up at 4 years and filtering administrative artifacts. The high turnover in UK and Dutch transport portfolios suggests that infrastructure-heavy roles act as</w:t>
      </w:r>
      <w:r>
        <w:t xml:space="preserve"> </w:t>
      </w:r>
      <w:r>
        <w:t xml:space="preserve">“lightning rods”</w:t>
      </w:r>
      <w:r>
        <w:t xml:space="preserve"> </w:t>
      </w:r>
      <w:r>
        <w:t xml:space="preserve">for public and parliamentary frustration, a finding that mirrors the</w:t>
      </w:r>
      <w:r>
        <w:t xml:space="preserve"> </w:t>
      </w:r>
      <w:r>
        <w:t xml:space="preserve">“blame-avoidance”</w:t>
      </w:r>
      <w:r>
        <w:t xml:space="preserve"> </w:t>
      </w:r>
      <w:r>
        <w:t xml:space="preserve">literature in political science.</w:t>
      </w:r>
    </w:p>
    <w:bookmarkEnd w:id="62"/>
    <w:bookmarkStart w:id="63" w:name="strengths-and-limitations"/>
    <w:p>
      <w:pPr>
        <w:pStyle w:val="Heading2"/>
      </w:pPr>
      <w:r>
        <w:t xml:space="preserve">Strengths and limitations</w:t>
      </w:r>
    </w:p>
    <w:p>
      <w:pPr>
        <w:pStyle w:val="FirstParagraph"/>
      </w:pPr>
      <w:r>
        <w:t xml:space="preserve">A major strength of this study is the use of the harmonized WhoGov dataset, which ensures high comparability across ten diverse political systems. Furthermore, our STROBE-compliant methodology addresses potential biases related to short-tenure administrative artifacts. However, a limitation is our reliance on official date records, which may not always capture the nuance of</w:t>
      </w:r>
      <w:r>
        <w:t xml:space="preserve"> </w:t>
      </w:r>
      <w:r>
        <w:t xml:space="preserve">“unofficial”</w:t>
      </w:r>
      <w:r>
        <w:t xml:space="preserve"> </w:t>
      </w:r>
      <w:r>
        <w:t xml:space="preserve">resignations. Additionally, our qualitative descriptions of in-office deaths, while informative, cannot establish a direct causal link between legislative stress and myocardial infarction.</w:t>
      </w:r>
    </w:p>
    <w:bookmarkEnd w:id="63"/>
    <w:bookmarkStart w:id="64" w:name="meaning-and-implications"/>
    <w:p>
      <w:pPr>
        <w:pStyle w:val="Heading2"/>
      </w:pPr>
      <w:r>
        <w:t xml:space="preserve">Meaning and implications</w:t>
      </w:r>
    </w:p>
    <w:p>
      <w:pPr>
        <w:pStyle w:val="FirstParagraph"/>
      </w:pPr>
      <w:r>
        <w:t xml:space="preserve">The remarkable stability of the Italian cabinet suggests that political resilience may be an institutional trait rather than an individual one. Conversely, the high mortality of transport ministers across Northern Europe suggests that some portfolios are fundamentally</w:t>
      </w:r>
      <w:r>
        <w:t xml:space="preserve"> </w:t>
      </w:r>
      <w:r>
        <w:t xml:space="preserve">“cursed”</w:t>
      </w:r>
      <w:r>
        <w:t xml:space="preserve"> </w:t>
      </w:r>
      <w:r>
        <w:t xml:space="preserve">by the inherent visibility and public friction associated with infrastructure projects.</w:t>
      </w:r>
    </w:p>
    <w:p>
      <w:pPr>
        <w:pStyle w:val="BodyText"/>
      </w:pPr>
      <w:r>
        <w:rPr>
          <w:b/>
          <w:bCs/>
        </w:rPr>
        <w:t xml:space="preserve">Conclusions</w:t>
      </w:r>
      <w:r>
        <w:t xml:space="preserve">: High-level political office is a high-hazard occupation characterized by frequent</w:t>
      </w:r>
      <w:r>
        <w:t xml:space="preserve"> </w:t>
      </w:r>
      <w:r>
        <w:t xml:space="preserve">“political death”</w:t>
      </w:r>
      <w:r>
        <w:t xml:space="preserve"> </w:t>
      </w:r>
      <w:r>
        <w:t xml:space="preserve">and occasional, acute physical demise. The transport portfolio remains the most dangerous post in Europe.</w:t>
      </w:r>
    </w:p>
    <w:bookmarkEnd w:id="64"/>
    <w:bookmarkEnd w:id="65"/>
    <w:bookmarkStart w:id="66"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p>
      <w:pPr>
        <w:pStyle w:val="Compact"/>
        <w:numPr>
          <w:ilvl w:val="0"/>
          <w:numId w:val="1003"/>
        </w:numPr>
      </w:pPr>
      <w:r>
        <w:t xml:space="preserve">STROBE Statement. Strengthening the Reporting of Observational Studies in Epidemiology. 2007.</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b/>
      <w:color w:val="204a87"/>
      <w:shd w:fill="f8f8f8" w:val="clear"/>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b/>
      <w:color w:val="ce5c00"/>
      <w:shd w:fill="f8f8f8" w:val="clear"/>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i/>
      <w:color w:val="8f5902"/>
      <w:shd w:fill="f8f8f8" w:val="clear"/>
    </w:rPr>
  </w:style>
  <w:style w:customStyle="1" w:styleId="DocumentationTok" w:type="character">
    <w:name w:val="DocumentationTok"/>
    <w:basedOn w:val="VerbatimChar"/>
    <w:rPr>
      <w:b/>
      <w:i/>
      <w:color w:val="8f5902"/>
      <w:shd w:fill="f8f8f8" w:val="clear"/>
    </w:rPr>
  </w:style>
  <w:style w:customStyle="1" w:styleId="AnnotationTok" w:type="character">
    <w:name w:val="AnnotationTok"/>
    <w:basedOn w:val="VerbatimChar"/>
    <w:rPr>
      <w:b/>
      <w:i/>
      <w:color w:val="8f5902"/>
      <w:shd w:fill="f8f8f8" w:val="clear"/>
    </w:rPr>
  </w:style>
  <w:style w:customStyle="1" w:styleId="CommentVarTok" w:type="character">
    <w:name w:val="CommentVarTok"/>
    <w:basedOn w:val="VerbatimChar"/>
    <w:rPr>
      <w:b/>
      <w:i/>
      <w:color w:val="8f5902"/>
      <w:shd w:fill="f8f8f8" w:val="clear"/>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b/>
      <w:color w:val="204a87"/>
      <w:shd w:fill="f8f8f8" w:val="clear"/>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b/>
      <w:color w:val="204a87"/>
      <w:shd w:fill="f8f8f8" w:val="clear"/>
    </w:rPr>
  </w:style>
  <w:style w:customStyle="1" w:styleId="OperatorTok" w:type="character">
    <w:name w:val="OperatorTok"/>
    <w:basedOn w:val="VerbatimChar"/>
    <w:rPr>
      <w:b/>
      <w:color w:val="ce5c00"/>
      <w:shd w:fill="f8f8f8" w:val="clear"/>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i/>
      <w:color w:val="8f5902"/>
      <w:shd w:fill="f8f8f8" w:val="clear"/>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b/>
      <w:i/>
      <w:color w:val="8f5902"/>
      <w:shd w:fill="f8f8f8" w:val="clear"/>
    </w:rPr>
  </w:style>
  <w:style w:customStyle="1" w:styleId="WarningTok" w:type="character">
    <w:name w:val="WarningTok"/>
    <w:basedOn w:val="VerbatimChar"/>
    <w:rPr>
      <w:b/>
      <w:i/>
      <w:color w:val="8f5902"/>
      <w:shd w:fill="f8f8f8" w:val="clear"/>
    </w:rPr>
  </w:style>
  <w:style w:customStyle="1" w:styleId="AlertTok" w:type="character">
    <w:name w:val="AlertTok"/>
    <w:basedOn w:val="VerbatimChar"/>
    <w:rPr>
      <w:color w:val="ef2929"/>
      <w:shd w:fill="f8f8f8" w:val="clear"/>
    </w:rPr>
  </w:style>
  <w:style w:customStyle="1" w:styleId="ErrorTok" w:type="character">
    <w:name w:val="ErrorTok"/>
    <w:basedOn w:val="VerbatimChar"/>
    <w:rPr>
      <w:b/>
      <w:color w:val="a40000"/>
      <w:shd w:fill="f8f8f8" w:val="clear"/>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5" Target="numbering.xml" /><Relationship Type="http://schemas.openxmlformats.org/officeDocument/2006/relationships/styles" Id="rId34" Target="styles.xml" /><Relationship Type="http://schemas.openxmlformats.org/officeDocument/2006/relationships/settings" Id="rId33" Target="settings.xml" /><Relationship Type="http://schemas.openxmlformats.org/officeDocument/2006/relationships/webSettings" Id="rId32" Target="webSettings.xml" /><Relationship Type="http://schemas.openxmlformats.org/officeDocument/2006/relationships/fontTable" Id="rId31" Target="fontTable.xml" /><Relationship Type="http://schemas.openxmlformats.org/officeDocument/2006/relationships/theme" Id="rId30" Target="theme/theme1.xml" /><Relationship Type="http://schemas.openxmlformats.org/officeDocument/2006/relationships/footnotes" Id="rId29" Target="footnotes.xml" /><Relationship Type="http://schemas.openxmlformats.org/officeDocument/2006/relationships/comments" Id="rId28" Target="comments.xml" /><Relationship Id="rId27" Target="media/rId27.png" Type="http://schemas.openxmlformats.org/officeDocument/2006/relationships/image" /><Relationship Id="rId20" Target="media/rId20.png" Type="http://schemas.openxmlformats.org/officeDocument/2006/relationships/image" /><Relationship Id="rId24" Target="media/rId24.png" Type="http://schemas.openxmlformats.org/officeDocument/2006/relationships/image"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Occupational Survival of European Cabinet Ministers: A Multi-National Retrospective Cohort Study</dc:title>
  <dc:creator>Michael Asger Andersen</dc:creator>
  <cp:keywords/>
  <dcterms:created xsi:type="dcterms:W3CDTF">2026-03-25T20:12:52Z</dcterms:created>
  <dcterms:modified xsi:type="dcterms:W3CDTF">2026-03-25T20:12:52Z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2026-03-25</vt:lpwstr>
  </property>
  <property fmtid="{D5CDD505-2E9C-101B-9397-08002B2CF9AE}" pid="3" name="output">
    <vt:lpwstr/>
  </property>
</Properties>
</file>