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1945-2022,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(HR 2.23, 95% CI 1.2 to 4.13, p = 0.011). In a pan-European comparison, the Netherlands exhibited the highest political mortality rate (27.5% termination rate), while Denmark remained relatively stable (16.7%). Analyzing literal mortality across Europe, Danish ministers demonstrate an exceptional overall median lifespan of 86.8 years, outliving several comparable European cohorts, most notably in Southern Europe.</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However, in a broader European context, Danish ministers are both politically and biologically resilient. The profound political mortality in Denmark does not translate to premature biological death, highlighting the remarkable resilience of the Danish politician when detached from the nation’s railway network.</w:t>
      </w:r>
    </w:p>
    <w:bookmarkEnd w:id="9"/>
    <w:bookmarkStart w:id="10"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(p=0.47),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End w:id="10"/>
    <w:bookmarkStart w:id="15" w:name="methods"/>
    <w:p>
      <w:pPr>
        <w:pStyle w:val="Heading1"/>
      </w:pPr>
      <w:r>
        <w:t xml:space="preserve">Methods</w:t>
      </w:r>
    </w:p>
    <w:bookmarkStart w:id="11"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Transport) across major European nations (e.g., UK, Germany, France, Italy, Spain, Netherlands, Norway, Sweden).</w:t>
      </w:r>
    </w:p>
    <w:bookmarkEnd w:id="11"/>
    <w:bookmarkStart w:id="12"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2"/>
    <w:bookmarkStart w:id="13"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Health, etc.).</w:t>
      </w:r>
    </w:p>
    <w:p>
      <w:pPr>
        <w:pStyle w:val="BodyText"/>
      </w:pPr>
      <w:r>
        <w:t xml:space="preserve">The primary political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the present date.</w:t>
      </w:r>
    </w:p>
    <w:bookmarkEnd w:id="13"/>
    <w:bookmarkStart w:id="14"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(HR). Models for career survival were adjusted for the prevailing political bloc and historical era. Statistical significance was designated at p &lt; 0.05. All analyses were conducted in R version 4.5.1.</w:t>
      </w:r>
    </w:p>
    <w:bookmarkEnd w:id="14"/>
    <w:bookmarkEnd w:id="15"/>
    <w:bookmarkStart w:id="30"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with 300 recorded deaths.</w:t>
      </w:r>
    </w:p>
    <w:bookmarkStart w:id="17" w:name="international-comparison"/>
    <w:p>
      <w:pPr>
        <w:pStyle w:val="Heading2"/>
      </w:pPr>
      <w:r>
        <w:t xml:space="preserve">International Comparison</w:t>
      </w:r>
    </w:p>
    <w:p>
      <w:pPr>
        <w:pStyle w:val="FirstParagraph"/>
      </w:pPr>
      <w:r>
        <w:t xml:space="preserve">Across the analyzed European nations, we observed significant variance in political stability (</w:t>
      </w:r>
      <w:r>
        <w:rPr>
          <w:i/>
          <w:iCs/>
        </w:rPr>
        <w:t xml:space="preserve">Table 1</w:t>
      </w:r>
      <w:r>
        <w:t xml:space="preserve">). The Netherlands and the United Kingdom exhibited the highest rates of early career termination, with approximately 27% of ministerial appointments ending prematurely. Denmark, by contrast, appears to be a haven of political longevity, with only 16.7% of appointments ending early.</w:t>
      </w:r>
    </w:p>
    <w:p>
      <w:pPr>
        <w:pStyle w:val="BodyText"/>
      </w:pPr>
      <w:r>
        <w:t xml:space="preserve">Biological survival also showed distinct geographic patterns. Ministers in Germany and Denmark achieved the highest median lifespans (&gt;86 years), while their counterparts in Greece and Spain faced significantly shorter biological horizons (median &lt;80 years).</w:t>
      </w:r>
    </w:p>
    <w:bookmarkStart w:id="16" w:name="X989b3fd4fa599c5a8b2ec06589fb6b64a9bc0b3"/>
    <w:p>
      <w:pPr>
        <w:pStyle w:val="Heading3"/>
      </w:pPr>
      <w:r>
        <w:t xml:space="preserve">Table 1. Cross-Country Analysis of Ministerial Survival</w:t>
      </w:r>
    </w:p>
    <w:tbl>
      <w:tblPr>
        <w:tblStyle w:val="Table"/>
        <w:tblW w:type="pct" w:w="5000"/>
        <w:tblLayout w:type="fixed"/>
        <w:tblLook w:firstRow="1" w:lastRow="0" w:firstColumn="0" w:lastColumn="0" w:noHBand="0" w:noVBand="0" w:val="0020"/>
      </w:tblPr>
      <w:tblGrid>
        <w:gridCol w:w="1542"/>
        <w:gridCol w:w="1028"/>
        <w:gridCol w:w="1028"/>
        <w:gridCol w:w="1028"/>
        <w:gridCol w:w="1028"/>
        <w:gridCol w:w="1131"/>
        <w:gridCol w:w="1131"/>
      </w:tblGrid>
      <w:tr>
        <w:trPr>
          <w:tblHeader w:val="on"/>
        </w:trPr>
        <w:tc>
          <w:tcPr/>
          <w:p>
            <w:pPr>
              <w:pStyle w:val="Compact"/>
              <w:jc w:val="left"/>
            </w:pPr>
            <w:r>
              <w:t xml:space="preserve">Country</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Fired (%)</w:t>
            </w:r>
          </w:p>
        </w:tc>
        <w:tc>
          <w:tcPr/>
          <w:p>
            <w:pPr>
              <w:pStyle w:val="Compact"/>
              <w:jc w:val="right"/>
            </w:pPr>
            <w:r>
              <w:t xml:space="preserve">Indiv (N)</w:t>
            </w:r>
          </w:p>
        </w:tc>
        <w:tc>
          <w:tcPr/>
          <w:p>
            <w:pPr>
              <w:pStyle w:val="Compact"/>
              <w:jc w:val="right"/>
            </w:pPr>
            <w:r>
              <w:t xml:space="preserve">Deaths (N)</w:t>
            </w:r>
          </w:p>
        </w:tc>
        <w:tc>
          <w:tcPr/>
          <w:p>
            <w:pPr>
              <w:pStyle w:val="Compact"/>
              <w:jc w:val="right"/>
            </w:pPr>
            <w:r>
              <w:t xml:space="preserve">Median Age</w:t>
            </w:r>
          </w:p>
        </w:tc>
      </w:tr>
      <w:tr>
        <w:tc>
          <w:tcPr/>
          <w:p>
            <w:pPr>
              <w:pStyle w:val="Compact"/>
              <w:jc w:val="left"/>
            </w:pPr>
            <w:r>
              <w:t xml:space="preserve">Netherlands</w:t>
            </w:r>
          </w:p>
        </w:tc>
        <w:tc>
          <w:tcPr/>
          <w:p>
            <w:pPr>
              <w:pStyle w:val="Compact"/>
              <w:jc w:val="right"/>
            </w:pPr>
            <w:r>
              <w:t xml:space="preserve">102</w:t>
            </w:r>
          </w:p>
        </w:tc>
        <w:tc>
          <w:tcPr/>
          <w:p>
            <w:pPr>
              <w:pStyle w:val="Compact"/>
              <w:jc w:val="right"/>
            </w:pPr>
            <w:r>
              <w:t xml:space="preserve">28</w:t>
            </w:r>
          </w:p>
        </w:tc>
        <w:tc>
          <w:tcPr/>
          <w:p>
            <w:pPr>
              <w:pStyle w:val="Compact"/>
              <w:jc w:val="right"/>
            </w:pPr>
            <w:r>
              <w:t xml:space="preserve">27.5</w:t>
            </w:r>
          </w:p>
        </w:tc>
        <w:tc>
          <w:tcPr/>
          <w:p>
            <w:pPr>
              <w:pStyle w:val="Compact"/>
              <w:jc w:val="right"/>
            </w:pPr>
            <w:r>
              <w:t xml:space="preserve">33</w:t>
            </w:r>
          </w:p>
        </w:tc>
        <w:tc>
          <w:tcPr/>
          <w:p>
            <w:pPr>
              <w:pStyle w:val="Compact"/>
              <w:jc w:val="right"/>
            </w:pPr>
            <w:r>
              <w:t xml:space="preserve">33</w:t>
            </w:r>
          </w:p>
        </w:tc>
        <w:tc>
          <w:tcPr/>
          <w:p>
            <w:pPr>
              <w:pStyle w:val="Compact"/>
              <w:jc w:val="right"/>
            </w:pPr>
            <w:r>
              <w:t xml:space="preserve">82.5</w:t>
            </w:r>
          </w:p>
        </w:tc>
      </w:tr>
      <w:tr>
        <w:tc>
          <w:tcPr/>
          <w:p>
            <w:pPr>
              <w:pStyle w:val="Compact"/>
              <w:jc w:val="left"/>
            </w:pPr>
            <w:r>
              <w:t xml:space="preserve">United Kingdom</w:t>
            </w:r>
          </w:p>
        </w:tc>
        <w:tc>
          <w:tcPr/>
          <w:p>
            <w:pPr>
              <w:pStyle w:val="Compact"/>
              <w:jc w:val="right"/>
            </w:pPr>
            <w:r>
              <w:t xml:space="preserve">129</w:t>
            </w:r>
          </w:p>
        </w:tc>
        <w:tc>
          <w:tcPr/>
          <w:p>
            <w:pPr>
              <w:pStyle w:val="Compact"/>
              <w:jc w:val="right"/>
            </w:pPr>
            <w:r>
              <w:t xml:space="preserve">35</w:t>
            </w:r>
          </w:p>
        </w:tc>
        <w:tc>
          <w:tcPr/>
          <w:p>
            <w:pPr>
              <w:pStyle w:val="Compact"/>
              <w:jc w:val="right"/>
            </w:pPr>
            <w:r>
              <w:t xml:space="preserve">27.1</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84.6</w:t>
            </w:r>
          </w:p>
        </w:tc>
      </w:tr>
      <w:tr>
        <w:tc>
          <w:tcPr/>
          <w:p>
            <w:pPr>
              <w:pStyle w:val="Compact"/>
              <w:jc w:val="left"/>
            </w:pPr>
            <w:r>
              <w:t xml:space="preserve">Greece</w:t>
            </w:r>
          </w:p>
        </w:tc>
        <w:tc>
          <w:tcPr/>
          <w:p>
            <w:pPr>
              <w:pStyle w:val="Compact"/>
              <w:jc w:val="right"/>
            </w:pPr>
            <w:r>
              <w:t xml:space="preserve">150</w:t>
            </w:r>
          </w:p>
        </w:tc>
        <w:tc>
          <w:tcPr/>
          <w:p>
            <w:pPr>
              <w:pStyle w:val="Compact"/>
              <w:jc w:val="right"/>
            </w:pPr>
            <w:r>
              <w:t xml:space="preserve">40</w:t>
            </w:r>
          </w:p>
        </w:tc>
        <w:tc>
          <w:tcPr/>
          <w:p>
            <w:pPr>
              <w:pStyle w:val="Compact"/>
              <w:jc w:val="right"/>
            </w:pPr>
            <w:r>
              <w:t xml:space="preserve">26.7</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79.5</w:t>
            </w:r>
          </w:p>
        </w:tc>
      </w:tr>
      <w:tr>
        <w:tc>
          <w:tcPr/>
          <w:p>
            <w:pPr>
              <w:pStyle w:val="Compact"/>
              <w:jc w:val="left"/>
            </w:pPr>
            <w:r>
              <w:t xml:space="preserve">France</w:t>
            </w:r>
          </w:p>
        </w:tc>
        <w:tc>
          <w:tcPr/>
          <w:p>
            <w:pPr>
              <w:pStyle w:val="Compact"/>
              <w:jc w:val="right"/>
            </w:pPr>
            <w:r>
              <w:t xml:space="preserve">133</w:t>
            </w:r>
          </w:p>
        </w:tc>
        <w:tc>
          <w:tcPr/>
          <w:p>
            <w:pPr>
              <w:pStyle w:val="Compact"/>
              <w:jc w:val="right"/>
            </w:pPr>
            <w:r>
              <w:t xml:space="preserve">31</w:t>
            </w:r>
          </w:p>
        </w:tc>
        <w:tc>
          <w:tcPr/>
          <w:p>
            <w:pPr>
              <w:pStyle w:val="Compact"/>
              <w:jc w:val="right"/>
            </w:pPr>
            <w:r>
              <w:t xml:space="preserve">23.3</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79.7</w:t>
            </w:r>
          </w:p>
        </w:tc>
      </w:tr>
      <w:tr>
        <w:tc>
          <w:tcPr/>
          <w:p>
            <w:pPr>
              <w:pStyle w:val="Compact"/>
              <w:jc w:val="left"/>
            </w:pPr>
            <w:r>
              <w:t xml:space="preserve">Spain</w:t>
            </w:r>
          </w:p>
        </w:tc>
        <w:tc>
          <w:tcPr/>
          <w:p>
            <w:pPr>
              <w:pStyle w:val="Compact"/>
              <w:jc w:val="right"/>
            </w:pPr>
            <w:r>
              <w:t xml:space="preserve">97</w:t>
            </w:r>
          </w:p>
        </w:tc>
        <w:tc>
          <w:tcPr/>
          <w:p>
            <w:pPr>
              <w:pStyle w:val="Compact"/>
              <w:jc w:val="right"/>
            </w:pPr>
            <w:r>
              <w:t xml:space="preserve">19</w:t>
            </w:r>
          </w:p>
        </w:tc>
        <w:tc>
          <w:tcPr/>
          <w:p>
            <w:pPr>
              <w:pStyle w:val="Compact"/>
              <w:jc w:val="right"/>
            </w:pPr>
            <w:r>
              <w:t xml:space="preserve">19.6</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77.7</w:t>
            </w:r>
          </w:p>
        </w:tc>
      </w:tr>
      <w:tr>
        <w:tc>
          <w:tcPr/>
          <w:p>
            <w:pPr>
              <w:pStyle w:val="Compact"/>
              <w:jc w:val="left"/>
            </w:pPr>
            <w:r>
              <w:t xml:space="preserve">Sweden</w:t>
            </w:r>
          </w:p>
        </w:tc>
        <w:tc>
          <w:tcPr/>
          <w:p>
            <w:pPr>
              <w:pStyle w:val="Compact"/>
              <w:jc w:val="right"/>
            </w:pPr>
            <w:r>
              <w:t xml:space="preserve">92</w:t>
            </w:r>
          </w:p>
        </w:tc>
        <w:tc>
          <w:tcPr/>
          <w:p>
            <w:pPr>
              <w:pStyle w:val="Compact"/>
              <w:jc w:val="right"/>
            </w:pPr>
            <w:r>
              <w:t xml:space="preserve">17</w:t>
            </w:r>
          </w:p>
        </w:tc>
        <w:tc>
          <w:tcPr/>
          <w:p>
            <w:pPr>
              <w:pStyle w:val="Compact"/>
              <w:jc w:val="right"/>
            </w:pPr>
            <w:r>
              <w:t xml:space="preserve">18.5</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84.8</w:t>
            </w:r>
          </w:p>
        </w:tc>
      </w:tr>
      <w:tr>
        <w:tc>
          <w:tcPr/>
          <w:p>
            <w:pPr>
              <w:pStyle w:val="Compact"/>
              <w:jc w:val="left"/>
            </w:pPr>
            <w:r>
              <w:t xml:space="preserve">Germany</w:t>
            </w:r>
          </w:p>
        </w:tc>
        <w:tc>
          <w:tcPr/>
          <w:p>
            <w:pPr>
              <w:pStyle w:val="Compact"/>
              <w:jc w:val="right"/>
            </w:pPr>
            <w:r>
              <w:t xml:space="preserve">76</w:t>
            </w:r>
          </w:p>
        </w:tc>
        <w:tc>
          <w:tcPr/>
          <w:p>
            <w:pPr>
              <w:pStyle w:val="Compact"/>
              <w:jc w:val="right"/>
            </w:pPr>
            <w:r>
              <w:t xml:space="preserve">14</w:t>
            </w:r>
          </w:p>
        </w:tc>
        <w:tc>
          <w:tcPr/>
          <w:p>
            <w:pPr>
              <w:pStyle w:val="Compact"/>
              <w:jc w:val="right"/>
            </w:pPr>
            <w:r>
              <w:t xml:space="preserve">18.4</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87.2</w:t>
            </w:r>
          </w:p>
        </w:tc>
      </w:tr>
      <w:tr>
        <w:tc>
          <w:tcPr/>
          <w:p>
            <w:pPr>
              <w:pStyle w:val="Compact"/>
              <w:jc w:val="left"/>
            </w:pPr>
            <w:r>
              <w:t xml:space="preserve">Norway</w:t>
            </w:r>
          </w:p>
        </w:tc>
        <w:tc>
          <w:tcPr/>
          <w:p>
            <w:pPr>
              <w:pStyle w:val="Compact"/>
              <w:jc w:val="right"/>
            </w:pPr>
            <w:r>
              <w:t xml:space="preserve">103</w:t>
            </w:r>
          </w:p>
        </w:tc>
        <w:tc>
          <w:tcPr/>
          <w:p>
            <w:pPr>
              <w:pStyle w:val="Compact"/>
              <w:jc w:val="right"/>
            </w:pPr>
            <w:r>
              <w:t xml:space="preserve">19</w:t>
            </w:r>
          </w:p>
        </w:tc>
        <w:tc>
          <w:tcPr/>
          <w:p>
            <w:pPr>
              <w:pStyle w:val="Compact"/>
              <w:jc w:val="right"/>
            </w:pPr>
            <w:r>
              <w:t xml:space="preserve">18.4</w:t>
            </w:r>
          </w:p>
        </w:tc>
        <w:tc>
          <w:tcPr/>
          <w:p>
            <w:pPr>
              <w:pStyle w:val="Compact"/>
              <w:jc w:val="right"/>
            </w:pPr>
            <w:r>
              <w:t xml:space="preserve">33</w:t>
            </w:r>
          </w:p>
        </w:tc>
        <w:tc>
          <w:tcPr/>
          <w:p>
            <w:pPr>
              <w:pStyle w:val="Compact"/>
              <w:jc w:val="right"/>
            </w:pPr>
            <w:r>
              <w:t xml:space="preserve">30</w:t>
            </w:r>
          </w:p>
        </w:tc>
        <w:tc>
          <w:tcPr/>
          <w:p>
            <w:pPr>
              <w:pStyle w:val="Compact"/>
              <w:jc w:val="right"/>
            </w:pPr>
            <w:r>
              <w:t xml:space="preserve">80.8</w:t>
            </w:r>
          </w:p>
        </w:tc>
      </w:tr>
      <w:tr>
        <w:tc>
          <w:tcPr/>
          <w:p>
            <w:pPr>
              <w:pStyle w:val="Compact"/>
              <w:jc w:val="left"/>
            </w:pPr>
            <w:r>
              <w:t xml:space="preserve">Denmark</w:t>
            </w:r>
          </w:p>
        </w:tc>
        <w:tc>
          <w:tcPr/>
          <w:p>
            <w:pPr>
              <w:pStyle w:val="Compact"/>
              <w:jc w:val="right"/>
            </w:pPr>
            <w:r>
              <w:t xml:space="preserve">102</w:t>
            </w:r>
          </w:p>
        </w:tc>
        <w:tc>
          <w:tcPr/>
          <w:p>
            <w:pPr>
              <w:pStyle w:val="Compact"/>
              <w:jc w:val="right"/>
            </w:pPr>
            <w:r>
              <w:t xml:space="preserve">17</w:t>
            </w:r>
          </w:p>
        </w:tc>
        <w:tc>
          <w:tcPr/>
          <w:p>
            <w:pPr>
              <w:pStyle w:val="Compact"/>
              <w:jc w:val="right"/>
            </w:pPr>
            <w:r>
              <w:t xml:space="preserve">16.7</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86.8</w:t>
            </w:r>
          </w:p>
        </w:tc>
      </w:tr>
      <w:tr>
        <w:tc>
          <w:tcPr/>
          <w:p>
            <w:pPr>
              <w:pStyle w:val="Compact"/>
              <w:jc w:val="left"/>
            </w:pPr>
            <w:r>
              <w:t xml:space="preserve">Italy</w:t>
            </w:r>
          </w:p>
        </w:tc>
        <w:tc>
          <w:tcPr/>
          <w:p>
            <w:pPr>
              <w:pStyle w:val="Compact"/>
              <w:jc w:val="right"/>
            </w:pPr>
            <w:r>
              <w:t xml:space="preserve">137</w:t>
            </w:r>
          </w:p>
        </w:tc>
        <w:tc>
          <w:tcPr/>
          <w:p>
            <w:pPr>
              <w:pStyle w:val="Compact"/>
              <w:jc w:val="right"/>
            </w:pPr>
            <w:r>
              <w:t xml:space="preserve">10</w:t>
            </w:r>
          </w:p>
        </w:tc>
        <w:tc>
          <w:tcPr/>
          <w:p>
            <w:pPr>
              <w:pStyle w:val="Compact"/>
              <w:jc w:val="right"/>
            </w:pPr>
            <w:r>
              <w:t xml:space="preserve">7.3</w:t>
            </w:r>
          </w:p>
        </w:tc>
        <w:tc>
          <w:tcPr/>
          <w:p>
            <w:pPr>
              <w:pStyle w:val="Compact"/>
              <w:jc w:val="right"/>
            </w:pPr>
            <w:r>
              <w:t xml:space="preserve">61</w:t>
            </w:r>
          </w:p>
        </w:tc>
        <w:tc>
          <w:tcPr/>
          <w:p>
            <w:pPr>
              <w:pStyle w:val="Compact"/>
              <w:jc w:val="right"/>
            </w:pPr>
            <w:r>
              <w:t xml:space="preserve">56</w:t>
            </w:r>
          </w:p>
        </w:tc>
        <w:tc>
          <w:tcPr/>
          <w:p>
            <w:pPr>
              <w:pStyle w:val="Compact"/>
              <w:jc w:val="right"/>
            </w:pPr>
            <w:r>
              <w:t xml:space="preserve">80.5</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(Oct 9–10, 1922) in the Neergaard III government—a record for political brevity that remains unsurpassed in our cohort.</w:t>
      </w:r>
    </w:p>
    <w:bookmarkEnd w:id="16"/>
    <w:bookmarkEnd w:id="17"/>
    <w:bookmarkStart w:id="21"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reductions in survival probability.</w:t>
      </w:r>
    </w:p>
    <w:p>
      <w:pPr>
        <w:pStyle w:val="CaptionedFigure"/>
      </w:pPr>
      <w:r>
        <w:drawing>
          <wp:inline>
            <wp:extent cx="5334000" cy="4000500"/>
            <wp:effectExtent b="0" l="0" r="0" t="0"/>
            <wp:docPr descr="Figure 1. Kaplan-Meier survival curves demonstrating the Transport Minister Curse. Transport Ministers face accelerated political mortality compared to their cabinet colleagues." title="" id="19" name="Picture"/>
            <a:graphic>
              <a:graphicData uri="http://schemas.openxmlformats.org/drawingml/2006/picture">
                <pic:pic>
                  <pic:nvPicPr>
                    <pic:cNvPr descr="figures/career_survival_plot-1.pn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Transport Ministers face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 p = 0.011.</w:t>
      </w:r>
    </w:p>
    <w:bookmarkEnd w:id="21"/>
    <w:bookmarkStart w:id="29"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w:t>
      </w:r>
      <w:r>
        <w:t xml:space="preserve"> </w:t>
      </w:r>
      <w:r>
        <w:rPr>
          <w:i/>
          <w:iCs/>
        </w:rPr>
        <w:t xml:space="preserve">Figure 2</w:t>
      </w:r>
      <w:r>
        <w:t xml:space="preserve">, Danish ministers demonstrated a median biological lifespan of 86.8 years.</w:t>
      </w:r>
    </w:p>
    <w:p>
      <w:pPr>
        <w:pStyle w:val="CaptionedFigure"/>
      </w:pPr>
      <w:r>
        <w:drawing>
          <wp:inline>
            <wp:extent cx="5334000" cy="4000500"/>
            <wp:effectExtent b="0" l="0" r="0" t="0"/>
            <wp:docPr descr="Figure 2. Kaplan-Meier biological survival curves for cabinet ministers across Europe. Danish and German ministers show exceptional biological resilience." title="" id="23" name="Picture"/>
            <a:graphic>
              <a:graphicData uri="http://schemas.openxmlformats.org/drawingml/2006/picture">
                <pic:pic>
                  <pic:nvPicPr>
                    <pic:cNvPr descr="figures/literal_mortality_plot-1.pn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Kaplan-Meier biological survival curves for cabinet ministers across Europe. Danish and German ministers show exceptional biological resilience.</w:t>
      </w:r>
    </w:p>
    <w:bookmarkStart w:id="28" w:name="international-career-survival"/>
    <w:p>
      <w:pPr>
        <w:pStyle w:val="Heading3"/>
      </w:pPr>
      <w:r>
        <w:t xml:space="preserve">International Career Survival</w:t>
      </w:r>
    </w:p>
    <w:p>
      <w:pPr>
        <w:pStyle w:val="FirstParagraph"/>
      </w:pPr>
      <w:r>
        <w:t xml:space="preserve">When evaluating the risk of being fired (early termination) across all countries, we observe a shared European trend of post-reshuffle attrition, though the</w:t>
      </w:r>
      <w:r>
        <w:t xml:space="preserve"> </w:t>
      </w:r>
      <w:r>
        <w:t xml:space="preserve">“slope of failure”</w:t>
      </w:r>
      <w:r>
        <w:t xml:space="preserve"> </w:t>
      </w:r>
      <w:r>
        <w:t xml:space="preserve">is markedly steeper in the Netherlands and the UK compared to Italy and Denmark (</w:t>
      </w:r>
      <w:r>
        <w:rPr>
          <w:i/>
          <w:iCs/>
        </w:rPr>
        <w:t xml:space="preserve">Figure 3</w:t>
      </w:r>
      <w:r>
        <w:t xml:space="preserve">).</w:t>
      </w:r>
    </w:p>
    <w:p>
      <w:pPr>
        <w:pStyle w:val="CaptionedFigure"/>
      </w:pPr>
      <w:r>
        <w:drawing>
          <wp:inline>
            <wp:extent cx="5334000" cy="4000500"/>
            <wp:effectExtent b="0" l="0" r="0" t="0"/>
            <wp:docPr descr="Figure 3. International comparison of political career survival across 10 European nations." title="" id="26" name="Picture"/>
            <a:graphic>
              <a:graphicData uri="http://schemas.openxmlformats.org/drawingml/2006/picture">
                <pic:pic>
                  <pic:nvPicPr>
                    <pic:cNvPr descr="figures/career_survival_intl-1.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3. International comparison of political career survival across 10 European nations.</w:t>
      </w:r>
    </w:p>
    <w:bookmarkEnd w:id="28"/>
    <w:bookmarkEnd w:id="29"/>
    <w:bookmarkEnd w:id="30"/>
    <w:bookmarkStart w:id="31" w:name="discussion"/>
    <w:p>
      <w:pPr>
        <w:pStyle w:val="Heading1"/>
      </w:pPr>
      <w:r>
        <w:t xml:space="preserve">Discussion</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Danish Transport Ministers are routinely forced to absorb the political fallout from systemic failures entirely beyond their control, leading to rapid political assassination.</w:t>
      </w:r>
    </w:p>
    <w:p>
      <w:pPr>
        <w:pStyle w:val="BodyText"/>
      </w:pPr>
      <w:r>
        <w:t xml:space="preserve">Secondly, we provide reassuring data demonstrating that this political mortality does not correlate with biological mortality. Danish cabinet ministers enjoy an exceptionally long median lifespan of 86.8 years. This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 Danish Transport Ministers are routinely forced to absorb the political fallout from systemic failures—including substantial cost overruns of bridge networks—entirely beyond their control.</w:t>
      </w:r>
    </w:p>
    <w:p>
      <w:pPr>
        <w:pStyle w:val="BodyText"/>
      </w:pPr>
      <w:r>
        <w:rPr>
          <w:b/>
          <w:bCs/>
        </w:rPr>
        <w:t xml:space="preserve">Conclusions</w:t>
      </w:r>
      <w:r>
        <w:t xml:space="preserve">: Future government personnel assigned to the Ministry of Transport should be offered substantial hazard pay supplements to mitigate the extreme risk of career termination. However, they can take comfort in the knowledge that they will likely live a very long, albeit politically irrelevant, life thereafter.</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2026-03-25T09:36:58Z</dcterms:created>
  <dcterms:modified xsi:type="dcterms:W3CDTF">2026-03-25T09:36:58Z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