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Formal correspondence regarding the proposed review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This letter is sample administrative correspondence. It records no decision, obligation, approval or contractual commitment.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04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5720321C-039A-429A-A5FC-2AF19D5FCBF0}" w:subsetted="false"/>
    <w:embedBold r:id="rIdInterBold" w:fontKey="{69EC14F0-B669-449F-9A1F-21868CA2D702}" w:subsetted="false"/>
  </w:font>
  <w:font w:name="Jost">
    <w:embedRegular r:id="rIdJostRegular" w:fontKey="{DD9052D4-4818-4BC2-81DD-24E2BAC31D4E}" w:subsetted="false"/>
    <w:embedBold r:id="rIdJostBold" w:fontKey="{EA2AE588-8361-4657-B5C6-F4A3674784A7}" w:subsetted="false"/>
  </w:font>
  <w:font w:name="Noto Sans Arabic">
    <w:embedRegular r:id="rIdNotoSansArabicRegular" w:fontKey="{E6DA11D8-0A29-458A-8FEE-D3C6527228D4}" w:subsetted="false"/>
    <w:embedBold r:id="rIdNotoSansArabicBold" w:fontKey="{FCFFCDC6-F9A4-4888-A765-B02F310E25F0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GEM_Letterhead_Executive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