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 الطويل لاختبار المراسلات الإدارية وطلبات المشتريات والمراجعة الداخلية»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 ومراجعة المعلومات المتاحة وتحديد الوثائق الداعمة للمشتريات والتقييم الداخلي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8249D7E2-96BF-4230-A914-5078C178D62C}" w:subsetted="false"/>
    <w:embedBold r:id="rIdInterBold" w:fontKey="{C8810B13-4D1B-47C1-9603-90619388ED67}" w:subsetted="false"/>
  </w:font>
  <w:font w:name="Jost">
    <w:embedRegular r:id="rIdJostRegular" w:fontKey="{B3A90F38-E711-4701-B118-61360B816AA6}" w:subsetted="false"/>
    <w:embedBold r:id="rIdJostBold" w:fontKey="{41713AAE-BF06-4939-87C2-EC6D09F408D7}" w:subsetted="false"/>
  </w:font>
  <w:font w:name="Noto Sans Arabic">
    <w:embedRegular r:id="rIdNotoSansArabicRegular" w:fontKey="{87563C95-D66E-474B-BFA3-E85B4CDD5232}" w:subsetted="false"/>
    <w:embedBold r:id="rIdNotoSansArabicBold" w:fontKey="{3F33E358-CD6E-4278-A09A-C7E75ECBBAD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QA_ar_long_fields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