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 الطويل لاختبار المراسلات الإدارية وطلبات المشتريات والمراجعة الداخلية»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 ومراجعة المعلومات المتاحة وتحديد الوثائق الداعمة للمشتريات والتقييم الداخلي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 and clarification of available supporting evidence for procurement review and subsequent internal assessment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1A6CF4B-067A-41EC-B293-362267596E35}" w:subsetted="false"/>
    <w:embedBold r:id="rIdInterBold" w:fontKey="{6C345E4F-4CC5-4305-9C2E-2B304512C839}" w:subsetted="false"/>
  </w:font>
  <w:font w:name="Jost">
    <w:embedRegular r:id="rIdJostRegular" w:fontKey="{AD736C21-2BD7-425C-AB5E-B8BA03612830}" w:subsetted="false"/>
    <w:embedBold r:id="rIdJostBold" w:fontKey="{62383C53-BC77-4545-A879-7EDD91A44AB4}" w:subsetted="false"/>
  </w:font>
  <w:font w:name="Noto Sans Arabic">
    <w:embedRegular r:id="rIdNotoSansArabicRegular" w:fontKey="{0F5777EB-558B-47F2-8FEE-60A27C094026}" w:subsetted="false"/>
    <w:embedBold r:id="rIdNotoSansArabicBold" w:fontKey="{E499FCDC-50F0-4418-B1E7-112CAF23514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QA_bi_long_fields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