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[LONG RECIPIENT ORGANIZATION NAME FOR PROCUREMENT AND ADMINISTRATIVE CORRESPONDENCE]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 and clarification of available supporting evidence for procurement review and subsequent internal assessment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8BBEE493-F857-46BC-B5CB-91680522E139}" w:subsetted="false"/>
    <w:embedBold r:id="rIdInterBold" w:fontKey="{99E7815C-0E23-4D99-876C-A54AFD869E25}" w:subsetted="false"/>
  </w:font>
  <w:font w:name="Jost">
    <w:embedRegular r:id="rIdJostRegular" w:fontKey="{08537D4B-58E2-4479-AF8D-08A3AD028080}" w:subsetted="false"/>
    <w:embedBold r:id="rIdJostBold" w:fontKey="{4839C96D-37C2-408B-9260-7932E4AA9D63}" w:subsetted="false"/>
  </w:font>
  <w:font w:name="Noto Sans Arabic">
    <w:embedRegular r:id="rIdNotoSansArabicRegular" w:fontKey="{65B70616-69CF-4636-BA9C-E4A6C04DCD39}" w:subsetted="false"/>
    <w:embedBold r:id="rIdNotoSansArabicBold" w:fontKey="{D6D7E527-B13A-4BDA-B5BB-CB822676F59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