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before="114" w:after="114"/>
        <w:jc w:val="left"/>
        <w:rPr>
          <w:rFonts w:ascii="FreeSerif" w:hAnsi="FreeSerif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FreeSerif" w:hAnsi="FreeSerif"/>
          <w:b/>
          <w:bCs/>
          <w:sz w:val="28"/>
          <w:szCs w:val="28"/>
          <w:lang w:val="en-US"/>
        </w:rPr>
        <w:t>Eng-Rus 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Translation </w:t>
      </w:r>
      <w:r>
        <w:rPr>
          <w:rFonts w:cs="Times New Roman" w:ascii="Times New Roman" w:hAnsi="Times New Roman"/>
          <w:sz w:val="24"/>
          <w:szCs w:val="24"/>
        </w:rPr>
        <w:t>№7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Введение новой системы отсчета ни в коем случае не является преимуществом, так как перевод старой системы в новую повлек бы за собой множество экспериментальных ошибок.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предположить в этом случае наличие возмущений в волнах, возникает вопрос, насколько сильно такие возмущения изменяются при прохождении через магнитогидродинамическую ударную волну.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предлагаю вам поощрять все их попытки найти способы устранения ошибок оценки количества излучения, которое достигает экрана.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Две камеры спроектированы достаточно схожими по функциям, чтобы обеспечить наличие какой-либо работающей камеры среди исходных инструментов, даже если одна камера выйдет из строя на орбите.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Возможность объяснения анизотропии на основе обыкновенной теории рассеяния не исключена.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Фактически частицы будут совершать небольшие колебания относительно устойчивой орбиты и продолжат бесконечно вращаться без увеличения или потери энергии.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бы материал был долговечным и соответствовал бы всем остальным условиям, он бы, несомненно, применялся довольно часто.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воздействии магнитного поля частица ускоряется.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Виды, подверженные воздействию света, являются чрезвычайно активными, если используются в условиях повышенной влажности.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дополнение к указанию изменений жидкостной конфигурации, частицы позволяют отслеживать положение поверхности.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Задержка, вероятно, обусловлена необходимостью распределения энергии таким образом, чтобы сформировался активированный комплекс, соответствующий реакции.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Только Титан является настолько большим, что гравитационное самосжатие заметно влияет на его плотность, если принять во внимание это самосжатие, и оценка плотности Титана (1,9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г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см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cs="Times New Roman" w:ascii="Times New Roman" w:hAnsi="Times New Roman"/>
          <w:sz w:val="24"/>
          <w:szCs w:val="24"/>
        </w:rPr>
        <w:t>) начинает соответствовать смеси, состоящей наполовину из камня, наполовину изо льда.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404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b30b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15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b30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6D218E4-5DE7-433C-AABB-82A54D61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LibreOffice/6.2.8.2$Linux_X86_64 LibreOffice_project/20$Build-2</Application>
  <Pages>1</Pages>
  <Words>233</Words>
  <Characters>1594</Characters>
  <CharactersWithSpaces>1801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2019-10-23T15:33:00Z</dcterms:created>
  <dc:creator>Home</dc:creator>
  <dc:description/>
  <dc:language>ru-RU</dc:language>
  <cp:lastModifiedBy/>
  <dcterms:modified xsi:type="dcterms:W3CDTF">2019-12-01T20:32:47Z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