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w:t>
        <w:tab/>
        <w:t>3</w:t>
      </w:r>
    </w:p>
    <w:p>
      <w:pPr>
        <w:tabs>
          <w:tab w:pos="8755" w:val="right" w:leader="dot"/>
        </w:tabs>
        <w:spacing w:after="80" w:line="240" w:lineRule="auto"/>
        <w:ind w:left="360" w:firstLine="0"/>
        <w:jc w:val="left"/>
      </w:pPr>
      <w:r>
        <w:rPr>
          <w:b w:val="0"/>
          <w:sz w:val="19"/>
        </w:rPr>
        <w:t>3.2  Design Method</w:t>
        <w:tab/>
        <w:t>4</w:t>
      </w:r>
    </w:p>
    <w:p>
      <w:pPr>
        <w:tabs>
          <w:tab w:pos="8755" w:val="right" w:leader="dot"/>
        </w:tabs>
        <w:spacing w:after="80" w:line="240" w:lineRule="auto"/>
        <w:ind w:left="360" w:firstLine="0"/>
        <w:jc w:val="left"/>
      </w:pPr>
      <w:r>
        <w:rPr>
          <w:b w:val="0"/>
          <w:sz w:val="19"/>
        </w:rPr>
        <w:t>3.3  Data and Preprocessing Pipeline</w:t>
        <w:tab/>
        <w:t>17</w:t>
      </w:r>
    </w:p>
    <w:p>
      <w:pPr>
        <w:tabs>
          <w:tab w:pos="8755" w:val="right" w:leader="dot"/>
        </w:tabs>
        <w:spacing w:after="80" w:line="240" w:lineRule="auto"/>
        <w:ind w:left="360" w:firstLine="0"/>
        <w:jc w:val="left"/>
      </w:pPr>
      <w:r>
        <w:rPr>
          <w:b w:val="0"/>
          <w:sz w:val="19"/>
        </w:rPr>
        <w:t>3.4  Core Source Code and Reproducibility</w:t>
        <w:tab/>
        <w:t>20</w:t>
      </w:r>
    </w:p>
    <w:p>
      <w:pPr>
        <w:tabs>
          <w:tab w:pos="8755" w:val="right" w:leader="dot"/>
        </w:tabs>
        <w:spacing w:after="120" w:line="240" w:lineRule="auto"/>
        <w:ind w:left="0" w:firstLine="0"/>
        <w:jc w:val="left"/>
      </w:pPr>
      <w:r>
        <w:rPr>
          <w:b/>
          <w:sz w:val="20"/>
        </w:rPr>
        <w:t>4  Implementation</w:t>
        <w:tab/>
        <w:t>22</w:t>
      </w:r>
    </w:p>
    <w:p>
      <w:pPr>
        <w:tabs>
          <w:tab w:pos="8755" w:val="right" w:leader="dot"/>
        </w:tabs>
        <w:spacing w:after="80" w:line="240" w:lineRule="auto"/>
        <w:ind w:left="360" w:firstLine="0"/>
        <w:jc w:val="left"/>
      </w:pPr>
      <w:r>
        <w:rPr>
          <w:b w:val="0"/>
          <w:sz w:val="19"/>
        </w:rPr>
        <w:t>4.1  Description</w:t>
        <w:tab/>
        <w:t>22</w:t>
      </w:r>
    </w:p>
    <w:p>
      <w:pPr>
        <w:tabs>
          <w:tab w:pos="8755" w:val="right" w:leader="dot"/>
        </w:tabs>
        <w:spacing w:after="120" w:line="240" w:lineRule="auto"/>
        <w:ind w:left="0" w:firstLine="0"/>
        <w:jc w:val="left"/>
      </w:pPr>
      <w:r>
        <w:rPr>
          <w:b/>
          <w:sz w:val="20"/>
        </w:rPr>
        <w:t>5  Design Analysis and Evaluation</w:t>
        <w:tab/>
        <w:t>23</w:t>
      </w:r>
    </w:p>
    <w:p>
      <w:pPr>
        <w:tabs>
          <w:tab w:pos="8755" w:val="right" w:leader="dot"/>
        </w:tabs>
        <w:spacing w:after="80" w:line="240" w:lineRule="auto"/>
        <w:ind w:left="360" w:firstLine="0"/>
        <w:jc w:val="left"/>
      </w:pPr>
      <w:r>
        <w:rPr>
          <w:b w:val="0"/>
          <w:sz w:val="19"/>
        </w:rPr>
        <w:t>5.1  Novelty</w:t>
        <w:tab/>
        <w:t>23</w:t>
      </w:r>
    </w:p>
    <w:p>
      <w:pPr>
        <w:tabs>
          <w:tab w:pos="8755" w:val="right" w:leader="dot"/>
        </w:tabs>
        <w:spacing w:after="80" w:line="240" w:lineRule="auto"/>
        <w:ind w:left="360" w:firstLine="0"/>
        <w:jc w:val="left"/>
      </w:pPr>
      <w:r>
        <w:rPr>
          <w:b w:val="0"/>
          <w:sz w:val="19"/>
        </w:rPr>
        <w:t>5.2  Design Considerations</w:t>
        <w:tab/>
        <w:t>23</w:t>
      </w:r>
    </w:p>
    <w:p>
      <w:pPr>
        <w:tabs>
          <w:tab w:pos="8755" w:val="right" w:leader="dot"/>
        </w:tabs>
        <w:spacing w:after="80" w:line="240" w:lineRule="auto"/>
        <w:ind w:left="360" w:firstLine="0"/>
        <w:jc w:val="left"/>
      </w:pPr>
      <w:r>
        <w:rPr>
          <w:b w:val="0"/>
          <w:sz w:val="19"/>
        </w:rPr>
        <w:t>5.3  Investigations</w:t>
        <w:tab/>
        <w:t>24</w:t>
      </w:r>
    </w:p>
    <w:p>
      <w:pPr>
        <w:tabs>
          <w:tab w:pos="8755" w:val="right" w:leader="dot"/>
        </w:tabs>
        <w:spacing w:after="80" w:line="240" w:lineRule="auto"/>
        <w:ind w:left="360" w:firstLine="0"/>
        <w:jc w:val="left"/>
      </w:pPr>
      <w:r>
        <w:rPr>
          <w:b w:val="0"/>
          <w:sz w:val="19"/>
        </w:rPr>
        <w:t>5.4  Limitations of Tools</w:t>
        <w:tab/>
        <w:t>40</w:t>
      </w:r>
    </w:p>
    <w:p>
      <w:pPr>
        <w:tabs>
          <w:tab w:pos="8755" w:val="right" w:leader="dot"/>
        </w:tabs>
        <w:spacing w:after="80" w:line="240" w:lineRule="auto"/>
        <w:ind w:left="360" w:firstLine="0"/>
        <w:jc w:val="left"/>
      </w:pPr>
      <w:r>
        <w:rPr>
          <w:b w:val="0"/>
          <w:sz w:val="19"/>
        </w:rPr>
        <w:t>5.5  Impact Assessment</w:t>
        <w:tab/>
        <w:t>41</w:t>
      </w:r>
    </w:p>
    <w:p>
      <w:pPr>
        <w:tabs>
          <w:tab w:pos="8755" w:val="right" w:leader="dot"/>
        </w:tabs>
        <w:spacing w:after="80" w:line="240" w:lineRule="auto"/>
        <w:ind w:left="360" w:firstLine="0"/>
        <w:jc w:val="left"/>
      </w:pPr>
      <w:r>
        <w:rPr>
          <w:b w:val="0"/>
          <w:sz w:val="19"/>
        </w:rPr>
        <w:t>5.6  Sustainability Evaluation</w:t>
        <w:tab/>
        <w:t>41</w:t>
      </w:r>
    </w:p>
    <w:p>
      <w:pPr>
        <w:tabs>
          <w:tab w:pos="8755" w:val="right" w:leader="dot"/>
        </w:tabs>
        <w:spacing w:after="80" w:line="240" w:lineRule="auto"/>
        <w:ind w:left="360" w:firstLine="0"/>
        <w:jc w:val="left"/>
      </w:pPr>
      <w:r>
        <w:rPr>
          <w:b w:val="0"/>
          <w:sz w:val="19"/>
        </w:rPr>
        <w:t>5.7  Ethical Issues</w:t>
        <w:tab/>
        <w:t>41</w:t>
      </w:r>
    </w:p>
    <w:p>
      <w:pPr>
        <w:tabs>
          <w:tab w:pos="8755" w:val="right" w:leader="dot"/>
        </w:tabs>
        <w:spacing w:after="120" w:line="240" w:lineRule="auto"/>
        <w:ind w:left="0" w:firstLine="0"/>
        <w:jc w:val="left"/>
      </w:pPr>
      <w:r>
        <w:rPr>
          <w:b/>
          <w:sz w:val="20"/>
        </w:rPr>
        <w:t>6  Reflection on Individual and Team work</w:t>
        <w:tab/>
        <w:t>42</w:t>
      </w:r>
    </w:p>
    <w:p>
      <w:pPr>
        <w:tabs>
          <w:tab w:pos="8755" w:val="right" w:leader="dot"/>
        </w:tabs>
        <w:spacing w:after="80" w:line="240" w:lineRule="auto"/>
        <w:ind w:left="360" w:firstLine="0"/>
        <w:jc w:val="left"/>
      </w:pPr>
      <w:r>
        <w:rPr>
          <w:b w:val="0"/>
          <w:sz w:val="19"/>
        </w:rPr>
        <w:t>6.1  Individual Contribution of Each Member</w:t>
        <w:tab/>
        <w:t>42</w:t>
      </w:r>
    </w:p>
    <w:p>
      <w:pPr>
        <w:tabs>
          <w:tab w:pos="8755" w:val="right" w:leader="dot"/>
        </w:tabs>
        <w:spacing w:after="80" w:line="240" w:lineRule="auto"/>
        <w:ind w:left="360" w:firstLine="0"/>
        <w:jc w:val="left"/>
      </w:pPr>
      <w:r>
        <w:t>6.2  Mode of TeamWork</w:t>
        <w:tab/>
        <w:t>42</w:t>
      </w:r>
    </w:p>
    <w:p>
      <w:pPr>
        <w:tabs>
          <w:tab w:pos="8755" w:val="right" w:leader="dot"/>
        </w:tabs>
        <w:spacing w:after="80" w:line="240" w:lineRule="auto"/>
        <w:ind w:left="360" w:firstLine="0"/>
        <w:jc w:val="left"/>
      </w:pPr>
      <w:r>
        <w:t>6.3  Diversity Statement of Team</w:t>
        <w:tab/>
        <w:t>42</w:t>
      </w:r>
    </w:p>
    <w:p>
      <w:pPr>
        <w:tabs>
          <w:tab w:pos="8755" w:val="right" w:leader="dot"/>
        </w:tabs>
        <w:spacing w:after="80" w:line="240" w:lineRule="auto"/>
        <w:ind w:left="360" w:firstLine="0"/>
        <w:jc w:val="left"/>
      </w:pPr>
      <w:r>
        <w:rPr>
          <w:b w:val="0"/>
          <w:sz w:val="19"/>
        </w:rPr>
        <w:t>6.4  Log Book of Project Implementation</w:t>
        <w:tab/>
        <w:t>42</w:t>
      </w:r>
    </w:p>
    <w:p>
      <w:pPr>
        <w:tabs>
          <w:tab w:pos="8755" w:val="right" w:leader="dot"/>
        </w:tabs>
        <w:spacing w:after="120" w:line="240" w:lineRule="auto"/>
        <w:ind w:left="0" w:firstLine="0"/>
        <w:jc w:val="left"/>
      </w:pPr>
      <w:r>
        <w:rPr>
          <w:b/>
          <w:sz w:val="20"/>
        </w:rPr>
        <w:t>7  Communication to External Stakeholders</w:t>
        <w:tab/>
        <w:t>43</w:t>
      </w:r>
    </w:p>
    <w:p>
      <w:pPr>
        <w:tabs>
          <w:tab w:pos="8755" w:val="right" w:leader="dot"/>
        </w:tabs>
        <w:spacing w:after="80" w:line="240" w:lineRule="auto"/>
        <w:ind w:left="360" w:firstLine="0"/>
        <w:jc w:val="left"/>
      </w:pPr>
      <w:r>
        <w:rPr>
          <w:b w:val="0"/>
          <w:sz w:val="19"/>
        </w:rPr>
        <w:t>7.1  Executive Summary</w:t>
        <w:tab/>
        <w:t>43</w:t>
      </w:r>
    </w:p>
    <w:p>
      <w:pPr>
        <w:tabs>
          <w:tab w:pos="8755" w:val="right" w:leader="dot"/>
        </w:tabs>
        <w:spacing w:after="80" w:line="240" w:lineRule="auto"/>
        <w:ind w:left="360" w:firstLine="0"/>
        <w:jc w:val="left"/>
      </w:pPr>
      <w:r>
        <w:rPr>
          <w:b w:val="0"/>
          <w:sz w:val="19"/>
        </w:rPr>
        <w:t>7.2  Reproducing Our Results</w:t>
        <w:tab/>
        <w:t>44</w:t>
      </w:r>
    </w:p>
    <w:p>
      <w:pPr>
        <w:tabs>
          <w:tab w:pos="8755" w:val="right" w:leader="dot"/>
        </w:tabs>
        <w:spacing w:after="120" w:line="240" w:lineRule="auto"/>
        <w:ind w:left="0" w:firstLine="0"/>
        <w:jc w:val="left"/>
      </w:pPr>
      <w:r>
        <w:rPr>
          <w:b/>
          <w:sz w:val="20"/>
        </w:rPr>
        <w:t>8  Project Management and Cost Analysis</w:t>
        <w:tab/>
        <w:t>44</w:t>
      </w:r>
    </w:p>
    <w:p>
      <w:pPr>
        <w:tabs>
          <w:tab w:pos="8755" w:val="right" w:leader="dot"/>
        </w:tabs>
        <w:spacing w:after="80" w:line="240" w:lineRule="auto"/>
        <w:ind w:left="360" w:firstLine="0"/>
        <w:jc w:val="left"/>
      </w:pPr>
      <w:r>
        <w:rPr>
          <w:b w:val="0"/>
          <w:sz w:val="19"/>
        </w:rPr>
        <w:t>8.1  Computational Resources Used</w:t>
        <w:tab/>
        <w:t>44</w:t>
      </w:r>
    </w:p>
    <w:p>
      <w:pPr>
        <w:tabs>
          <w:tab w:pos="8755" w:val="right" w:leader="dot"/>
        </w:tabs>
        <w:spacing w:after="80" w:line="240" w:lineRule="auto"/>
        <w:ind w:left="360" w:firstLine="0"/>
        <w:jc w:val="left"/>
      </w:pPr>
      <w:r>
        <w:rPr>
          <w:b w:val="0"/>
          <w:sz w:val="19"/>
        </w:rPr>
        <w:t>8.2  Timeline of Project Implementation</w:t>
        <w:tab/>
        <w:t>45</w:t>
      </w:r>
    </w:p>
    <w:p>
      <w:pPr>
        <w:tabs>
          <w:tab w:pos="8755" w:val="right" w:leader="dot"/>
        </w:tabs>
        <w:spacing w:after="120" w:line="240" w:lineRule="auto"/>
        <w:ind w:left="0" w:firstLine="0"/>
        <w:jc w:val="left"/>
      </w:pPr>
      <w:r>
        <w:rPr>
          <w:b/>
          <w:sz w:val="20"/>
        </w:rPr>
        <w:t>9  Future Work</w:t>
        <w:tab/>
        <w:t>45</w:t>
      </w:r>
    </w:p>
    <w:p>
      <w:pPr>
        <w:tabs>
          <w:tab w:pos="8755" w:val="right" w:leader="dot"/>
        </w:tabs>
        <w:spacing w:after="120" w:line="240" w:lineRule="auto"/>
        <w:ind w:left="0" w:firstLine="0"/>
        <w:jc w:val="left"/>
      </w:pPr>
      <w:r>
        <w:rPr>
          <w:b/>
          <w:sz w:val="20"/>
        </w:rPr>
        <w:t>10  References</w:t>
        <w:tab/>
        <w:t>45</w:t>
      </w:r>
    </w:p>
    <w:p>
      <w:pPr>
        <w:tabs>
          <w:tab w:pos="8755" w:val="right" w:leader="dot"/>
        </w:tabs>
        <w:spacing w:after="120" w:line="240" w:lineRule="auto"/>
        <w:ind w:left="0" w:firstLine="0"/>
        <w:jc w:val="left"/>
      </w:pPr>
      <w:r>
        <w:rPr>
          <w:b/>
          <w:sz w:val="20"/>
        </w:rPr>
        <w:t>11  Appendix: Reproducibility Records</w:t>
        <w:tab/>
        <w:t>47</w:t>
      </w:r>
    </w:p>
    <w:p>
      <w:pPr>
        <w:tabs>
          <w:tab w:pos="8755" w:val="right" w:leader="dot"/>
        </w:tabs>
        <w:spacing w:after="80" w:line="240" w:lineRule="auto"/>
        <w:ind w:left="360" w:firstLine="0"/>
        <w:jc w:val="left"/>
      </w:pPr>
      <w:r>
        <w:rPr>
          <w:b w:val="0"/>
          <w:sz w:val="19"/>
        </w:rPr>
        <w:t>11.1  Environment and Checkpoint Provenance</w:t>
        <w:tab/>
        <w:t>47</w:t>
      </w:r>
    </w:p>
    <w:p>
      <w:pPr>
        <w:tabs>
          <w:tab w:pos="8755" w:val="right" w:leader="dot"/>
        </w:tabs>
        <w:spacing w:after="80" w:line="240" w:lineRule="auto"/>
        <w:ind w:left="360" w:firstLine="0"/>
        <w:jc w:val="left"/>
      </w:pPr>
      <w:r>
        <w:rPr>
          <w:b w:val="0"/>
          <w:sz w:val="19"/>
        </w:rPr>
        <w:t>11.2  Stroke Cohort: Pre-registration, Post-hoc Input and Fold-local Check</w:t>
        <w:tab/>
        <w:t>47</w:t>
      </w:r>
    </w:p>
    <w:p>
      <w:pPr>
        <w:tabs>
          <w:tab w:pos="8755" w:val="right" w:leader="dot"/>
        </w:tabs>
        <w:spacing w:after="80" w:line="240" w:lineRule="auto"/>
        <w:ind w:left="360" w:firstLine="0"/>
        <w:jc w:val="left"/>
      </w:pPr>
      <w:r>
        <w:rPr>
          <w:b w:val="0"/>
          <w:sz w:val="19"/>
        </w:rPr>
        <w:t>11.3  Experiment 5 Corrected Statistics</w:t>
        <w:tab/>
        <w:t>48</w:t>
      </w:r>
    </w:p>
    <w:p>
      <w:pPr>
        <w:tabs>
          <w:tab w:pos="8755" w:val="right" w:leader="dot"/>
        </w:tabs>
        <w:spacing w:after="80" w:line="240" w:lineRule="auto"/>
        <w:ind w:left="360" w:firstLine="0"/>
        <w:jc w:val="left"/>
      </w:pPr>
      <w:r>
        <w:rPr>
          <w:b w:val="0"/>
          <w:sz w:val="19"/>
        </w:rPr>
        <w:t>11.4  Reproducibility Files</w:t>
        <w:tab/>
        <w:t>48</w:t>
      </w:r>
    </w:p>
    <w:p>
      <w:pPr>
        <w:tabs>
          <w:tab w:pos="8755" w:val="right" w:leader="dot"/>
        </w:tabs>
        <w:spacing w:after="80" w:line="240" w:lineRule="auto"/>
        <w:ind w:left="360" w:firstLine="0"/>
        <w:jc w:val="left"/>
      </w:pPr>
      <w:r>
        <w:rPr>
          <w:b w:val="0"/>
          <w:sz w:val="19"/>
        </w:rPr>
        <w:t>11.5  Checks Not Run</w:t>
        <w:tab/>
        <w:t>49</w:t>
      </w:r>
    </w:p>
    <w:p>
      <w:pPr>
        <w:tabs>
          <w:tab w:pos="8755" w:val="right" w:leader="dot"/>
        </w:tabs>
        <w:spacing w:after="80" w:line="240" w:lineRule="auto"/>
        <w:ind w:left="360" w:firstLine="0"/>
        <w:jc w:val="left"/>
      </w:pPr>
      <w:r>
        <w:rPr>
          <w:b w:val="0"/>
          <w:sz w:val="19"/>
        </w:rPr>
        <w:t>11.6  Pre-training Configuration and Commands</w:t>
        <w:tab/>
        <w:t>50</w:t>
      </w:r>
    </w:p>
    <w:p>
      <w:pPr>
        <w:tabs>
          <w:tab w:pos="8755" w:val="right" w:leader="dot"/>
        </w:tabs>
        <w:spacing w:after="80" w:line="240" w:lineRule="auto"/>
        <w:ind w:left="360" w:firstLine="0"/>
        <w:jc w:val="left"/>
      </w:pPr>
      <w:r>
        <w:rPr>
          <w:b w:val="0"/>
          <w:sz w:val="19"/>
        </w:rPr>
        <w:t>11.7  Statistical Procedures</w:t>
        <w:tab/>
        <w:t>50</w:t>
      </w:r>
    </w:p>
    <w:p>
      <w:pPr>
        <w:tabs>
          <w:tab w:pos="8755" w:val="right" w:leader="dot"/>
        </w:tabs>
        <w:spacing w:after="80" w:line="240" w:lineRule="auto"/>
        <w:ind w:left="360" w:firstLine="0"/>
        <w:jc w:val="left"/>
      </w:pPr>
      <w:r>
        <w:rPr>
          <w:b w:val="0"/>
          <w:sz w:val="19"/>
        </w:rPr>
        <w:t>11.8  Stroke Spectral-Matching Filter</w:t>
        <w:tab/>
        <w:t>51</w:t>
      </w:r>
    </w:p>
    <w:p>
      <w:pPr>
        <w:tabs>
          <w:tab w:pos="8755" w:val="right" w:leader="dot"/>
        </w:tabs>
        <w:spacing w:after="80" w:line="240" w:lineRule="auto"/>
        <w:ind w:left="360" w:firstLine="0"/>
        <w:jc w:val="left"/>
      </w:pPr>
      <w:r>
        <w:rPr>
          <w:b w:val="0"/>
          <w:sz w:val="19"/>
        </w:rPr>
        <w:t>11.9  Data Used by Each Experiment</w:t>
        <w:tab/>
        <w:t>52</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The collapse is not explained by any preprocessing variation we tested and appears to be a property of the released weights. We followed the paper's own pipeline as closely as its text and code allow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our original pre-training run reaches an AUROC of </w:t>
      </w:r>
      <w:r>
        <w:rPr>
          <w:b/>
        </w:rPr>
        <w:t>0.865 ± 0.024</w:t>
      </w:r>
      <w:r>
        <w:rPr>
          <w:b w:val="0"/>
        </w:rPr>
        <w:t xml:space="preserve"> on five-fold cross-validation on the NMT dataset (2,417 recordings). Averaged over that run and two independently seeded re-runs it scores 0.861, ahead of a classical hand-crafted band-power baseline scored on the identical folds (0.786 ± 0.009; better in all 5 folds, Holm-corrected p = 0.029). An untrained twin of the same fused architecture, averaged over five random seeds, already reaches 0.834, though, so most of that margin comes from the architecture: pre-training adds +0.027 AUROC (0.861 against 0.834), better in all 5 folds but not statistically significant after correction. On a completely different hospital's data (TUAB), FEI pre-trained on NMT alone, with no TUAB recording in its pre-training (only the linear classifier on top is trained on labelled TUAB data), scored above a random-weight twin by +0.048 (95% CI [0.015, 0.108], p = 0.0055) AUROC, averaged over five independently seeded pre-training runs scored on the same test set, with runs, random-init seeds and test recordings resampled together (the original run alone: +0.059, p = 0.002). GTJ did not survive that NMT-only transfer (0.840 vs 0.863 for its random twin), so we also re-pre-trained both encoders on NMT plus TUAB's unlabelled training recordings: the fused model then scored close to the released ViT-M checkpoint under our linear probe (0.862 vs 0.838, difference not significant) and beat band power (0.757), but was not significantly better than its own random-weight twin (0.861) in any of three pre-training runs. We then took the NMT-only encoders to a third, unrelated task: telling stroke patients apart from healthy controls in a small resting-state EEG cohort. There, after a spectrum-matching step we designed post hoc on this same cohort (the input fixed in advance gave 0.833), FEI+GTJ scored close to the clinical Brain Symmetry Index (BSI) baseline (0.926 vs 0.907 AUROC, leave-one-subject-out: a model is validated on one subject it never saw any data from, repeated once per subject). With 15 subjects that difference is far too uncertain to show either superiority or equivalence. Two seeded re-runs of its NMT pre-training scored 0.963 and 0.981 on the same 15 subjects: a check on the pre-training seed, not a larger sample.</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repaired, post hoc and on that same cohort,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with encoders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rules out one trivial solution: an un-normalised MSE loss would let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 xml:space="preserve">USA (Temple University Hospital); 2,993 recordings (its 276-recording evaluation split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 Here and throughout, “pre-registered” means a locally timestamped pre-analysis protocol (Appendix §11.2), not an entry in a public registry.</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 xml:space="preserve">Released ViT-M/ViT-B frozen evaluation on TUAB (Experiment 1)</w:t>
            </w:r>
          </w:p>
        </w:tc>
      </w:tr>
      <w:tr>
        <w:trPr>
          <w:cantSplit/>
        </w:trPr>
        <w:tc>
          <w:tcPr>
            <w:tcW w:type="dxa" w:w="4455"/>
          </w:tcPr>
          <w:p>
            <w:r/>
            <w:r>
              <w:rPr>
                <w:sz w:val="18"/>
              </w:rPr>
              <w:t xml:space="preserve">tuab_finetune_fast.py</w:t>
            </w:r>
          </w:p>
        </w:tc>
        <w:tc>
          <w:tcPr>
            <w:tcW w:type="dxa" w:w="4455"/>
          </w:tcPr>
          <w:p>
            <w:r/>
            <w:r>
              <w:rPr>
                <w:sz w:val="18"/>
              </w:rPr>
              <w:t xml:space="preserve">ViT-M fine-tuned from the released weights and trained from scratch, with the authors' recipe (Experiment 2)</w:t>
            </w:r>
          </w:p>
        </w:tc>
      </w:tr>
      <w:tr>
        <w:trPr>
          <w:cantSplit/>
        </w:trPr>
        <w:tc>
          <w:tcPr>
            <w:tcW w:type="dxa" w:w="4455"/>
          </w:tcPr>
          <w:p>
            <w:r/>
            <w:r>
              <w:rPr>
                <w:sz w:val="18"/>
              </w:rPr>
              <w:t xml:space="preserve">tuab_vitm_linear.py</w:t>
            </w:r>
          </w:p>
        </w:tc>
        <w:tc>
          <w:tcPr>
            <w:tcW w:type="dxa" w:w="4455"/>
          </w:tcPr>
          <w:p>
            <w:r/>
            <w:r>
              <w:rPr>
                <w:sz w:val="18"/>
              </w:rPr>
              <w:t xml:space="preserve">Linear probe on frozen released and random-init ViT-M (Experiment 4; the ViT-M row of Experiment 6)</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 xml:space="preserve">tuab_fei_reps.py</w:t>
            </w:r>
          </w:p>
        </w:tc>
        <w:tc>
          <w:tcPr>
            <w:tcW w:type="dxa" w:w="4455"/>
          </w:tcPr>
          <w:p>
            <w:r/>
            <w:r>
              <w:rPr>
                <w:sz w:val="18"/>
              </w:rPr>
              <w:t xml:space="preserve">FEI's NMT-only TUAB gain over five pre-training runs, two of them pre-trained here, with the multi-run bootstrap (Experiment 6)</w:t>
            </w:r>
          </w:p>
        </w:tc>
      </w:tr>
      <w:tr>
        <w:trPr>
          <w:cantSplit/>
        </w:trPr>
        <w:tc>
          <w:tcPr>
            <w:tcW w:type="dxa" w:w="4455"/>
          </w:tcPr>
          <w:p>
            <w:r/>
            <w:r>
              <w:rPr>
                <w:sz w:val="18"/>
              </w:rPr>
              <w:t xml:space="preserve">tuab_feic_joint_reps.py</w:t>
            </w:r>
          </w:p>
        </w:tc>
        <w:tc>
          <w:tcPr>
            <w:tcW w:type="dxa" w:w="4455"/>
          </w:tcPr>
          <w:p>
            <w:r/>
            <w:r>
              <w:rPr>
                <w:sz w:val="18"/>
              </w:rPr>
              <w:t xml:space="preserve">Two seeded re-runs of Experiment 6's adapted (NMT+TUAB) FEI and GTJ pre-training, scored as in tuab_feic.py</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stroke_phaseB_reps.py</w:t>
            </w:r>
          </w:p>
        </w:tc>
        <w:tc>
          <w:tcPr>
            <w:tcW w:type="dxa" w:w="4455"/>
          </w:tcPr>
          <w:p>
            <w:r/>
            <w:r>
              <w:rPr>
                <w:sz w:val="18"/>
              </w:rPr>
              <w:t xml:space="preserve">Experiment 8 scored with Experiment 5's two seeded pre-training re-runs</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 xml:space="preserve">act0_raw_hashes.py</w:t>
            </w:r>
          </w:p>
        </w:tc>
        <w:tc>
          <w:tcPr>
            <w:tcW w:type="dxa" w:w="4455"/>
          </w:tcPr>
          <w:p>
            <w:r/>
            <w:r>
              <w:rPr>
                <w:sz w:val="18"/>
              </w:rPr>
              <w:t xml:space="preserve">SHA-256 of every raw recording (Table 21)</w:t>
            </w:r>
          </w:p>
        </w:tc>
      </w:tr>
      <w:tr>
        <w:trPr>
          <w:cantSplit/>
        </w:trPr>
        <w:tc>
          <w:tcPr>
            <w:tcW w:type="dxa" w:w="4455"/>
          </w:tcPr>
          <w:p>
            <w:r/>
            <w:r>
              <w:rPr>
                <w:sz w:val="18"/>
              </w:rPr>
              <w:t xml:space="preserve">act0_metrics.py</w:t>
            </w:r>
          </w:p>
        </w:tc>
        <w:tc>
          <w:tcPr>
            <w:tcW w:type="dxa" w:w="4455"/>
          </w:tcPr>
          <w:p>
            <w:r/>
            <w:r>
              <w:rPr>
                <w:sz w:val="18"/>
              </w:rPr>
              <w:t xml:space="preserve">Shared metric definitions and bootstrap confidence intervals</w:t>
            </w:r>
          </w:p>
        </w:tc>
      </w:tr>
      <w:tr>
        <w:trPr>
          <w:cantSplit/>
        </w:trPr>
        <w:tc>
          <w:tcPr>
            <w:tcW w:type="dxa" w:w="4455"/>
          </w:tcPr>
          <w:p>
            <w:r/>
            <w:r>
              <w:rPr>
                <w:sz w:val="18"/>
              </w:rPr>
              <w:t xml:space="preserve">act0_full_metrics.py</w:t>
            </w:r>
          </w:p>
        </w:tc>
        <w:tc>
          <w:tcPr>
            <w:tcW w:type="dxa" w:w="4455"/>
          </w:tcPr>
          <w:p>
            <w:r/>
            <w:r>
              <w:rPr>
                <w:sz w:val="18"/>
              </w:rPr>
              <w:t xml:space="preserve">BAcc, AUC-PR, F1, sensitivity and specificity columns, recomputed from each experiment's saved predictions</w:t>
            </w:r>
          </w:p>
        </w:tc>
      </w:tr>
      <w:tr>
        <w:trPr>
          <w:cantSplit/>
        </w:trPr>
        <w:tc>
          <w:tcPr>
            <w:tcW w:type="dxa" w:w="4455"/>
          </w:tcPr>
          <w:p>
            <w:r/>
            <w:r>
              <w:rPr>
                <w:sz w:val="18"/>
              </w:rPr>
              <w:t xml:space="preserve">act0_make_results.py</w:t>
            </w:r>
          </w:p>
        </w:tc>
        <w:tc>
          <w:tcPr>
            <w:tcW w:type="dxa" w:w="4455"/>
          </w:tcPr>
          <w:p>
            <w:r/>
            <w:r>
              <w:rPr>
                <w:sz w:val="18"/>
              </w:rPr>
              <w:t xml:space="preserve">Experiments 1, 2 and 4's Mann–Whitney, paired t- and Wilcoxon tests, from the saved results</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 but we have tested it only on the cohort it was designed on.</w:t>
      </w:r>
    </w:p>
    <w:p>
      <w:pPr>
        <w:pStyle w:val="Heading2"/>
        <w:keepNext/>
        <w:spacing w:before="180" w:after="120"/>
      </w:pPr>
      <w:r>
        <w:t>Design Considerations</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scores close to a released large-scale checkpoint under the same linear probe on TUAB (0.862 vs 0.838, not significantly different).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formal inferential comparison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with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TUAB v3.0.1's 276-recording evaluation split, the one the paper reports on (files from our mirror copy, §5.5.3),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 Runs: one evaluation head trained per TUAB training subset (s0–s4); each random-init run (s0–s2) also draws its own random weights, seeded with its subset number.</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 Token spread is the deciding measure; random weights also reach a cosine of 0.9991 on the stroke cohort.</w:t>
      </w:r>
    </w:p>
    <w:p>
      <w:r>
        <w:rPr>
          <w:b w:val="0"/>
        </w:rPr>
        <w:t>Every released-checkpoint configuration falls roughly 0.1–0.2 AUROC short of the paper. More strikingly, a random, untrained ViT-M beats the released, pre-trained one: by 0.116 AUROC with the §4.2 head, 0.046 with the Fig-3 head (one-sided Mann–Whitney over 5 released and 3 random-weight runs: p = 0.018, the smallest these counts allow, and 0.036; two-sided, 0.036 and 0.071, so the Fig-3 gap alone would not pass a two-sided test).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not significantly different (paired t-test and Wilcoxon both p = 0.81; any two of the five subsets share 98–134 of their 546 recordings, which both tests ignore, so allowing for that overlap would widen the uncertainty, not narrow it).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No preprocessing variation we tested changes this, and it holds on both datasets, so it appears to be a property of the released weights rather than of our pipeline or of which dataset we test on. We even checked whether our own z-scoring convention could be doing this: per-recording and per-window normalisation give the same collapsed number (token std 0.0059, cosine 1.0000) on the same 120 recordings. We fixed no numeric collapse threshold in advance: the criterion is separation from every random-weight twin, and a gap of 0.0085 against 0.379 needs no threshold to read. Token spread is the deciding measure. Cosine alone is not: on the 15-subject stroke cohort even random weights give a cross-recording cosine of 0.9991 (Table 9).</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(one-sided Mann–Whitney p = 0.196, 5 released against 3 random-weight runs),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the runs are averaged within each fold before testing, so run-to-run variation is folded into the fold means rather than modelled separately.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(three-run mean 0.861 against 0.834),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NMT-only and adapted.</w:t>
      </w:r>
    </w:p>
    <w:p>
      <w:r>
        <w:rPr>
          <w:b w:val="0"/>
        </w:rPr>
        <w:t>FEI+GTJ was built and validated entirely on NMT (Pakistan). Experiment 6 tests it on TUAB (USA): a different hospital, different hardware, a different patient population. We separate two settings. NMT-only transfer: the encoder is pre-trained on NMT only and never sees a TUAB recording, labelled or not, before its frozen features are probed. This is sometimes called zero-shot, but only the encoder's pre-training is: the linear classifier on top is trained on labelled TUAB recordings, so it tests how the representation transfers across datasets, not zero-shot classification.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NMT-only row is the clean cross-dataset test of representation transfer. GTJ does not survive the NMT-only transfer: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NMT-only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NMT-only rows: encoders pre-trained on NMT alone;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scores above the released ViT-M and clearly beats band power (0.862 vs. 0.838 vs. 0.757 on the full training set), though the gap between FEI+GTJ and ViT-M, +0.024, isn't statistically significant (p = 0.147). Two seeded re-runs of that adapted pre-training (code/tuab_feic_joint_reps.py, scored the same way) reach 0.851 and 0.855; resampling the three runs and the test recordings together, FEI+GTJ's lead over ViT-M is +0.018 (95% CI [−0.028, 0.064], p = 0.220), still not significant. NMT-only, the fused model reaches 0.857 on the full training set (0.821 ± 0.006 over the five subsets), so most of the adapted model's score does not depend on seeing TUAB during pre-training.</w:t>
      </w:r>
    </w:p>
    <w:p>
      <w:r>
        <w:rPr>
          <w:b w:val="0"/>
        </w:rPr>
        <w:t>FEI's NMT-only pre-training gain, though, is statistically significant on its own: FEI beats its random-init twin by +0.059 AUROC (95% CI [0.019, 0.097], p = 0.002): so what FEI learned on NMT alone carries information about abnormal EEG on TUAB that its architecture by itself does not supply (one dataset pair). That p-value resamples the 276 test recordings for one set of trained encoders (five, one per NMT training fold, ensembled), so it says nothing about how the gain varies between pre-training runs. We therefore repeated the NMT pre-training and scored each run on TUAB the same way (code/tuab_fei_reps.py), against the same random-init twins (the same script gives the original run's +0.059 again): Experiment 5's two seeded re-runs, plus two further FEI-only runs with the same recipe and seeding, trained for this check alone (Experiment 5's analysis was fixed at three runs of both branches before these two were trained, and with no GTJ partner they cannot enter its fused comparison). Across the five runs the gain over the twin averages +0.048, ranging from +0.036 to +0.059; of the 25 individual fold encoders, 23 score above the random-init ensemble (0.813) and 24 above the best single random-init encoder (0.809). A bootstrap that resamples the five pre-training runs, the twin's three random-init seeds and the 276 test recordings together, so that all three sources of uncertainty enter one interval (Table 24), gives a mean gain of +0.048 (95% CI [0.015, 0.108], p = 0.0055). All five runs are scored on the same test set, so they show that the gain does not hinge on one pre-training seed; they are not five independent replications of the transfer, and with five runs and three seeds the between-run part of that interval is itself rough.</w:t>
      </w:r>
    </w:p>
    <w:p>
      <w:r>
        <w:rPr>
          <w:b w:val="0"/>
        </w:rPr>
        <w:t>GTJ is the more sobering half of the same table. Adapted GTJ vs. its random twin is −0.005 (p = 0.642, not significant), adapted FEI+GTJ vs. its random twin is only +0.001 (p = 0.455), and NMT-only GTJ is below its twin outright (0.840 vs 0.863). Two seeded re-runs of the adapted pre-training tell the same story: GTJ −0.017 (p = 0.879) and −0.023 (p = 0.944), FEI+GTJ −0.010 (p = 0.734) and −0.006 (p = 0.665) against the same twins, and the bootstrap over the three runs, the twins' random-init seeds and the test recordings gives −0.015 (95% CI [−0.040, 0.031], p = 0.671) for GTJ and −0.005 (95% CI [−0.033, 0.043], p = 0.431) for FEI+GTJ. Neither adapted GTJ nor adapted FEI+GTJ shows a pre-training gain in any of the three runs: consistent across three initialisations, which is not proof that none exists. FEI on its own, from the same adapted pre-training runs, stays above its random-init twin in all three (AUROC 0.840–0.859): +0.046 (p = 0.0085), +0.027 (p = 0.113) and +0.041 (p = 0.020). The same bootstrap over runs, random-init seeds and test recordings gives +0.038 (95% CI [−0.0003, 0.104], p = 0.026; the interval only just reaches zero), a little below the NMT-only runs' +0.048. That gain does not show in the fused comparison: the fused model's twin contains random-init GTJ, which on its own already reaches 0.863, above all three adapted FEI runs. The same collapse diagnostics as Experiment 3 show this isn't collapse in disguise: on the TUAB test recordings the adapted GTJ encoders of all three runs keep an embedding std of 0.33–0.39 (cosine 0.59–0.71), and every FEI encoder, NMT-only or adapted, re-runs included, 0.45–1.08 (0.64–0.84). NMT-only GTJ is the one compressed case (std 0.04–0.07, cosine 0.96–0.99, below every random-init twin's 0.11), far less so than the released checkpoint (Experiment 3) and in line with the spectrum shift described above.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are a sanity check that the pipeline recovers the expected BSI effect, and they make BSI a demanding reference baseline: alone it reaches 0.907 AUROC, and any self-supervised encoder here is judged against it,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 Experiment 8 is therefore a post-hoc repair of a distribution shift, tested on the same 15 subjects whose result prompted it, not an independent confirmation. Refitting the filter inside each fold (Table 19) rules out test-subject leakage, but the method itself was shaped by this cohort; whether it carries over needs a new cohort.</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against BSI's 0.907 (Δ = +0.019, 95% CI [−0.240, 0.280], p = 0.523): a similar point estimate, not significantly different either way under every cross-validation scheme we tried. We set no equivalence margin in advance, and an interval this wide cannot show equivalence either, so the cohort is simply too small to rank the two.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not a significant difference in either direction.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 Experiment 5's two seeded pre-training re-runs went through the same frozen pipeline: the same spectrally matched input, nothing re-fitted, and the same encoder gates (code/stroke_phaseB_reps.py; bootstrap comparisons only, no permutation tests). FEI+GTJ scores 0.963 and 0.981 LOSO AUROC (original run 0.926; random-init twin 0.944, BSI 0.907), FEI alone 1.000 and 0.981 (twin 0.907) and GTJ alone 0.833 and 0.833 (twin 0.852); FEI's re-runs beat their twin in 100% and 96% of the repeated 5-fold splits, GTJ's in 16% and 15%. Against BSI, FEI+GTJ's re-runs differ by +0.056 (p = 0.428) and +0.074 (p = 0.389), neither significant. The spread across the three runs is pre-training-seed variation only: all three are scored on the same 15 subjects, so they add no clinical sample and leave the subject-level intervals above as wide as they were. The re-run GTJ encoders pass the same gates as the original (BatchNorm |z| at most 0.38, embedding spread 0.74–0.82 of their spread on NMT, no constant dimensions).</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500-epoch fine-tuning under the authors' own recipe did not fix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(+0.048 AUROC averaged over five pre-training runs, 95% CI [0.015, 0.108]), and the fused model, re-pre-trained with that hospital's unlabelled recordings, scores close to the released checkpoint (difference not significant) and stays ahead of a classical baseline (Experiment 6), and, after a post-hoc input fix, scores close to a strong clinical baseline on a third, structurally different task, too close for 15 subjects to separate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(three-run mean 0.861 vs 0.834); on stroke, after a post-hoc input fix, its AUROC is close to BSI's, with far too few subjects to call them equivalent. Across hospitals, FEI's NMT-only pre-training still gives a significant gain (+0.048 AUROC averaged over five pre-training runs, 95% CI [0.015, 0.108]); the fused model, re-pre-trained with TUAB's unlabelled recordings, scores close to the released ViT-M there, with no significant difference.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as far as the paper's text specifies;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 xml:space="preserve">original run 0.865 ± 0.024 on NMT (three-run mean 0.861) vs. band power 0.786 and untrained twin 0.834 (pre-training +0.027, not significant); on TUAB, FEI's NMT-only pre-training +0.048 averaged over five runs (95% CI [0.015, 0.108]; original run +0.059); fused, with TUAB's unlabelled recordings added, close to released ViT-M (not significant)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 xml:space="preserve">Gate passed p = 0.003; BSI 0.907; FEI+GTJ 0.926 (seed re-runs 0.963, 0.981) after a post-hoc input fix, not separable from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to a different hospital's data without seeing any of its recordings in pre-training (the linear probe on top is still trained on that hospital's labels).</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it carries the corpus's own v3.0.1 README, and its directory layout and file counts (1,371 normal and 1,346 abnormal training recordings, 150 and 126 for evaluation) match that README's, but we never had a DUA-covered official copy to compare against, so we cannot show it is byte-for-byte identical to the licensed release (the SHA-256 of every file we used is in docs/act0_repro/raw_recordings_sha256.csv, Table 21).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scores close to a released large-scale checkpoint's linear-probe score on TUAB, with no significant difference.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score close to an established clinical measurement, with too few patients to tell the two apart, on a third task: telling stroke patients apart from healthy volunteers. On a different hospital's data, the frequency model's training still helped on its own, across five training runs. The rhythm model's training did not carry over, and retraining both models with that hospital's unlabelled recordings changed little: either way the combined model scored close to the released model and not measurably better than an untrained copy of itself.</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a private repository because it holds results computed on our unofficial TUAB copy (§5.5.3); course examiners can be given read access to the exact commit below. Its docs/act0_repro/ folder holds the fold, subset and cohort lists, the SHA-256 of every checkpoint and result file, and the pinned environment (Appendix §11). The code, checkpoints and results behind this report are commit d9cfacc0d36a19d7233b3a80792764c6c3bec6d0, which unlike a tag cannot be moved: git clone https://github.com/mashfiqurrahman2020-coder/EEG-VJEPA-act-0.git, then git checkout d9cfacc0d36a, then pip install -r docs/act0_repro/requirements-act0.txt under Python 3.9. Appendix §11.6 gives the pre-training commands and §11.9 the data each experiment uses. The report itself is in a later commit, under the tag act0-report-round15f. All 70 FEI/GTJ checkpoints are committed in the repository (code/*.pt, about 180 MB), so nothing needs a separate download except the data and the released EEG-VJEPA weights. Two kinds of reproduction follow. The saved checkpoints and predictions reproduce every reported number exactly. Re-training does not: the original FEI and GTJ runs set no random seed, so they cannot be regenerated bit for bit, and cuDNN kernels were left non-deterministic, so even the seeded re-runs should be expected to reproduce the results statistically, not bit for bit.</w:t>
      </w:r>
    </w:p>
    <w:p>
      <w:pPr>
        <w:pStyle w:val="Heading1"/>
        <w:keepNext/>
        <w:spacing w:before="240" w:after="120"/>
      </w:pPr>
      <w:r>
        <w:t>Project Management and Cost Analysis</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 Before any of that, the spectral-matching recipe should be frozen and applied unchanged to a new stroke cohort: Experiment 8 only shows it repairing the cohort it was designed on.</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70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38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 The pre-registration also fixes both cohorts. The primary cohort takes, for every subject, the same 285 s of pure rest before any task marker (the shortest rest block, PAC05's, is 285.0 s): stroke PAC02–PAC10 (9) against the dataset authors' own six controls. PAC01 and controls 02 and C01 are left out because they have at most 52 s of rest before the task. The sensitivity cohort follows the authors' definition, the first 300 s of every file (10 stroke, 8 controls); for PAC01, 02 and C01 that window includes task data, so it is reported as a sensitivity check only.</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AUROC close to BSI's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 Averaging the three runs within each fold before the test folds training-run variation into the fold means; a hierarchical model would estimate the two sources separately.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 Their per-file SHA-256 are listed instead, so any copy can be checked byte for byte.</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72</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38</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r>
        <w:trPr>
          <w:cantSplit/>
        </w:trPr>
        <w:tc>
          <w:tcPr>
            <w:tcW w:type="dxa" w:w="2600"/>
          </w:tcPr>
          <w:p>
            <w:r/>
            <w:r>
              <w:rPr>
                <w:sz w:val="18"/>
              </w:rPr>
              <w:t xml:space="preserve">raw_recordings_sha256.csv</w:t>
            </w:r>
          </w:p>
        </w:tc>
        <w:tc>
          <w:tcPr>
            <w:tcW w:type="dxa" w:w="900"/>
          </w:tcPr>
          <w:p>
            <w:r/>
            <w:r>
              <w:rPr>
                <w:sz w:val="18"/>
              </w:rPr>
              <w:t xml:space="preserve">5,501</w:t>
            </w:r>
          </w:p>
        </w:tc>
        <w:tc>
          <w:tcPr>
            <w:tcW w:type="dxa" w:w="5411"/>
          </w:tcPr>
          <w:p>
            <w:r/>
            <w:r>
              <w:rPr>
                <w:sz w:val="18"/>
              </w:rPr>
              <w:t xml:space="preserve">Dataset, path, size and SHA-256 of every file in the three raw-data folders: TUAB's 2,993 EDFs; NMT's 2,417 EDFs and its label file; the stroke folder's 90 files (27 BrainVision recordings plus the archive's other files and our download script and log) (code/act0_raw_hashes.py)</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NMT-only GTJ and FEI+GTJ re-runs on TUAB (Experiment 6)</w:t>
            </w:r>
          </w:p>
        </w:tc>
        <w:tc>
          <w:tcPr>
            <w:tcW w:type="dxa" w:w="3400"/>
          </w:tcPr>
          <w:p>
            <w:r/>
            <w:r>
              <w:rPr>
                <w:sz w:val="18"/>
              </w:rPr>
              <w:t xml:space="preserve">The TUAB re-runs went to FEI, whose NMT-only gain is the claim the report makes; NMT-only GTJ already scores below its random-init twin, and no conclusion rests on it.</w:t>
            </w:r>
          </w:p>
        </w:tc>
        <w:tc>
          <w:tcPr>
            <w:tcW w:type="dxa" w:w="3211"/>
          </w:tcPr>
          <w:p>
            <w:r/>
            <w:r>
              <w:rPr>
                <w:sz w:val="18"/>
              </w:rPr>
              <w:t xml:space="preserve">NMT-only GTJ and FEI+GTJ from the original run against their twins (Table 12); FEI over five runs and the adapted encoders over three (§5.3.3).</w:t>
            </w:r>
          </w:p>
        </w:tc>
      </w:tr>
      <w:tr>
        <w:trPr>
          <w:cantSplit/>
        </w:trPr>
        <w:tc>
          <w:tcPr>
            <w:tcW w:type="dxa" w:w="2300"/>
          </w:tcPr>
          <w:p>
            <w:r/>
            <w:r>
              <w:rPr>
                <w:sz w:val="18"/>
              </w:rPr>
              <w:t xml:space="preserve">Permutation tests for Experiment 8's pre-training re-runs</w:t>
            </w:r>
          </w:p>
        </w:tc>
        <w:tc>
          <w:tcPr>
            <w:tcW w:type="dxa" w:w="3400"/>
          </w:tcPr>
          <w:p>
            <w:r/>
            <w:r>
              <w:rPr>
                <w:sz w:val="18"/>
              </w:rPr>
              <w:t xml:space="preserve">Each needs 1,000 full LOSO re-runs per arm and run, the slowest part of Experiment 8; the re-runs were added in the last revision.</w:t>
            </w:r>
          </w:p>
        </w:tc>
        <w:tc>
          <w:tcPr>
            <w:tcW w:type="dxa" w:w="3211"/>
          </w:tcPr>
          <w:p>
            <w:r/>
            <w:r>
              <w:rPr>
                <w:sz w:val="18"/>
              </w:rPr>
              <w:t xml:space="preserve">Paired bootstrap comparisons of each re-run with the same random-init twin and with BSI over the 15 subjects (§5.3.3).</w:t>
            </w:r>
          </w:p>
        </w:tc>
      </w:tr>
      <w:tr>
        <w:trPr>
          <w:cantSplit/>
        </w:trPr>
        <w:tc>
          <w:tcPr>
            <w:tcW w:type="dxa" w:w="2300"/>
          </w:tcPr>
          <w:p>
            <w:r/>
            <w:r>
              <w:rPr>
                <w:sz w:val="18"/>
              </w:rPr>
              <w:t xml:space="preserve">Five random-init seeds for the TUAB and stroke twins</w:t>
            </w:r>
          </w:p>
        </w:tc>
        <w:tc>
          <w:tcPr>
            <w:tcW w:type="dxa" w:w="3400"/>
          </w:tcPr>
          <w:p>
            <w:r/>
            <w:r>
              <w:rPr>
                <w:sz w:val="18"/>
              </w:rPr>
              <w:t xml:space="preserve">Not run in the time left before submission; the three-seed twin ensemble is the reference behind every reported TUAB and stroke pre-training gain.</w:t>
            </w:r>
          </w:p>
        </w:tc>
        <w:tc>
          <w:tcPr>
            <w:tcW w:type="dxa" w:w="3211"/>
          </w:tcPr>
          <w:p>
            <w:r/>
            <w:r>
              <w:rPr>
                <w:sz w:val="18"/>
              </w:rPr>
              <w:t xml:space="preserve">Experiment 6's multi-run bootstrap resamples the three seeds as a level of its own (Table 24), so their variation enters the interval, if coarsely.</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r>
        <w:trPr>
          <w:cantSplit/>
        </w:trPr>
        <w:tc>
          <w:tcPr>
            <w:tcW w:type="dxa" w:w="2300"/>
          </w:tcPr>
          <w:p>
            <w:r/>
            <w:r>
              <w:rPr>
                <w:sz w:val="18"/>
              </w:rPr>
              <w:t xml:space="preserve">Saved embeddings (emb_*.npz, about 446 MB)</w:t>
            </w:r>
          </w:p>
        </w:tc>
        <w:tc>
          <w:tcPr>
            <w:tcW w:type="dxa" w:w="3400"/>
          </w:tcPr>
          <w:p>
            <w:r/>
            <w:r>
              <w:rPr>
                <w:sz w:val="18"/>
              </w:rPr>
              <w:t xml:space="preserve">Too large for the repository; each is a forward pass of a published checkpoint or of a seeded random-init twin.</w:t>
            </w:r>
          </w:p>
        </w:tc>
        <w:tc>
          <w:tcPr>
            <w:tcW w:type="dxa" w:w="3211"/>
          </w:tcPr>
          <w:p>
            <w:r/>
            <w:r>
              <w:rPr>
                <w:sz w:val="18"/>
              </w:rPr>
              <w:t xml:space="preserve">The repository holds the per-recording predictions (preds_*.npz, oof_*.npz, kf5_lpo_*.npz, 7.3 MB) behind every reported score, plus the checkpoints that regenerate the embeddings.</w:t>
            </w:r>
          </w:p>
        </w:tc>
      </w:tr>
      <w:tr>
        <w:trPr>
          <w:cantSplit/>
        </w:trPr>
        <w:tc>
          <w:tcPr>
            <w:tcW w:type="dxa" w:w="2300"/>
          </w:tcPr>
          <w:p>
            <w:r/>
            <w:r>
              <w:rPr>
                <w:sz w:val="18"/>
              </w:rPr>
              <w:t xml:space="preserve">An equivalence test between FEI+GTJ and BSI on stroke (Experiment 8)</w:t>
            </w:r>
          </w:p>
        </w:tc>
        <w:tc>
          <w:tcPr>
            <w:tcW w:type="dxa" w:w="3400"/>
          </w:tcPr>
          <w:p>
            <w:r/>
            <w:r>
              <w:rPr>
                <w:sz w:val="18"/>
              </w:rPr>
              <w:t xml:space="preserve">No equivalence margin was set in advance, and with 15 subjects the 95% CI of the difference (−0.240 to 0.280) is far wider than any useful margin.</w:t>
            </w:r>
          </w:p>
        </w:tc>
        <w:tc>
          <w:tcPr>
            <w:tcW w:type="dxa" w:w="3211"/>
          </w:tcPr>
          <w:p>
            <w:r/>
            <w:r>
              <w:rPr>
                <w:sz w:val="18"/>
              </w:rPr>
              <w:t xml:space="preserve">The two are reported as not separable, not as equivalent.</w:t>
            </w:r>
          </w:p>
        </w:tc>
      </w:tr>
      <w:tr>
        <w:trPr>
          <w:cantSplit/>
        </w:trPr>
        <w:tc>
          <w:tcPr>
            <w:tcW w:type="dxa" w:w="2300"/>
          </w:tcPr>
          <w:p>
            <w:r/>
            <w:r>
              <w:rPr>
                <w:sz w:val="18"/>
              </w:rPr>
              <w:t xml:space="preserve">The spectral-matching recipe, frozen, on a new stroke cohort (Experiment 8)</w:t>
            </w:r>
          </w:p>
        </w:tc>
        <w:tc>
          <w:tcPr>
            <w:tcW w:type="dxa" w:w="3400"/>
          </w:tcPr>
          <w:p>
            <w:r/>
            <w:r>
              <w:rPr>
                <w:sz w:val="18"/>
              </w:rPr>
              <w:t xml:space="preserve">We had no second stroke EEG cohort within the project.</w:t>
            </w:r>
          </w:p>
        </w:tc>
        <w:tc>
          <w:tcPr>
            <w:tcW w:type="dxa" w:w="3211"/>
          </w:tcPr>
          <w:p>
            <w:r/>
            <w:r>
              <w:rPr>
                <w:sz w:val="18"/>
              </w:rPr>
              <w:t xml:space="preserve">Experiment 8 is reported as a post-hoc repair on the cohort that prompted it; external validation is future work.</w:t>
            </w:r>
          </w:p>
        </w:tc>
      </w:tr>
      <w:tr>
        <w:trPr>
          <w:cantSplit/>
        </w:trPr>
        <w:tc>
          <w:tcPr>
            <w:tcW w:type="dxa" w:w="2300"/>
          </w:tcPr>
          <w:p>
            <w:r/>
            <w:r>
              <w:rPr>
                <w:sz w:val="18"/>
              </w:rPr>
              <w:t xml:space="preserve">An archived release with a DOI</w:t>
            </w:r>
          </w:p>
        </w:tc>
        <w:tc>
          <w:tcPr>
            <w:tcW w:type="dxa" w:w="3400"/>
          </w:tcPr>
          <w:p>
            <w:r/>
            <w:r>
              <w:rPr>
                <w:sz w:val="18"/>
              </w:rPr>
              <w:t xml:space="preserve">The repository is private because it holds results from our unofficial TUAB copy (§5.5.3), and a DOI archive (Zenodo, for example) is public.</w:t>
            </w:r>
          </w:p>
        </w:tc>
        <w:tc>
          <w:tcPr>
            <w:tcW w:type="dxa" w:w="3211"/>
          </w:tcPr>
          <w:p>
            <w:r/>
            <w:r>
              <w:rPr>
                <w:sz w:val="18"/>
              </w:rPr>
              <w:t xml:space="preserve">§7.2 gives the full 40-character commit SHA, which fixes the exact code, checkpoints and results; course examiners can be given read access to it.</w:t>
            </w:r>
          </w:p>
        </w:tc>
      </w:tr>
    </w:tbl>
    <w:p/>
    <w:p>
      <w:pPr>
        <w:pStyle w:val="Heading2"/>
        <w:keepNext/>
        <w:spacing w:before="180" w:after="120"/>
      </w:pPr>
      <w:r>
        <w:t>Pre-training Configuration and Commands</w:t>
      </w:r>
    </w:p>
    <w:p>
      <w:r>
        <w:rPr>
          <w:b w:val="0"/>
        </w:rPr>
        <w:t>Every encoder pre-trained for this report uses the recipe below. None of the runs uses a learning-rate schedule, mixed precision, gradient clipping or PyTorch's deterministic-algorithm flags, and each keeps its final (60th) epoch's weights, with no checkpoint selection. cuDNN kernels were left non-deterministic, so even the seeded runs are not bit-identical on a re-run. Random-init twins are built from the same architectures with torch seed = twin index (seeds 0–2 on TUAB and stroke, 0–4 on NMT); Experiment 6's multi-run bootstrap resamples the three TUAB seeds (Table 24).</w:t>
      </w:r>
    </w:p>
    <w:p>
      <w:pPr>
        <w:pStyle w:val="Caption"/>
        <w:keepNext/>
        <w:keepLines/>
        <w:jc w:val="left"/>
      </w:pPr>
      <w:r>
        <w:rPr>
          <w:i w:val="0"/>
          <w:sz w:val="18"/>
        </w:rPr>
        <w:t>Table 23: Pre-training data, seeds, recipe and command for every encoder trained in this report. All share AdamW (learning rate 2×10⁻⁴, weight decay 10⁻⁴), batch 128, 60 epochs, 4 random windows per recording per epoch, d = 256, h = 128 and target EMA 0.996.</w:t>
      </w:r>
    </w:p>
    <w:tbl>
      <w:tblPr>
        <w:tblStyle w:val="TableGrid"/>
        <w:tblW w:type="dxa" w:w="8911"/>
        <w:tblLayout w:type="fixed"/>
        <w:tblLook w:firstColumn="1" w:firstRow="1" w:lastColumn="0" w:lastRow="0" w:noHBand="0" w:noVBand="1" w:val="04A0"/>
      </w:tblPr>
      <w:tblGrid>
        <w:gridCol w:w="1900"/>
        <w:gridCol w:w="2600"/>
        <w:gridCol w:w="1900"/>
        <w:gridCol w:w="2511"/>
      </w:tblGrid>
      <w:tr>
        <w:trPr>
          <w:cantSplit/>
          <w:tblHeader/>
        </w:trPr>
        <w:tc>
          <w:tcPr>
            <w:tcW w:type="dxa" w:w="1900"/>
          </w:tcPr>
          <w:p>
            <w:pPr>
              <w:keepNext/>
            </w:pPr>
            <w:r/>
            <w:r>
              <w:rPr>
                <w:b/>
                <w:sz w:val="18"/>
              </w:rPr>
              <w:t xml:space="preserve">Encoders</w:t>
            </w:r>
          </w:p>
        </w:tc>
        <w:tc>
          <w:tcPr>
            <w:tcW w:type="dxa" w:w="2600"/>
          </w:tcPr>
          <w:p>
            <w:pPr>
              <w:keepNext/>
            </w:pPr>
            <w:r/>
            <w:r>
              <w:rPr>
                <w:b/>
                <w:sz w:val="18"/>
              </w:rPr>
              <w:t xml:space="preserve">Pre-training data and seeds</w:t>
            </w:r>
          </w:p>
        </w:tc>
        <w:tc>
          <w:tcPr>
            <w:tcW w:type="dxa" w:w="1900"/>
          </w:tcPr>
          <w:p>
            <w:pPr>
              <w:keepNext/>
            </w:pPr>
            <w:r/>
            <w:r>
              <w:rPr>
                <w:b/>
                <w:sz w:val="18"/>
              </w:rPr>
              <w:t xml:space="preserve">Window and branch settings</w:t>
            </w:r>
          </w:p>
        </w:tc>
        <w:tc>
          <w:tcPr>
            <w:tcW w:type="dxa" w:w="2511"/>
          </w:tcPr>
          <w:p>
            <w:pPr>
              <w:keepNext/>
            </w:pPr>
            <w:r/>
            <w:r>
              <w:rPr>
                <w:b/>
                <w:sz w:val="18"/>
              </w:rPr>
              <w:t xml:space="preserve">Command and checkpoints</w:t>
            </w:r>
          </w:p>
        </w:tc>
      </w:tr>
      <w:tr>
        <w:trPr>
          <w:cantSplit/>
        </w:trPr>
        <w:tc>
          <w:tcPr>
            <w:tcW w:type="dxa" w:w="1900"/>
          </w:tcPr>
          <w:p>
            <w:r/>
            <w:r>
              <w:rPr>
                <w:sz w:val="18"/>
              </w:rPr>
              <w:t xml:space="preserve">FEI, NMT only (Experiments 5, 6, 8)</w:t>
            </w:r>
          </w:p>
        </w:tc>
        <w:tc>
          <w:tcPr>
            <w:tcW w:type="dxa" w:w="2600"/>
          </w:tcPr>
          <w:p>
            <w:r/>
            <w:r>
              <w:rPr>
                <w:sz w:val="18"/>
              </w:rPr>
              <w:t xml:space="preserve">The NMT training folds of the seed-0 5-fold split (Table 21); no seed set (the original runs are unseeded)</w:t>
            </w:r>
          </w:p>
        </w:tc>
        <w:tc>
          <w:tcPr>
            <w:tcW w:type="dxa" w:w="1900"/>
          </w:tcPr>
          <w:p>
            <w:r/>
            <w:r>
              <w:rPr>
                <w:sz w:val="18"/>
              </w:rPr>
              <w:t xml:space="preserve">L = 1,000 samples (5 s at 200 Hz)</w:t>
            </w:r>
          </w:p>
        </w:tc>
        <w:tc>
          <w:tcPr>
            <w:tcW w:type="dxa" w:w="2511"/>
          </w:tcPr>
          <w:p>
            <w:r/>
            <w:r>
              <w:rPr>
                <w:sz w:val="18"/>
              </w:rPr>
              <w:t xml:space="preserve">python code/fei_pretrain.py --cv → fei_enc_cv_s0_f{k}.pt</w:t>
            </w:r>
          </w:p>
        </w:tc>
      </w:tr>
      <w:tr>
        <w:trPr>
          <w:cantSplit/>
        </w:trPr>
        <w:tc>
          <w:tcPr>
            <w:tcW w:type="dxa" w:w="1900"/>
          </w:tcPr>
          <w:p>
            <w:r/>
            <w:r>
              <w:rPr>
                <w:sz w:val="18"/>
              </w:rPr>
              <w:t xml:space="preserve">GTJ, NMT only (Experiments 5, 8)</w:t>
            </w:r>
          </w:p>
        </w:tc>
        <w:tc>
          <w:tcPr>
            <w:tcW w:type="dxa" w:w="2600"/>
          </w:tcPr>
          <w:p>
            <w:r/>
            <w:r>
              <w:rPr>
                <w:sz w:val="18"/>
              </w:rPr>
              <w:t xml:space="preserve">As for FEI; no seed set</w:t>
            </w:r>
          </w:p>
        </w:tc>
        <w:tc>
          <w:tcPr>
            <w:tcW w:type="dxa" w:w="1900"/>
          </w:tcPr>
          <w:p>
            <w:r/>
            <w:r>
              <w:rPr>
                <w:sz w:val="18"/>
              </w:rPr>
              <w:t xml:space="preserve">L = 4,000 (20 s), STFT n_fft 200, hop 100, context 60%, GRU</w:t>
            </w:r>
          </w:p>
        </w:tc>
        <w:tc>
          <w:tcPr>
            <w:tcW w:type="dxa" w:w="2511"/>
          </w:tcPr>
          <w:p>
            <w:r/>
            <w:r>
              <w:rPr>
                <w:sz w:val="18"/>
              </w:rPr>
              <w:t xml:space="preserve">python code/fei_branchC.py --cv --L 4000 --hop 100 --tag h20 → branchC_h20_enc_cv_s0_f{k}.pt</w:t>
            </w:r>
          </w:p>
        </w:tc>
      </w:tr>
      <w:tr>
        <w:trPr>
          <w:cantSplit/>
        </w:trPr>
        <w:tc>
          <w:tcPr>
            <w:tcW w:type="dxa" w:w="1900"/>
          </w:tcPr>
          <w:p>
            <w:r/>
            <w:r>
              <w:rPr>
                <w:sz w:val="18"/>
              </w:rPr>
              <w:t xml:space="preserve">FEI and GTJ replicates 1 and 2 (Experiment 5, Table 20; FEI also in Experiment 6, both in Experiment 8)</w:t>
            </w:r>
          </w:p>
        </w:tc>
        <w:tc>
          <w:tcPr>
            <w:tcW w:type="dxa" w:w="2600"/>
          </w:tcPr>
          <w:p>
            <w:r/>
            <w:r>
              <w:rPr>
                <w:sz w:val="18"/>
              </w:rPr>
              <w:t xml:space="preserve">As above;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code/act0_nmt_pretrain_replicate.py</w:t>
            </w:r>
          </w:p>
        </w:tc>
      </w:tr>
      <w:tr>
        <w:trPr>
          <w:cantSplit/>
        </w:trPr>
        <w:tc>
          <w:tcPr>
            <w:tcW w:type="dxa" w:w="1900"/>
          </w:tcPr>
          <w:p>
            <w:r/>
            <w:r>
              <w:rPr>
                <w:sz w:val="18"/>
              </w:rPr>
              <w:t xml:space="preserve">FEI replicates 3 and 4 (Experiment 6 only)</w:t>
            </w:r>
          </w:p>
        </w:tc>
        <w:tc>
          <w:tcPr>
            <w:tcW w:type="dxa" w:w="2600"/>
          </w:tcPr>
          <w:p>
            <w:r/>
            <w:r>
              <w:rPr>
                <w:sz w:val="18"/>
              </w:rPr>
              <w:t xml:space="preserve">As for replicates 1 and 2</w:t>
            </w:r>
          </w:p>
        </w:tc>
        <w:tc>
          <w:tcPr>
            <w:tcW w:type="dxa" w:w="1900"/>
          </w:tcPr>
          <w:p>
            <w:r/>
            <w:r>
              <w:rPr>
                <w:sz w:val="18"/>
              </w:rPr>
              <w:t xml:space="preserve">As for FEI</w:t>
            </w:r>
          </w:p>
        </w:tc>
        <w:tc>
          <w:tcPr>
            <w:tcW w:type="dxa" w:w="2511"/>
          </w:tcPr>
          <w:p>
            <w:r/>
            <w:r>
              <w:rPr>
                <w:sz w:val="18"/>
              </w:rPr>
              <w:t xml:space="preserve">python code/tuab_fei_reps.py → fei_rep{3,4}_enc_cv_s0_f{k}.pt</w:t>
            </w:r>
          </w:p>
        </w:tc>
      </w:tr>
      <w:tr>
        <w:trPr>
          <w:cantSplit/>
        </w:trPr>
        <w:tc>
          <w:tcPr>
            <w:tcW w:type="dxa" w:w="1900"/>
          </w:tcPr>
          <w:p>
            <w:r/>
            <w:r>
              <w:rPr>
                <w:sz w:val="18"/>
              </w:rPr>
              <w:t xml:space="preserve">FEI and GTJ, joint NMT+TUAB (Experiment 6)</w:t>
            </w:r>
          </w:p>
        </w:tc>
        <w:tc>
          <w:tcPr>
            <w:tcW w:type="dxa" w:w="2600"/>
          </w:tcPr>
          <w:p>
            <w:r/>
            <w:r>
              <w:rPr>
                <w:sz w:val="18"/>
              </w:rPr>
              <w:t xml:space="preserve">NMT training fold k plus TUAB's 2,717 unlabelled training recordings; torch seed = k</w:t>
            </w:r>
          </w:p>
        </w:tc>
        <w:tc>
          <w:tcPr>
            <w:tcW w:type="dxa" w:w="1900"/>
          </w:tcPr>
          <w:p>
            <w:r/>
            <w:r>
              <w:rPr>
                <w:sz w:val="18"/>
              </w:rPr>
              <w:t xml:space="preserve">As above</w:t>
            </w:r>
          </w:p>
        </w:tc>
        <w:tc>
          <w:tcPr>
            <w:tcW w:type="dxa" w:w="2511"/>
          </w:tcPr>
          <w:p>
            <w:r/>
            <w:r>
              <w:rPr>
                <w:sz w:val="18"/>
              </w:rPr>
              <w:t xml:space="preserve">python code/feic_joint.py → fei_joint_enc_cv_s0_f{k}.pt, branchC_h20_joint_enc_cv_s0_f{k}.pt</w:t>
            </w:r>
          </w:p>
        </w:tc>
      </w:tr>
      <w:tr>
        <w:trPr>
          <w:cantSplit/>
        </w:trPr>
        <w:tc>
          <w:tcPr>
            <w:tcW w:type="dxa" w:w="1900"/>
          </w:tcPr>
          <w:p>
            <w:r/>
            <w:r>
              <w:rPr>
                <w:sz w:val="18"/>
              </w:rPr>
              <w:t xml:space="preserve">FEI and GTJ, joint NMT+TUAB, replicates 1 and 2 (Experiment 6)</w:t>
            </w:r>
          </w:p>
        </w:tc>
        <w:tc>
          <w:tcPr>
            <w:tcW w:type="dxa" w:w="2600"/>
          </w:tcPr>
          <w:p>
            <w:r/>
            <w:r>
              <w:rPr>
                <w:sz w:val="18"/>
              </w:rPr>
              <w:t xml:space="preserve">As for the joint encoders;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code/tuab_feic_joint_reps.py → fei_joint_rep{r}_enc_cv_s0_f{k}.pt, branchC_h20_joint_rep{r}_enc_cv_s0_f{k}.pt</w:t>
            </w:r>
          </w:p>
        </w:tc>
      </w:tr>
    </w:tbl>
    <w:p/>
    <w:p>
      <w:pPr>
        <w:pStyle w:val="Heading2"/>
        <w:keepNext/>
        <w:spacing w:before="180" w:after="120"/>
      </w:pPr>
      <w:r>
        <w:t>Statistical Procedures</w:t>
      </w:r>
    </w:p>
    <w:p>
      <w:pPr>
        <w:pStyle w:val="Caption"/>
        <w:keepNext/>
        <w:keepLines/>
        <w:jc w:val="left"/>
      </w:pPr>
      <w:r>
        <w:rPr>
          <w:i w:val="0"/>
          <w:sz w:val="18"/>
        </w:rPr>
        <w:t>Table 24: The statistical test behind each kind of comparison in this report.</w:t>
      </w:r>
    </w:p>
    <w:tbl>
      <w:tblPr>
        <w:tblStyle w:val="TableGrid"/>
        <w:tblW w:type="dxa" w:w="8911"/>
        <w:tblLayout w:type="fixed"/>
        <w:tblLook w:firstColumn="1" w:firstRow="1" w:lastColumn="0" w:lastRow="0" w:noHBand="0" w:noVBand="1" w:val="04A0"/>
      </w:tblPr>
      <w:tblGrid>
        <w:gridCol w:w="2200"/>
        <w:gridCol w:w="3700"/>
        <w:gridCol w:w="3011"/>
      </w:tblGrid>
      <w:tr>
        <w:trPr>
          <w:cantSplit/>
          <w:tblHeader/>
        </w:trPr>
        <w:tc>
          <w:tcPr>
            <w:tcW w:type="dxa" w:w="2200"/>
          </w:tcPr>
          <w:p>
            <w:pPr>
              <w:keepNext/>
            </w:pPr>
            <w:r/>
            <w:r>
              <w:rPr>
                <w:b/>
                <w:sz w:val="18"/>
              </w:rPr>
              <w:t xml:space="preserve">Comparison</w:t>
            </w:r>
          </w:p>
        </w:tc>
        <w:tc>
          <w:tcPr>
            <w:tcW w:type="dxa" w:w="3700"/>
          </w:tcPr>
          <w:p>
            <w:pPr>
              <w:keepNext/>
            </w:pPr>
            <w:r/>
            <w:r>
              <w:rPr>
                <w:b/>
                <w:sz w:val="18"/>
              </w:rPr>
              <w:t xml:space="preserve">Procedure</w:t>
            </w:r>
          </w:p>
        </w:tc>
        <w:tc>
          <w:tcPr>
            <w:tcW w:type="dxa" w:w="3011"/>
          </w:tcPr>
          <w:p>
            <w:pPr>
              <w:keepNext/>
            </w:pPr>
            <w:r/>
            <w:r>
              <w:rPr>
                <w:b/>
                <w:sz w:val="18"/>
              </w:rPr>
              <w:t xml:space="preserve">Where used</w:t>
            </w:r>
          </w:p>
        </w:tc>
      </w:tr>
      <w:tr>
        <w:trPr>
          <w:cantSplit/>
        </w:trPr>
        <w:tc>
          <w:tcPr>
            <w:tcW w:type="dxa" w:w="2200"/>
          </w:tcPr>
          <w:p>
            <w:r/>
            <w:r>
              <w:rPr>
                <w:sz w:val="18"/>
              </w:rPr>
              <w:t xml:space="preserve">Confidence interval of one model's AUROC or BAcc</w:t>
            </w:r>
          </w:p>
        </w:tc>
        <w:tc>
          <w:tcPr>
            <w:tcW w:type="dxa" w:w="3700"/>
          </w:tcPr>
          <w:p>
            <w:r/>
            <w:r>
              <w:rPr>
                <w:sz w:val="18"/>
              </w:rPr>
              <w:t xml:space="preserve">Percentile bootstrap over test recordings (subjects on stroke), 2,000 resamples, seed 0, 2.5th–97.5th percentiles (code/act0_metrics.py)</w:t>
            </w:r>
          </w:p>
        </w:tc>
        <w:tc>
          <w:tcPr>
            <w:tcW w:type="dxa" w:w="3011"/>
          </w:tcPr>
          <w:p>
            <w:r/>
            <w:r>
              <w:rPr>
                <w:sz w:val="18"/>
              </w:rPr>
              <w:t xml:space="preserve">Experiments 4, 6, 8</w:t>
            </w:r>
          </w:p>
        </w:tc>
      </w:tr>
      <w:tr>
        <w:trPr>
          <w:cantSplit/>
        </w:trPr>
        <w:tc>
          <w:tcPr>
            <w:tcW w:type="dxa" w:w="2200"/>
          </w:tcPr>
          <w:p>
            <w:r/>
            <w:r>
              <w:rPr>
                <w:sz w:val="18"/>
              </w:rPr>
              <w:t xml:space="preserve">Two models on the same test set (Δ AUROC)</w:t>
            </w:r>
          </w:p>
        </w:tc>
        <w:tc>
          <w:tcPr>
            <w:tcW w:type="dxa" w:w="3700"/>
          </w:tcPr>
          <w:p>
            <w:r/>
            <w:r>
              <w:rPr>
                <w:sz w:val="18"/>
              </w:rPr>
              <w:t xml:space="preserve">Paired bootstrap: both models scored on the same 2,000 resamples; CI from the percentiles of Δ, and p = share of resamples with Δ ≤ 0 (one-sided)</w:t>
            </w:r>
          </w:p>
        </w:tc>
        <w:tc>
          <w:tcPr>
            <w:tcW w:type="dxa" w:w="3011"/>
          </w:tcPr>
          <w:p>
            <w:r/>
            <w:r>
              <w:rPr>
                <w:sz w:val="18"/>
              </w:rPr>
              <w:t xml:space="preserve">Experiments 6 and 8 (e.g. FEI+GTJ − ViT-M on TUAB, p = 0.147)</w:t>
            </w:r>
          </w:p>
        </w:tc>
      </w:tr>
      <w:tr>
        <w:trPr>
          <w:cantSplit/>
        </w:trPr>
        <w:tc>
          <w:tcPr>
            <w:tcW w:type="dxa" w:w="2200"/>
          </w:tcPr>
          <w:p>
            <w:r/>
            <w:r>
              <w:rPr>
                <w:sz w:val="18"/>
              </w:rPr>
              <w:t xml:space="preserve">Mean pre-training gain over several pre-training runs (Δ AUROC)</w:t>
            </w:r>
          </w:p>
        </w:tc>
        <w:tc>
          <w:tcPr>
            <w:tcW w:type="dxa" w:w="3700"/>
          </w:tcPr>
          <w:p>
            <w:r/>
            <w:r>
              <w:rPr>
                <w:sz w:val="18"/>
              </w:rPr>
              <w:t xml:space="preserve">Multilevel bootstrap, 2,000 resamples, seed 0: each resample draws, with replacement, the pre-training runs, the random-init twin's three seeds (re-ensembled) and the test recordings; Δ = mean AUROC of the drawn runs minus the drawn twin ensemble's AUROC; CI from the percentiles of Δ, p = share with Δ ≤ 0 (pooled() in code/tuab_fei_reps.py). Against the released ViT-M, one fixed model, only runs and recordings are drawn.</w:t>
            </w:r>
          </w:p>
        </w:tc>
        <w:tc>
          <w:tcPr>
            <w:tcW w:type="dxa" w:w="3011"/>
          </w:tcPr>
          <w:p>
            <w:r/>
            <w:r>
              <w:rPr>
                <w:sz w:val="18"/>
              </w:rPr>
              <w:t xml:space="preserve">Experiment 6 (five NMT-only FEI runs; three adapted runs)</w:t>
            </w:r>
          </w:p>
        </w:tc>
      </w:tr>
      <w:tr>
        <w:trPr>
          <w:cantSplit/>
        </w:trPr>
        <w:tc>
          <w:tcPr>
            <w:tcW w:type="dxa" w:w="2200"/>
          </w:tcPr>
          <w:p>
            <w:r/>
            <w:r>
              <w:rPr>
                <w:sz w:val="18"/>
              </w:rPr>
              <w:t xml:space="preserve">Pre-training re-runs on the stroke cohort</w:t>
            </w:r>
          </w:p>
        </w:tc>
        <w:tc>
          <w:tcPr>
            <w:tcW w:type="dxa" w:w="3700"/>
          </w:tcPr>
          <w:p>
            <w:r/>
            <w:r>
              <w:rPr>
                <w:sz w:val="18"/>
              </w:rPr>
              <w:t xml:space="preserve">Each run scored on its own with the paired bootstrap over the same 15 subjects; runs are not pooled, so their spread (seed variation) stays separate from subject-level uncertainty.</w:t>
            </w:r>
          </w:p>
        </w:tc>
        <w:tc>
          <w:tcPr>
            <w:tcW w:type="dxa" w:w="3011"/>
          </w:tcPr>
          <w:p>
            <w:r/>
            <w:r>
              <w:rPr>
                <w:sz w:val="18"/>
              </w:rPr>
              <w:t xml:space="preserve">Experiment 8</w:t>
            </w:r>
          </w:p>
        </w:tc>
      </w:tr>
      <w:tr>
        <w:trPr>
          <w:cantSplit/>
        </w:trPr>
        <w:tc>
          <w:tcPr>
            <w:tcW w:type="dxa" w:w="2200"/>
          </w:tcPr>
          <w:p>
            <w:r/>
            <w:r>
              <w:rPr>
                <w:sz w:val="18"/>
              </w:rPr>
              <w:t xml:space="preserve">Released vs random-weight ViT-M</w:t>
            </w:r>
          </w:p>
        </w:tc>
        <w:tc>
          <w:tcPr>
            <w:tcW w:type="dxa" w:w="3700"/>
          </w:tcPr>
          <w:p>
            <w:r/>
            <w:r>
              <w:rPr>
                <w:sz w:val="18"/>
              </w:rPr>
              <w:t xml:space="preserve">One-sided exact Mann–Whitney U on per-run final AUROCs: 5 released-checkpoint runs (one head per training subset, s0–s4) against 3 random-weight runs (s0–s2, each with its own random weights, torch seed = subset number). Alternative: released below random in Experiment 1, above random in Experiment 4. With 5 and 3 runs the smallest possible p is 1/56 = 0.018; two-sided p-values are twice the one-sided ones.</w:t>
            </w:r>
          </w:p>
        </w:tc>
        <w:tc>
          <w:tcPr>
            <w:tcW w:type="dxa" w:w="3011"/>
          </w:tcPr>
          <w:p>
            <w:r/>
            <w:r>
              <w:rPr>
                <w:sz w:val="18"/>
              </w:rPr>
              <w:t xml:space="preserve">Experiments 1 and 4</w:t>
            </w:r>
          </w:p>
        </w:tc>
      </w:tr>
      <w:tr>
        <w:trPr>
          <w:cantSplit/>
        </w:trPr>
        <w:tc>
          <w:tcPr>
            <w:tcW w:type="dxa" w:w="2200"/>
          </w:tcPr>
          <w:p>
            <w:r/>
            <w:r>
              <w:rPr>
                <w:sz w:val="18"/>
              </w:rPr>
              <w:t xml:space="preserve">Fine-tuned vs from-scratch ViT-M on the same five training subsets</w:t>
            </w:r>
          </w:p>
        </w:tc>
        <w:tc>
          <w:tcPr>
            <w:tcW w:type="dxa" w:w="3700"/>
          </w:tcPr>
          <w:p>
            <w:r/>
            <w:r>
              <w:rPr>
                <w:sz w:val="18"/>
              </w:rPr>
              <w:t xml:space="preserve">Two-sided paired t-test and Wilcoxon signed-rank over the 5 subsets. Any two subsets share 98–134 of their 546 recordings, which both tests ignore, so their p-values lean small; at p = 0.81 that cannot change the conclusion.</w:t>
            </w:r>
          </w:p>
        </w:tc>
        <w:tc>
          <w:tcPr>
            <w:tcW w:type="dxa" w:w="3011"/>
          </w:tcPr>
          <w:p>
            <w:r/>
            <w:r>
              <w:rPr>
                <w:sz w:val="18"/>
              </w:rPr>
              <w:t xml:space="preserve">Experiment 2</w:t>
            </w:r>
          </w:p>
        </w:tc>
      </w:tr>
      <w:tr>
        <w:trPr>
          <w:cantSplit/>
        </w:trPr>
        <w:tc>
          <w:tcPr>
            <w:tcW w:type="dxa" w:w="2200"/>
          </w:tcPr>
          <w:p>
            <w:r/>
            <w:r>
              <w:rPr>
                <w:sz w:val="18"/>
              </w:rPr>
              <w:t xml:space="preserve">Two arms on the same NMT folds</w:t>
            </w:r>
          </w:p>
        </w:tc>
        <w:tc>
          <w:tcPr>
            <w:tcW w:type="dxa" w:w="3700"/>
          </w:tcPr>
          <w:p>
            <w:r/>
            <w:r>
              <w:rPr>
                <w:sz w:val="18"/>
              </w:rPr>
              <w:t xml:space="preserve">Paired t-test over the 5 folds; Appendix §11.3 repeats all eleven with the Nadeau–Bengio corrected t-test and Holm's adjustment</w:t>
            </w:r>
          </w:p>
        </w:tc>
        <w:tc>
          <w:tcPr>
            <w:tcW w:type="dxa" w:w="3011"/>
          </w:tcPr>
          <w:p>
            <w:r/>
            <w:r>
              <w:rPr>
                <w:sz w:val="18"/>
              </w:rPr>
              <w:t xml:space="preserve">Experiment 5 (Table 20)</w:t>
            </w:r>
          </w:p>
        </w:tc>
      </w:tr>
      <w:tr>
        <w:trPr>
          <w:cantSplit/>
        </w:trPr>
        <w:tc>
          <w:tcPr>
            <w:tcW w:type="dxa" w:w="2200"/>
          </w:tcPr>
          <w:p>
            <w:r/>
            <w:r>
              <w:rPr>
                <w:sz w:val="18"/>
              </w:rPr>
              <w:t xml:space="preserve">Stroke: one arm against chance</w:t>
            </w:r>
          </w:p>
        </w:tc>
        <w:tc>
          <w:tcPr>
            <w:tcW w:type="dxa" w:w="3700"/>
          </w:tcPr>
          <w:p>
            <w:r/>
            <w:r>
              <w:rPr>
                <w:sz w:val="18"/>
              </w:rPr>
              <w:t xml:space="preserve">Label permutation, the full LOSO re-run for each of 1,000 shuffles; p = (1 + #null ≥ observed) / 1,001</w:t>
            </w:r>
          </w:p>
        </w:tc>
        <w:tc>
          <w:tcPr>
            <w:tcW w:type="dxa" w:w="3011"/>
          </w:tcPr>
          <w:p>
            <w:r/>
            <w:r>
              <w:rPr>
                <w:sz w:val="18"/>
              </w:rPr>
              <w:t xml:space="preserve">Experiments 7 and 8</w:t>
            </w:r>
          </w:p>
        </w:tc>
      </w:tr>
      <w:tr>
        <w:trPr>
          <w:cantSplit/>
        </w:trPr>
        <w:tc>
          <w:tcPr>
            <w:tcW w:type="dxa" w:w="2200"/>
          </w:tcPr>
          <w:p>
            <w:r/>
            <w:r>
              <w:rPr>
                <w:sz w:val="18"/>
              </w:rPr>
              <w:t xml:space="preserve">Stroke: robustness to the split</w:t>
            </w:r>
          </w:p>
        </w:tc>
        <w:tc>
          <w:tcPr>
            <w:tcW w:type="dxa" w:w="3700"/>
          </w:tcPr>
          <w:p>
            <w:r/>
            <w:r>
              <w:rPr>
                <w:sz w:val="18"/>
              </w:rPr>
              <w:t xml:space="preserve">100 repeats of stratified 5-fold with the same splits for every arm (win rate = share of repeats arm A beats arm B; permutation p from 200 shuffles × 10 repeats); leave-pair-out with a stratified 2,000-resample bootstrap over subjects</w:t>
            </w:r>
          </w:p>
        </w:tc>
        <w:tc>
          <w:tcPr>
            <w:tcW w:type="dxa" w:w="3011"/>
          </w:tcPr>
          <w:p>
            <w:r/>
            <w:r>
              <w:rPr>
                <w:sz w:val="18"/>
              </w:rPr>
              <w:t xml:space="preserve">Experiment 8 (Table 15, Figure 19)</w:t>
            </w:r>
          </w:p>
        </w:tc>
      </w:tr>
      <w:tr>
        <w:trPr>
          <w:cantSplit/>
        </w:trPr>
        <w:tc>
          <w:tcPr>
            <w:tcW w:type="dxa" w:w="2200"/>
          </w:tcPr>
          <w:p>
            <w:r/>
            <w:r>
              <w:rPr>
                <w:sz w:val="18"/>
              </w:rPr>
              <w:t xml:space="preserve">Stroke: classical features, stroke vs control</w:t>
            </w:r>
          </w:p>
        </w:tc>
        <w:tc>
          <w:tcPr>
            <w:tcW w:type="dxa" w:w="3700"/>
          </w:tcPr>
          <w:p>
            <w:r/>
            <w:r>
              <w:rPr>
                <w:sz w:val="18"/>
              </w:rPr>
              <w:t xml:space="preserve">Two-sided Mann–Whitney U; the pre-declared gate is broadband BSI at p &lt; 0.05</w:t>
            </w:r>
          </w:p>
        </w:tc>
        <w:tc>
          <w:tcPr>
            <w:tcW w:type="dxa" w:w="3011"/>
          </w:tcPr>
          <w:p>
            <w:r/>
            <w:r>
              <w:rPr>
                <w:sz w:val="18"/>
              </w:rPr>
              <w:t xml:space="preserve">Experiment 7 (Table 13)</w:t>
            </w:r>
          </w:p>
        </w:tc>
      </w:tr>
    </w:tbl>
    <w:p/>
    <w:p>
      <w:r>
        <w:rPr>
          <w:b w:val="0"/>
        </w:rPr>
        <w:t>Only Experiment 5's eleven NMT comparisons are adjusted for multiplicity (Holm, Table 20). The stroke pre-registration fixed the gate and three paired comparisons, all involving the released ViT-M (ViT-M+BSI vs BSI, ViT-M vs its random twin, FEI+GTJ vs ViT-M) on the pre-registered input; Experiment 8's comparisons on the spectrum-matched input were fixed in POSTHOC.md before any LOSO run on that input, but after the pre-registration. Every other p-value in this report is exploratory and unadjusted: evidence about that one comparison, not a claim about the whole family.</w:t>
      </w:r>
    </w:p>
    <w:p>
      <w:pPr>
        <w:pStyle w:val="Heading2"/>
        <w:keepNext/>
        <w:spacing w:before="180" w:after="120"/>
      </w:pPr>
      <w:r>
        <w:t>Stroke Spectral-Matching Filter</w:t>
      </w:r>
    </w:p>
    <w:p>
      <w:r>
        <w:rPr>
          <w:b w:val="0"/>
        </w:rPr>
        <w:t>Experiment 8's input is built by code/stroke_phaseB_clean.py, following runs/act0/phaseB_clean/POSTHOC.md, which was written before any LOSO run on this input. Each recording gets the dataset authors' bad-channel interpolation, a common average reference, the 19 NMT channels (T7/T8/P7/P8 renamed T3/T4/T5/T6), resampling to 200 Hz with no band-pass, and a per-channel z-score. The target is NMT's mean log10 Welch spectrum over 100 fixed-random NMT training recordings (first 300 s; 800-sample Welch segments, i.e. 0.25 Hz bins; 10⁻²⁰ added before the log).</w:t>
      </w:r>
    </w:p>
    <w:p>
      <w:r>
        <w:rPr>
          <w:b w:val="0"/>
        </w:rPr>
        <w:t>The filter is a log10 amplitude gain per channel on that 0.25 Hz grid. It starts at zero and is updated four times: shape every subject, z-score again, average the cohort's log-spectra, and add half the remaining gap to NMT's. Shaping multiplies the recording's FFT by the gain, linearly interpolated onto the FFT's frequency grid with no smoothing; the gain is real, so the filter changes no phase (zero-phase). Each recording is reflect-padded by 800 samples at both ends before the FFT and trimmed after it. The result is z-scored again and cut into non-overlapping 2.5 s frames.</w:t>
      </w:r>
    </w:p>
    <w:p>
      <w:r>
        <w:rPr>
          <w:b w:val="0"/>
        </w:rPr>
        <w:t>One filter per channel is fitted on all 15 subjects pooled, without labels, and the same filter is applied to every subject (Experiment 8); Table 19 refits it inside each LOSO fold on the 14 training subjects. Four gates were fixed in POSTHOC.md and reported whether or not they passed: the matched cohort's mean log-spectrum within 0.25 decades of NMT's at every channel and bin from 0.5 to 99 Hz; GTJ's input BatchNorm |z| at most 1.5 in every 1 Hz bin, against each NMT checkpoint's running statistics; GTJ's across-subject embedding spread at least half its spread on 15 NMT evaluation recordings; and at most 5% of its embedding dimensions constant (std &lt; 10⁻⁵). All four passed (§5.3.3).</w:t>
      </w:r>
    </w:p>
    <w:p>
      <w:pPr>
        <w:pStyle w:val="Heading2"/>
        <w:keepNext/>
        <w:spacing w:before="180" w:after="120"/>
      </w:pPr>
      <w:r>
        <w:t>Data Used by Each Experiment</w:t>
      </w:r>
    </w:p>
    <w:p>
      <w:pPr>
        <w:pStyle w:val="Caption"/>
        <w:keepNext/>
        <w:keepLines/>
        <w:jc w:val="left"/>
      </w:pPr>
      <w:r>
        <w:rPr>
          <w:i w:val="0"/>
          <w:sz w:val="18"/>
        </w:rPr>
        <w:t>Table 25: Which recordings each experiment's encoder was pre-trained on, which trained its classifier, and which scored it. No evaluation recording is used for pre-training or probe training.</w:t>
      </w:r>
    </w:p>
    <w:tbl>
      <w:tblPr>
        <w:tblStyle w:val="TableGrid"/>
        <w:tblW w:type="dxa" w:w="8911"/>
        <w:tblLayout w:type="fixed"/>
        <w:tblLook w:firstColumn="1" w:firstRow="1" w:lastColumn="0" w:lastRow="0" w:noHBand="0" w:noVBand="1" w:val="04A0"/>
      </w:tblPr>
      <w:tblGrid>
        <w:gridCol w:w="1500"/>
        <w:gridCol w:w="2700"/>
        <w:gridCol w:w="2500"/>
        <w:gridCol w:w="2211"/>
      </w:tblGrid>
      <w:tr>
        <w:trPr>
          <w:cantSplit/>
          <w:tblHeader/>
        </w:trPr>
        <w:tc>
          <w:tcPr>
            <w:tcW w:type="dxa" w:w="1500"/>
          </w:tcPr>
          <w:p>
            <w:pPr>
              <w:keepNext/>
            </w:pPr>
            <w:r/>
            <w:r>
              <w:rPr>
                <w:b/>
                <w:sz w:val="18"/>
              </w:rPr>
              <w:t xml:space="preserve">Experiment</w:t>
            </w:r>
          </w:p>
        </w:tc>
        <w:tc>
          <w:tcPr>
            <w:tcW w:type="dxa" w:w="2700"/>
          </w:tcPr>
          <w:p>
            <w:pPr>
              <w:keepNext/>
            </w:pPr>
            <w:r/>
            <w:r>
              <w:rPr>
                <w:b/>
                <w:sz w:val="18"/>
              </w:rPr>
              <w:t xml:space="preserve">Encoder pre-training</w:t>
            </w:r>
          </w:p>
        </w:tc>
        <w:tc>
          <w:tcPr>
            <w:tcW w:type="dxa" w:w="2500"/>
          </w:tcPr>
          <w:p>
            <w:pPr>
              <w:keepNext/>
            </w:pPr>
            <w:r/>
            <w:r>
              <w:rPr>
                <w:b/>
                <w:sz w:val="18"/>
              </w:rPr>
              <w:t xml:space="preserve">Classifier training</w:t>
            </w:r>
          </w:p>
        </w:tc>
        <w:tc>
          <w:tcPr>
            <w:tcW w:type="dxa" w:w="2211"/>
          </w:tcPr>
          <w:p>
            <w:pPr>
              <w:keepNext/>
            </w:pPr>
            <w:r/>
            <w:r>
              <w:rPr>
                <w:b/>
                <w:sz w:val="18"/>
              </w:rPr>
              <w:t xml:space="preserve">Evaluation</w:t>
            </w:r>
          </w:p>
        </w:tc>
      </w:tr>
      <w:tr>
        <w:trPr>
          <w:cantSplit/>
        </w:trPr>
        <w:tc>
          <w:tcPr>
            <w:tcW w:type="dxa" w:w="1500"/>
          </w:tcPr>
          <w:p>
            <w:r/>
            <w:r>
              <w:rPr>
                <w:sz w:val="18"/>
              </w:rPr>
              <w:t xml:space="preserve">1, 2, 4</w:t>
            </w:r>
          </w:p>
        </w:tc>
        <w:tc>
          <w:tcPr>
            <w:tcW w:type="dxa" w:w="2700"/>
          </w:tcPr>
          <w:p>
            <w:r/>
            <w:r>
              <w:rPr>
                <w:sz w:val="18"/>
              </w:rPr>
              <w:t xml:space="preserve">Released ViT-M: the authors' own pre-training; random-weight twins: none</w:t>
            </w:r>
          </w:p>
        </w:tc>
        <w:tc>
          <w:tcPr>
            <w:tcW w:type="dxa" w:w="2500"/>
          </w:tcPr>
          <w:p>
            <w:r/>
            <w:r>
              <w:rPr>
                <w:sz w:val="18"/>
              </w:rPr>
              <w:t xml:space="preserve">TUAB, the five 546-recording training subsets and (Experiment 4) the full 2,717-recording training set; Experiment 2 fine-tunes the whole network on the same subsets</w:t>
            </w:r>
          </w:p>
        </w:tc>
        <w:tc>
          <w:tcPr>
            <w:tcW w:type="dxa" w:w="2211"/>
          </w:tcPr>
          <w:p>
            <w:r/>
            <w:r>
              <w:rPr>
                <w:sz w:val="18"/>
              </w:rPr>
              <w:t xml:space="preserve">TUAB official eval set (276)</w:t>
            </w:r>
          </w:p>
        </w:tc>
      </w:tr>
      <w:tr>
        <w:trPr>
          <w:cantSplit/>
        </w:trPr>
        <w:tc>
          <w:tcPr>
            <w:tcW w:type="dxa" w:w="1500"/>
          </w:tcPr>
          <w:p>
            <w:r/>
            <w:r>
              <w:rPr>
                <w:sz w:val="18"/>
              </w:rPr>
              <w:t xml:space="preserve">3</w:t>
            </w:r>
          </w:p>
        </w:tc>
        <w:tc>
          <w:tcPr>
            <w:tcW w:type="dxa" w:w="2700"/>
          </w:tcPr>
          <w:p>
            <w:r/>
            <w:r>
              <w:rPr>
                <w:sz w:val="18"/>
              </w:rPr>
              <w:t xml:space="preserve">Released ViT-M and its random-weight twins</w:t>
            </w:r>
          </w:p>
        </w:tc>
        <w:tc>
          <w:tcPr>
            <w:tcW w:type="dxa" w:w="2500"/>
          </w:tcPr>
          <w:p>
            <w:r/>
            <w:r>
              <w:rPr>
                <w:sz w:val="18"/>
              </w:rPr>
              <w:t xml:space="preserve">None (no classifier)</w:t>
            </w:r>
          </w:p>
        </w:tc>
        <w:tc>
          <w:tcPr>
            <w:tcW w:type="dxa" w:w="2211"/>
          </w:tcPr>
          <w:p>
            <w:r/>
            <w:r>
              <w:rPr>
                <w:sz w:val="18"/>
              </w:rPr>
              <w:t xml:space="preserve">TUAB recordings and the 15-subject stroke cohort (Table 9)</w:t>
            </w:r>
          </w:p>
        </w:tc>
      </w:tr>
      <w:tr>
        <w:trPr>
          <w:cantSplit/>
        </w:trPr>
        <w:tc>
          <w:tcPr>
            <w:tcW w:type="dxa" w:w="1500"/>
          </w:tcPr>
          <w:p>
            <w:r/>
            <w:r>
              <w:rPr>
                <w:sz w:val="18"/>
              </w:rPr>
              <w:t xml:space="preserve">5</w:t>
            </w:r>
          </w:p>
        </w:tc>
        <w:tc>
          <w:tcPr>
            <w:tcW w:type="dxa" w:w="2700"/>
          </w:tcPr>
          <w:p>
            <w:r/>
            <w:r>
              <w:rPr>
                <w:sz w:val="18"/>
              </w:rPr>
              <w:t xml:space="preserve">FEI, GTJ: the NMT training folds of the seed-0 5-fold split (≈1,934 recordings), labels unused</w:t>
            </w:r>
          </w:p>
        </w:tc>
        <w:tc>
          <w:tcPr>
            <w:tcW w:type="dxa" w:w="2500"/>
          </w:tcPr>
          <w:p>
            <w:r/>
            <w:r>
              <w:rPr>
                <w:sz w:val="18"/>
              </w:rPr>
              <w:t xml:space="preserve">The same NMT training fold, with labels</w:t>
            </w:r>
          </w:p>
        </w:tc>
        <w:tc>
          <w:tcPr>
            <w:tcW w:type="dxa" w:w="2211"/>
          </w:tcPr>
          <w:p>
            <w:r/>
            <w:r>
              <w:rPr>
                <w:sz w:val="18"/>
              </w:rPr>
              <w:t xml:space="preserve">The held-out NMT fold (≈483 recordings)</w:t>
            </w:r>
          </w:p>
        </w:tc>
      </w:tr>
      <w:tr>
        <w:trPr>
          <w:cantSplit/>
        </w:trPr>
        <w:tc>
          <w:tcPr>
            <w:tcW w:type="dxa" w:w="1500"/>
          </w:tcPr>
          <w:p>
            <w:r/>
            <w:r>
              <w:rPr>
                <w:sz w:val="18"/>
              </w:rPr>
              <w:t xml:space="preserve">6, FEI row</w:t>
            </w:r>
          </w:p>
        </w:tc>
        <w:tc>
          <w:tcPr>
            <w:tcW w:type="dxa" w:w="2700"/>
          </w:tcPr>
          <w:p>
            <w:r/>
            <w:r>
              <w:rPr>
                <w:sz w:val="18"/>
              </w:rPr>
              <w:t xml:space="preserve">The NMT-only FEI fold encoders of Experiment 5's three pre-training runs, plus two further FEI-only runs</w:t>
            </w:r>
          </w:p>
        </w:tc>
        <w:tc>
          <w:tcPr>
            <w:tcW w:type="dxa" w:w="2500"/>
          </w:tcPr>
          <w:p>
            <w:r/>
            <w:r>
              <w:rPr>
                <w:sz w:val="18"/>
              </w:rPr>
              <w:t xml:space="preserve">As Experiment 4 (TUAB training subsets)</w:t>
            </w:r>
          </w:p>
        </w:tc>
        <w:tc>
          <w:tcPr>
            <w:tcW w:type="dxa" w:w="2211"/>
          </w:tcPr>
          <w:p>
            <w:r/>
            <w:r>
              <w:rPr>
                <w:sz w:val="18"/>
              </w:rPr>
              <w:t xml:space="preserve">TUAB official eval set (276)</w:t>
            </w:r>
          </w:p>
        </w:tc>
      </w:tr>
      <w:tr>
        <w:trPr>
          <w:cantSplit/>
        </w:trPr>
        <w:tc>
          <w:tcPr>
            <w:tcW w:type="dxa" w:w="1500"/>
          </w:tcPr>
          <w:p>
            <w:r/>
            <w:r>
              <w:rPr>
                <w:sz w:val="18"/>
              </w:rPr>
              <w:t xml:space="preserve">6, GTJ and FEI+GTJ rows</w:t>
            </w:r>
          </w:p>
        </w:tc>
        <w:tc>
          <w:tcPr>
            <w:tcW w:type="dxa" w:w="2700"/>
          </w:tcPr>
          <w:p>
            <w:r/>
            <w:r>
              <w:rPr>
                <w:sz w:val="18"/>
              </w:rPr>
              <w:t xml:space="preserve">NMT training fold plus TUAB's 2,717 unlabelled training recordings (three pre-training runs)</w:t>
            </w:r>
          </w:p>
        </w:tc>
        <w:tc>
          <w:tcPr>
            <w:tcW w:type="dxa" w:w="2500"/>
          </w:tcPr>
          <w:p>
            <w:r/>
            <w:r>
              <w:rPr>
                <w:sz w:val="18"/>
              </w:rPr>
              <w:t xml:space="preserve">As Experiment 4</w:t>
            </w:r>
          </w:p>
        </w:tc>
        <w:tc>
          <w:tcPr>
            <w:tcW w:type="dxa" w:w="2211"/>
          </w:tcPr>
          <w:p>
            <w:r/>
            <w:r>
              <w:rPr>
                <w:sz w:val="18"/>
              </w:rPr>
              <w:t xml:space="preserve">TUAB official eval set (276)</w:t>
            </w:r>
          </w:p>
        </w:tc>
      </w:tr>
      <w:tr>
        <w:trPr>
          <w:cantSplit/>
        </w:trPr>
        <w:tc>
          <w:tcPr>
            <w:tcW w:type="dxa" w:w="1500"/>
          </w:tcPr>
          <w:p>
            <w:r/>
            <w:r>
              <w:rPr>
                <w:sz w:val="18"/>
              </w:rPr>
              <w:t xml:space="preserve">7</w:t>
            </w:r>
          </w:p>
        </w:tc>
        <w:tc>
          <w:tcPr>
            <w:tcW w:type="dxa" w:w="2700"/>
          </w:tcPr>
          <w:p>
            <w:r/>
            <w:r>
              <w:rPr>
                <w:sz w:val="18"/>
              </w:rPr>
              <w:t xml:space="preserve">None (BSI and spectral features)</w:t>
            </w:r>
          </w:p>
        </w:tc>
        <w:tc>
          <w:tcPr>
            <w:tcW w:type="dxa" w:w="2500"/>
          </w:tcPr>
          <w:p>
            <w:r/>
            <w:r>
              <w:rPr>
                <w:sz w:val="18"/>
              </w:rPr>
              <w:t xml:space="preserve">LOSO: the other 14 stroke-cohort subjects</w:t>
            </w:r>
          </w:p>
        </w:tc>
        <w:tc>
          <w:tcPr>
            <w:tcW w:type="dxa" w:w="2211"/>
          </w:tcPr>
          <w:p>
            <w:r/>
            <w:r>
              <w:rPr>
                <w:sz w:val="18"/>
              </w:rPr>
              <w:t xml:space="preserve">The held-out subject, all 15 in turn</w:t>
            </w:r>
          </w:p>
        </w:tc>
      </w:tr>
      <w:tr>
        <w:trPr>
          <w:cantSplit/>
        </w:trPr>
        <w:tc>
          <w:tcPr>
            <w:tcW w:type="dxa" w:w="1500"/>
          </w:tcPr>
          <w:p>
            <w:r/>
            <w:r>
              <w:rPr>
                <w:sz w:val="18"/>
              </w:rPr>
              <w:t xml:space="preserve">8</w:t>
            </w:r>
          </w:p>
        </w:tc>
        <w:tc>
          <w:tcPr>
            <w:tcW w:type="dxa" w:w="2700"/>
          </w:tcPr>
          <w:p>
            <w:r/>
            <w:r>
              <w:rPr>
                <w:sz w:val="18"/>
              </w:rPr>
              <w:t xml:space="preserve">The NMT-only fold encoders of Experiment 5 (all three pre-training runs); released ViT-M</w:t>
            </w:r>
          </w:p>
        </w:tc>
        <w:tc>
          <w:tcPr>
            <w:tcW w:type="dxa" w:w="2500"/>
          </w:tcPr>
          <w:p>
            <w:r/>
            <w:r>
              <w:rPr>
                <w:sz w:val="18"/>
              </w:rPr>
              <w:t xml:space="preserve">LOSO: the other 14 subjects, after the spectral-matching filter (§11.8)</w:t>
            </w:r>
          </w:p>
        </w:tc>
        <w:tc>
          <w:tcPr>
            <w:tcW w:type="dxa" w:w="2211"/>
          </w:tcPr>
          <w:p>
            <w:r/>
            <w:r>
              <w:rPr>
                <w:sz w:val="18"/>
              </w:rPr>
              <w:t xml:space="preserve">The held-out subject; also 100× repeated 5-fold and leave-pair-out</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