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A6E97" w14:textId="77777777" w:rsidR="00A624B4" w:rsidRPr="00A624B4" w:rsidRDefault="00A624B4" w:rsidP="00A624B4">
      <w:pPr>
        <w:rPr>
          <w:b/>
          <w:bCs/>
        </w:rPr>
      </w:pPr>
      <w:r w:rsidRPr="00A624B4">
        <w:rPr>
          <w:b/>
          <w:bCs/>
        </w:rPr>
        <w:t>Alliance Mortgage Fund — Expanding the RIA Income Toolkit</w:t>
      </w:r>
    </w:p>
    <w:p w14:paraId="4AB18393" w14:textId="31CF2594" w:rsidR="00A624B4" w:rsidRPr="00A624B4" w:rsidRDefault="00A624B4" w:rsidP="00A624B4">
      <w:r w:rsidRPr="00A624B4">
        <w:t xml:space="preserve">As an RIA, you’re constantly looking for better ways to generate income for clients — without adding unnecessary complexity or limiting </w:t>
      </w:r>
      <w:r>
        <w:t>liquidity</w:t>
      </w:r>
      <w:r w:rsidRPr="00A624B4">
        <w:t>.</w:t>
      </w:r>
    </w:p>
    <w:p w14:paraId="17118DC0" w14:textId="77777777" w:rsidR="00A624B4" w:rsidRPr="00A624B4" w:rsidRDefault="00A624B4" w:rsidP="00A624B4">
      <w:r w:rsidRPr="00A624B4">
        <w:t>And in today’s environment, that’s easier said than done.</w:t>
      </w:r>
    </w:p>
    <w:p w14:paraId="1777AF15" w14:textId="25FC9D60" w:rsidR="00A624B4" w:rsidRPr="00A624B4" w:rsidRDefault="00A624B4" w:rsidP="00A624B4">
      <w:r w:rsidRPr="00A624B4">
        <w:t>Traditional bonds may not provide sufficient yield. Private credit often involves multi-year capital commitments and added operational complexity.</w:t>
      </w:r>
      <w:r>
        <w:t xml:space="preserve"> </w:t>
      </w:r>
      <w:r w:rsidRPr="00A624B4">
        <w:t>And stretching for income in lower-quality debt can introduce unwanted volatility.</w:t>
      </w:r>
    </w:p>
    <w:p w14:paraId="6584722C" w14:textId="77777777" w:rsidR="00A624B4" w:rsidRPr="00A624B4" w:rsidRDefault="00A624B4" w:rsidP="00A624B4">
      <w:r w:rsidRPr="00A624B4">
        <w:t>Alliance Mortgage Fund offers a differentiated approach.</w:t>
      </w:r>
    </w:p>
    <w:p w14:paraId="251CEF02" w14:textId="77777777" w:rsidR="00A624B4" w:rsidRPr="00A624B4" w:rsidRDefault="00A624B4" w:rsidP="00A624B4">
      <w:r w:rsidRPr="00A624B4">
        <w:t>This alternative high-yield mortgage REIT strategy focuses on real estate credit — not property ownership. Rather than buying and managing buildings, the fund invests in carefully selected, secured mortgage assets designed to generate income through interest spreads.</w:t>
      </w:r>
    </w:p>
    <w:p w14:paraId="6209DE37" w14:textId="77777777" w:rsidR="00A624B4" w:rsidRPr="00A624B4" w:rsidRDefault="00A624B4" w:rsidP="00A624B4">
      <w:r w:rsidRPr="00A624B4">
        <w:t>For RIAs, that translates into several practical advantages.</w:t>
      </w:r>
    </w:p>
    <w:p w14:paraId="2F9ED08E" w14:textId="77777777" w:rsidR="00A624B4" w:rsidRPr="00A624B4" w:rsidRDefault="00A624B4" w:rsidP="00A624B4">
      <w:r w:rsidRPr="00A624B4">
        <w:t>First, attractive income potential — with the flexibility of monthly distributions or growth-oriented reinvestment.</w:t>
      </w:r>
    </w:p>
    <w:p w14:paraId="7AB392A0" w14:textId="0B93DA73" w:rsidR="00A624B4" w:rsidRPr="00A624B4" w:rsidRDefault="00A624B4" w:rsidP="00A624B4">
      <w:r w:rsidRPr="00A624B4">
        <w:t xml:space="preserve">Second, professional fund management — grounded in disciplined underwriting and hand-selected secured </w:t>
      </w:r>
      <w:r>
        <w:t xml:space="preserve">premium </w:t>
      </w:r>
      <w:r w:rsidRPr="00A624B4">
        <w:t>assets.</w:t>
      </w:r>
    </w:p>
    <w:p w14:paraId="560D096C" w14:textId="77777777" w:rsidR="00A624B4" w:rsidRPr="00A624B4" w:rsidRDefault="00A624B4" w:rsidP="00A624B4">
      <w:r w:rsidRPr="00A624B4">
        <w:t>Third, a conservative structure — no leverage at the fund level, audited financials, and transparency designed to support thorough advisor due diligence.</w:t>
      </w:r>
    </w:p>
    <w:p w14:paraId="4D2F5378" w14:textId="58BDAC7B" w:rsidR="00A624B4" w:rsidRPr="00A624B4" w:rsidRDefault="00A624B4" w:rsidP="00A624B4">
      <w:r w:rsidRPr="00A624B4">
        <w:t>And fourth, accessibility — available through traditional custodial platforms, without capital calls or the liquidity constraints common in private debt structures.</w:t>
      </w:r>
    </w:p>
    <w:p w14:paraId="2BA1F744" w14:textId="77777777" w:rsidR="00A624B4" w:rsidRPr="00A624B4" w:rsidRDefault="00A624B4" w:rsidP="00A624B4">
      <w:r w:rsidRPr="00A624B4">
        <w:t>Depending on client circumstances, the REIT structure may also provide certain tax advantages.</w:t>
      </w:r>
    </w:p>
    <w:p w14:paraId="7F97A8EA" w14:textId="77777777" w:rsidR="00A624B4" w:rsidRPr="00A624B4" w:rsidRDefault="00A624B4" w:rsidP="00A624B4">
      <w:r w:rsidRPr="00A624B4">
        <w:t>Of course, as with any mortgage-focused strategy, risks remain — including market and credit risk. Proper suitability and portfolio construction are essential.</w:t>
      </w:r>
    </w:p>
    <w:p w14:paraId="2656D4ED" w14:textId="77777777" w:rsidR="00A624B4" w:rsidRDefault="00A624B4" w:rsidP="00A624B4">
      <w:r w:rsidRPr="009246E8">
        <w:t>If you're looking to enhance yield, improve portfolio flexibility, and elevate your income toolkit — Alliance Mortgage Fund may be worth exploring.</w:t>
      </w:r>
    </w:p>
    <w:p w14:paraId="6C335486" w14:textId="77777777" w:rsidR="00A624B4" w:rsidRPr="009246E8" w:rsidRDefault="00A624B4" w:rsidP="00A624B4">
      <w:r w:rsidRPr="009246E8">
        <w:t>Connect with our team to see how it can support both your clients’ income goals — and your firm’s growth strategy.</w:t>
      </w:r>
    </w:p>
    <w:p w14:paraId="176C8A37" w14:textId="0E8963CC" w:rsidR="00F012A3" w:rsidRDefault="00F012A3">
      <w:hyperlink r:id="rId5" w:history="1">
        <w:r w:rsidRPr="002E1BA7">
          <w:rPr>
            <w:rStyle w:val="Hyperlink"/>
          </w:rPr>
          <w:t>https://www.youtube.com/watch?v=hmmNofjsUhI</w:t>
        </w:r>
      </w:hyperlink>
    </w:p>
    <w:sectPr w:rsidR="00F01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430C4"/>
    <w:multiLevelType w:val="multilevel"/>
    <w:tmpl w:val="2F94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496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B4"/>
    <w:rsid w:val="003767FE"/>
    <w:rsid w:val="003D67C6"/>
    <w:rsid w:val="004B1555"/>
    <w:rsid w:val="004C4EA8"/>
    <w:rsid w:val="009B13E4"/>
    <w:rsid w:val="00A624B4"/>
    <w:rsid w:val="00F0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83DC3"/>
  <w15:chartTrackingRefBased/>
  <w15:docId w15:val="{A26DEBA5-3BC5-47E4-883F-F083A5F2A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4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4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4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4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4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4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4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4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4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4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4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12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2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hmmNofjsU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279</Words>
  <Characters>1773</Characters>
  <Application>Microsoft Office Word</Application>
  <DocSecurity>0</DocSecurity>
  <Lines>34</Lines>
  <Paragraphs>20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Alliance Portfolio</dc:creator>
  <cp:keywords/>
  <dc:description/>
  <cp:lastModifiedBy>Alliance Portfolio</cp:lastModifiedBy>
  <cp:revision>4</cp:revision>
  <dcterms:created xsi:type="dcterms:W3CDTF">2026-02-18T20:09:00Z</dcterms:created>
  <dcterms:modified xsi:type="dcterms:W3CDTF">2026-02-18T20:31:00Z</dcterms:modified>
</cp:coreProperties>
</file>