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F622" w14:textId="77777777" w:rsidR="008126DC" w:rsidRDefault="00000000">
      <w:pPr>
        <w:spacing w:after="80"/>
        <w:jc w:val="center"/>
      </w:pPr>
      <w:r>
        <w:rPr>
          <w:b/>
          <w:bCs/>
          <w:sz w:val="30"/>
          <w:szCs w:val="30"/>
        </w:rPr>
        <w:t>SERVICE FLOW</w:t>
      </w:r>
    </w:p>
    <w:p w14:paraId="17E52050" w14:textId="77777777" w:rsidR="008126DC" w:rsidRDefault="00000000">
      <w:pPr>
        <w:spacing w:after="80"/>
        <w:jc w:val="center"/>
      </w:pPr>
      <w:r>
        <w:t>An AI-Powered Internet Service Help-Desk Triage Agent — Group F</w:t>
      </w:r>
    </w:p>
    <w:p w14:paraId="4C156C1D" w14:textId="77777777" w:rsidR="008126DC" w:rsidRDefault="00000000">
      <w:pPr>
        <w:spacing w:after="250"/>
        <w:jc w:val="center"/>
      </w:pPr>
      <w:r>
        <w:rPr>
          <w:b/>
          <w:bCs/>
          <w:sz w:val="22"/>
          <w:szCs w:val="22"/>
        </w:rPr>
        <w:t>WEEK 6 PROGRESS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8126DC" w14:paraId="10F4E8FE" w14:textId="77777777">
        <w:tblPrEx>
          <w:tblCellMar>
            <w:top w:w="0" w:type="dxa"/>
            <w:bottom w:w="0" w:type="dxa"/>
          </w:tblCellMar>
        </w:tblPrEx>
        <w:tc>
          <w:tcPr>
            <w:tcW w:w="3000" w:type="dxa"/>
            <w:shd w:val="clear" w:color="auto" w:fill="D9E2F3"/>
          </w:tcPr>
          <w:p w14:paraId="6CE16036" w14:textId="77777777" w:rsidR="008126DC" w:rsidRDefault="00000000">
            <w:r>
              <w:rPr>
                <w:b/>
                <w:bCs/>
                <w:sz w:val="18"/>
                <w:szCs w:val="18"/>
              </w:rPr>
              <w:t>Group / Project Name</w:t>
            </w:r>
          </w:p>
        </w:tc>
        <w:tc>
          <w:tcPr>
            <w:tcW w:w="6350" w:type="dxa"/>
          </w:tcPr>
          <w:p w14:paraId="1D34E2FE" w14:textId="77777777" w:rsidR="008126DC" w:rsidRDefault="00000000">
            <w:r>
              <w:rPr>
                <w:sz w:val="18"/>
                <w:szCs w:val="18"/>
              </w:rPr>
              <w:t xml:space="preserve">Group F — </w:t>
            </w:r>
            <w:proofErr w:type="spellStart"/>
            <w:r>
              <w:rPr>
                <w:sz w:val="18"/>
                <w:szCs w:val="18"/>
              </w:rPr>
              <w:t>ServiceFlow</w:t>
            </w:r>
            <w:proofErr w:type="spellEnd"/>
          </w:p>
        </w:tc>
      </w:tr>
      <w:tr w:rsidR="008126DC" w14:paraId="2C2A8EC4" w14:textId="77777777">
        <w:tblPrEx>
          <w:tblCellMar>
            <w:top w:w="0" w:type="dxa"/>
            <w:bottom w:w="0" w:type="dxa"/>
          </w:tblCellMar>
        </w:tblPrEx>
        <w:tc>
          <w:tcPr>
            <w:tcW w:w="3000" w:type="dxa"/>
            <w:shd w:val="clear" w:color="auto" w:fill="D9E2F3"/>
          </w:tcPr>
          <w:p w14:paraId="1E9B0D06" w14:textId="77777777" w:rsidR="008126DC" w:rsidRDefault="00000000">
            <w:r>
              <w:rPr>
                <w:b/>
                <w:bCs/>
                <w:sz w:val="18"/>
                <w:szCs w:val="18"/>
              </w:rPr>
              <w:t>Week Ending</w:t>
            </w:r>
          </w:p>
        </w:tc>
        <w:tc>
          <w:tcPr>
            <w:tcW w:w="6350" w:type="dxa"/>
          </w:tcPr>
          <w:p w14:paraId="3D4F7439" w14:textId="77777777" w:rsidR="008126DC" w:rsidRDefault="00000000">
            <w:r>
              <w:rPr>
                <w:sz w:val="18"/>
                <w:szCs w:val="18"/>
              </w:rPr>
              <w:t>9 October 2026</w:t>
            </w:r>
          </w:p>
        </w:tc>
      </w:tr>
    </w:tbl>
    <w:p w14:paraId="77B3C9CB" w14:textId="77777777" w:rsidR="008126DC" w:rsidRDefault="008126DC">
      <w:pPr>
        <w:spacing w:after="150"/>
      </w:pPr>
    </w:p>
    <w:p w14:paraId="475173B8" w14:textId="77777777" w:rsidR="008126DC" w:rsidRDefault="00000000">
      <w:pPr>
        <w:pStyle w:val="Heading2"/>
        <w:spacing w:before="240" w:after="120"/>
      </w:pPr>
      <w:r>
        <w:t>1. Work completed against weekly objectives</w:t>
      </w:r>
    </w:p>
    <w:p w14:paraId="1AD1472B" w14:textId="77777777" w:rsidR="008126DC" w:rsidRDefault="00000000">
      <w:pPr>
        <w:pStyle w:val="ListParagraph"/>
        <w:numPr>
          <w:ilvl w:val="0"/>
          <w:numId w:val="1"/>
        </w:numPr>
        <w:spacing w:after="60"/>
      </w:pPr>
      <w:r>
        <w:t>Modelled workflow/session state and persistent memory explicitly as two separate objects with documented lifetimes, access, and contents (State Model document).</w:t>
      </w:r>
    </w:p>
    <w:p w14:paraId="69A3F09E" w14:textId="77777777" w:rsidR="008126DC" w:rsidRDefault="00000000">
      <w:pPr>
        <w:pStyle w:val="ListParagraph"/>
        <w:numPr>
          <w:ilvl w:val="0"/>
          <w:numId w:val="1"/>
        </w:numPr>
        <w:spacing w:after="60"/>
      </w:pPr>
      <w:r>
        <w:t>Implemented one justified persistent-memory use case: minimal case-history records per customer for duplicate-report detection (memory_store.py).</w:t>
      </w:r>
    </w:p>
    <w:p w14:paraId="5152DFD9" w14:textId="77777777" w:rsidR="008126DC" w:rsidRDefault="00000000">
      <w:pPr>
        <w:pStyle w:val="ListParagraph"/>
        <w:numPr>
          <w:ilvl w:val="0"/>
          <w:numId w:val="1"/>
        </w:numPr>
        <w:spacing w:after="60"/>
      </w:pPr>
      <w:r>
        <w:t>Documented what is stored, why, who can access it, retention and deletion (Memory Design and Data Handling Note).</w:t>
      </w:r>
    </w:p>
    <w:p w14:paraId="73626ABC" w14:textId="77777777" w:rsidR="008126DC" w:rsidRDefault="00000000">
      <w:pPr>
        <w:pStyle w:val="ListParagraph"/>
        <w:numPr>
          <w:ilvl w:val="0"/>
          <w:numId w:val="1"/>
        </w:numPr>
        <w:spacing w:after="60"/>
      </w:pPr>
      <w:r>
        <w:t>Demonstrated that memory improves a legitimate task (flagging likely duplicate tickets for a human reviewer) without silently controlling any critical decision — tickets are still created and still require approval exactly as before.</w:t>
      </w:r>
    </w:p>
    <w:p w14:paraId="21A5A583" w14:textId="77777777" w:rsidR="008126DC" w:rsidRDefault="00000000">
      <w:pPr>
        <w:pStyle w:val="ListParagraph"/>
        <w:numPr>
          <w:ilvl w:val="0"/>
          <w:numId w:val="1"/>
        </w:numPr>
        <w:spacing w:after="60"/>
      </w:pPr>
      <w:r>
        <w:t xml:space="preserve">Documented </w:t>
      </w:r>
      <w:proofErr w:type="spellStart"/>
      <w:r>
        <w:t>check_outage_status</w:t>
      </w:r>
      <w:proofErr w:type="spellEnd"/>
      <w:r>
        <w:t xml:space="preserve"> as a formal MCP-style interface (capability, inputs, outputs, permissions, security boundary), in place of a new external integration, since both of </w:t>
      </w:r>
      <w:proofErr w:type="spellStart"/>
      <w:r>
        <w:t>ServiceFlow's</w:t>
      </w:r>
      <w:proofErr w:type="spellEnd"/>
      <w:r>
        <w:t xml:space="preserve"> backend systems remain intentionally simulated.</w:t>
      </w:r>
    </w:p>
    <w:p w14:paraId="6ACB45C3" w14:textId="77777777" w:rsidR="008126DC" w:rsidRDefault="00000000">
      <w:pPr>
        <w:pStyle w:val="Heading2"/>
        <w:spacing w:before="240" w:after="120"/>
      </w:pPr>
      <w:r>
        <w:t>2. Key engineering decisions and why they were made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8126DC" w14:paraId="39BA60DD" w14:textId="77777777">
        <w:tblPrEx>
          <w:tblCellMar>
            <w:top w:w="0" w:type="dxa"/>
            <w:bottom w:w="0" w:type="dxa"/>
          </w:tblCellMar>
        </w:tblPrEx>
        <w:tc>
          <w:tcPr>
            <w:tcW w:w="2800" w:type="dxa"/>
            <w:shd w:val="clear" w:color="auto" w:fill="D9E2F3"/>
          </w:tcPr>
          <w:p w14:paraId="13404C5E" w14:textId="77777777" w:rsidR="008126DC" w:rsidRDefault="00000000">
            <w:r>
              <w:rPr>
                <w:b/>
                <w:bCs/>
                <w:sz w:val="18"/>
                <w:szCs w:val="18"/>
              </w:rPr>
              <w:t>Engineering decision</w:t>
            </w:r>
          </w:p>
        </w:tc>
        <w:tc>
          <w:tcPr>
            <w:tcW w:w="6550" w:type="dxa"/>
            <w:shd w:val="clear" w:color="auto" w:fill="D9E2F3"/>
          </w:tcPr>
          <w:p w14:paraId="24BE75D0" w14:textId="77777777" w:rsidR="008126DC" w:rsidRDefault="00000000">
            <w:r>
              <w:rPr>
                <w:b/>
                <w:bCs/>
                <w:sz w:val="18"/>
                <w:szCs w:val="18"/>
              </w:rPr>
              <w:t>Reason</w:t>
            </w:r>
          </w:p>
        </w:tc>
      </w:tr>
      <w:tr w:rsidR="008126DC" w14:paraId="565E5E06" w14:textId="77777777">
        <w:tblPrEx>
          <w:tblCellMar>
            <w:top w:w="0" w:type="dxa"/>
            <w:bottom w:w="0" w:type="dxa"/>
          </w:tblCellMar>
        </w:tblPrEx>
        <w:tc>
          <w:tcPr>
            <w:tcW w:w="2800" w:type="dxa"/>
          </w:tcPr>
          <w:p w14:paraId="3E22CFE2" w14:textId="77777777" w:rsidR="008126DC" w:rsidRDefault="00000000">
            <w:r>
              <w:rPr>
                <w:sz w:val="18"/>
                <w:szCs w:val="18"/>
              </w:rPr>
              <w:t>Session state and persistent memory kept as two entirely separate objects (</w:t>
            </w:r>
            <w:proofErr w:type="spellStart"/>
            <w:r>
              <w:rPr>
                <w:sz w:val="18"/>
                <w:szCs w:val="18"/>
              </w:rPr>
              <w:t>AgentState</w:t>
            </w:r>
            <w:proofErr w:type="spellEnd"/>
            <w:r>
              <w:rPr>
                <w:sz w:val="18"/>
                <w:szCs w:val="18"/>
              </w:rPr>
              <w:t xml:space="preserve"> vs </w:t>
            </w:r>
            <w:proofErr w:type="spellStart"/>
            <w:r>
              <w:rPr>
                <w:sz w:val="18"/>
                <w:szCs w:val="18"/>
              </w:rPr>
              <w:t>CaseHistoryStore</w:t>
            </w:r>
            <w:proofErr w:type="spellEnd"/>
            <w:r>
              <w:rPr>
                <w:sz w:val="18"/>
                <w:szCs w:val="18"/>
              </w:rPr>
              <w:t>)</w:t>
            </w:r>
          </w:p>
        </w:tc>
        <w:tc>
          <w:tcPr>
            <w:tcW w:w="6550" w:type="dxa"/>
          </w:tcPr>
          <w:p w14:paraId="588DE386" w14:textId="77777777" w:rsidR="008126DC" w:rsidRDefault="00000000">
            <w:r>
              <w:rPr>
                <w:sz w:val="18"/>
                <w:szCs w:val="18"/>
              </w:rPr>
              <w:t>Makes the ephemeral/durable boundary impossible to blur by accident — there is no shared object an engineer could mistakenly persist in full.</w:t>
            </w:r>
          </w:p>
        </w:tc>
      </w:tr>
      <w:tr w:rsidR="008126DC" w14:paraId="6424CAFF" w14:textId="77777777">
        <w:tblPrEx>
          <w:tblCellMar>
            <w:top w:w="0" w:type="dxa"/>
            <w:bottom w:w="0" w:type="dxa"/>
          </w:tblCellMar>
        </w:tblPrEx>
        <w:tc>
          <w:tcPr>
            <w:tcW w:w="2800" w:type="dxa"/>
          </w:tcPr>
          <w:p w14:paraId="7D49FDEB" w14:textId="77777777" w:rsidR="008126DC" w:rsidRDefault="00000000">
            <w:r>
              <w:rPr>
                <w:sz w:val="18"/>
                <w:szCs w:val="18"/>
              </w:rPr>
              <w:t>Raw message text is never written to persistent memory, only a structured outcome summary</w:t>
            </w:r>
          </w:p>
        </w:tc>
        <w:tc>
          <w:tcPr>
            <w:tcW w:w="6550" w:type="dxa"/>
          </w:tcPr>
          <w:p w14:paraId="1A9F163C" w14:textId="77777777" w:rsidR="008126DC" w:rsidRDefault="00000000">
            <w:r>
              <w:rPr>
                <w:sz w:val="18"/>
                <w:szCs w:val="18"/>
              </w:rPr>
              <w:t>Data minimisation: the duplicate-detection use case only needs category + outcome + timestamp to work; storing the full message would be retaining sensitive content with no justified purpose.</w:t>
            </w:r>
          </w:p>
        </w:tc>
      </w:tr>
      <w:tr w:rsidR="008126DC" w14:paraId="76D14310" w14:textId="77777777">
        <w:tblPrEx>
          <w:tblCellMar>
            <w:top w:w="0" w:type="dxa"/>
            <w:bottom w:w="0" w:type="dxa"/>
          </w:tblCellMar>
        </w:tblPrEx>
        <w:tc>
          <w:tcPr>
            <w:tcW w:w="2800" w:type="dxa"/>
          </w:tcPr>
          <w:p w14:paraId="728C7240" w14:textId="77777777" w:rsidR="008126DC" w:rsidRDefault="00000000">
            <w:r>
              <w:rPr>
                <w:sz w:val="18"/>
                <w:szCs w:val="18"/>
              </w:rPr>
              <w:t>Duplicate detection surfaces a hint, never blocks or auto-merges</w:t>
            </w:r>
          </w:p>
        </w:tc>
        <w:tc>
          <w:tcPr>
            <w:tcW w:w="6550" w:type="dxa"/>
          </w:tcPr>
          <w:p w14:paraId="1107E462" w14:textId="77777777" w:rsidR="008126DC" w:rsidRDefault="00000000">
            <w:r>
              <w:rPr>
                <w:sz w:val="18"/>
                <w:szCs w:val="18"/>
              </w:rPr>
              <w:t>Required by the brief (“without silently controlling critical decisions”) and consistent with keeping every higher-impact action behind human judgement, as Week 4/5 already established for ticket approval.</w:t>
            </w:r>
          </w:p>
        </w:tc>
      </w:tr>
      <w:tr w:rsidR="008126DC" w14:paraId="007ECF2E" w14:textId="77777777">
        <w:tblPrEx>
          <w:tblCellMar>
            <w:top w:w="0" w:type="dxa"/>
            <w:bottom w:w="0" w:type="dxa"/>
          </w:tblCellMar>
        </w:tblPrEx>
        <w:tc>
          <w:tcPr>
            <w:tcW w:w="2800" w:type="dxa"/>
          </w:tcPr>
          <w:p w14:paraId="5506B73F" w14:textId="77777777" w:rsidR="008126DC" w:rsidRDefault="00000000">
            <w:r>
              <w:rPr>
                <w:sz w:val="18"/>
                <w:szCs w:val="18"/>
              </w:rPr>
              <w:t xml:space="preserve">Documented </w:t>
            </w:r>
            <w:proofErr w:type="spellStart"/>
            <w:r>
              <w:rPr>
                <w:sz w:val="18"/>
                <w:szCs w:val="18"/>
              </w:rPr>
              <w:t>check_outage_status</w:t>
            </w:r>
            <w:proofErr w:type="spellEnd"/>
            <w:r>
              <w:rPr>
                <w:sz w:val="18"/>
                <w:szCs w:val="18"/>
              </w:rPr>
              <w:t xml:space="preserve"> as an MCP-style interface rather than building a new external integration</w:t>
            </w:r>
          </w:p>
        </w:tc>
        <w:tc>
          <w:tcPr>
            <w:tcW w:w="6550" w:type="dxa"/>
          </w:tcPr>
          <w:p w14:paraId="7DB0BE3B" w14:textId="77777777" w:rsidR="008126DC" w:rsidRDefault="00000000">
            <w:proofErr w:type="spellStart"/>
            <w:r>
              <w:rPr>
                <w:sz w:val="18"/>
                <w:szCs w:val="18"/>
              </w:rPr>
              <w:t>ServiceFlow's</w:t>
            </w:r>
            <w:proofErr w:type="spellEnd"/>
            <w:r>
              <w:rPr>
                <w:sz w:val="18"/>
                <w:szCs w:val="18"/>
              </w:rPr>
              <w:t xml:space="preserve"> outage and ticketing systems are intentionally simulated per the project's safety/data boundaries; specifying the interface contract now means a real backend can be swapped in later without changing anything the agent or tools layer expects.</w:t>
            </w:r>
          </w:p>
        </w:tc>
      </w:tr>
    </w:tbl>
    <w:p w14:paraId="1BDEC100" w14:textId="77777777" w:rsidR="008126DC" w:rsidRDefault="008126DC">
      <w:pPr>
        <w:spacing w:after="150"/>
      </w:pPr>
    </w:p>
    <w:p w14:paraId="4B9ED3B3" w14:textId="77777777" w:rsidR="008126DC" w:rsidRDefault="00000000">
      <w:pPr>
        <w:pStyle w:val="Heading2"/>
        <w:spacing w:before="240" w:after="120"/>
      </w:pPr>
      <w:r>
        <w:t>3. Failures / challenges and current response</w:t>
      </w:r>
    </w:p>
    <w:p w14:paraId="272C4FEF" w14:textId="77777777" w:rsidR="008126DC" w:rsidRDefault="00000000">
      <w:pPr>
        <w:spacing w:after="120"/>
      </w:pPr>
      <w:r>
        <w:t>No defects found in this week's demonstration run. The main design risk considered was over-triggering the duplicate flag on unrelated issues; Interaction 3 in the demonstration confirms the category-scoped check does not fire for a different kind of problem from the same customer.</w:t>
      </w:r>
    </w:p>
    <w:p w14:paraId="6A035425" w14:textId="77777777" w:rsidR="008126DC" w:rsidRDefault="00000000">
      <w:pPr>
        <w:pStyle w:val="Heading2"/>
        <w:spacing w:before="240" w:after="120"/>
      </w:pPr>
      <w:r>
        <w:t>4. Links to repository and task evidence</w:t>
      </w:r>
    </w:p>
    <w:p w14:paraId="1CC004DB" w14:textId="77777777" w:rsidR="008126DC" w:rsidRDefault="00000000">
      <w:pPr>
        <w:spacing w:after="120"/>
      </w:pPr>
      <w:r>
        <w:t>GitHub Repository: https://github.com/mashimwe/GROUP-F-Capstone-</w:t>
      </w:r>
    </w:p>
    <w:p w14:paraId="0D87113D" w14:textId="77777777" w:rsidR="008126DC" w:rsidRDefault="00000000">
      <w:pPr>
        <w:spacing w:after="120"/>
      </w:pPr>
      <w:proofErr w:type="spellStart"/>
      <w:r>
        <w:t>ClickUp</w:t>
      </w:r>
      <w:proofErr w:type="spellEnd"/>
      <w:r>
        <w:t xml:space="preserve"> Board / Tasks: https://app.clickup.com/1200420000004230/v/s/1200420000006102</w:t>
      </w:r>
    </w:p>
    <w:p w14:paraId="11AD162C" w14:textId="6AA32A85" w:rsidR="008126DC" w:rsidRDefault="00000000">
      <w:pPr>
        <w:spacing w:after="120"/>
      </w:pPr>
      <w:r>
        <w:t xml:space="preserve">GitHub Commit(s)/Tag/PR: </w:t>
      </w:r>
    </w:p>
    <w:p w14:paraId="383854A0" w14:textId="77777777" w:rsidR="008126DC" w:rsidRDefault="00000000">
      <w:pPr>
        <w:pStyle w:val="Heading2"/>
        <w:spacing w:before="240" w:after="120"/>
      </w:pPr>
      <w:r>
        <w:t>5. Individual contribution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50"/>
      </w:tblGrid>
      <w:tr w:rsidR="008126DC" w14:paraId="01341C05" w14:textId="77777777">
        <w:tblPrEx>
          <w:tblCellMar>
            <w:top w:w="0" w:type="dxa"/>
            <w:bottom w:w="0" w:type="dxa"/>
          </w:tblCellMar>
        </w:tblPrEx>
        <w:tc>
          <w:tcPr>
            <w:tcW w:w="2600" w:type="dxa"/>
            <w:shd w:val="clear" w:color="auto" w:fill="D9E2F3"/>
          </w:tcPr>
          <w:p w14:paraId="64135245" w14:textId="77777777" w:rsidR="008126DC" w:rsidRDefault="00000000">
            <w:r>
              <w:rPr>
                <w:b/>
                <w:bCs/>
                <w:sz w:val="18"/>
                <w:szCs w:val="18"/>
              </w:rPr>
              <w:t>Member</w:t>
            </w:r>
          </w:p>
        </w:tc>
        <w:tc>
          <w:tcPr>
            <w:tcW w:w="3800" w:type="dxa"/>
            <w:shd w:val="clear" w:color="auto" w:fill="D9E2F3"/>
          </w:tcPr>
          <w:p w14:paraId="5447FA3B" w14:textId="77777777" w:rsidR="008126DC" w:rsidRDefault="00000000">
            <w:r>
              <w:rPr>
                <w:b/>
                <w:bCs/>
                <w:sz w:val="18"/>
                <w:szCs w:val="18"/>
              </w:rPr>
              <w:t>Task owned</w:t>
            </w:r>
          </w:p>
        </w:tc>
        <w:tc>
          <w:tcPr>
            <w:tcW w:w="2950" w:type="dxa"/>
            <w:shd w:val="clear" w:color="auto" w:fill="D9E2F3"/>
          </w:tcPr>
          <w:p w14:paraId="6857891D" w14:textId="77777777" w:rsidR="008126DC" w:rsidRDefault="00000000">
            <w:r>
              <w:rPr>
                <w:b/>
                <w:bCs/>
                <w:sz w:val="18"/>
                <w:szCs w:val="18"/>
              </w:rPr>
              <w:t>Evidence (commit/file/task link)</w:t>
            </w:r>
          </w:p>
        </w:tc>
      </w:tr>
      <w:tr w:rsidR="008126DC" w14:paraId="4B3C13B9" w14:textId="77777777">
        <w:tblPrEx>
          <w:tblCellMar>
            <w:top w:w="0" w:type="dxa"/>
            <w:bottom w:w="0" w:type="dxa"/>
          </w:tblCellMar>
        </w:tblPrEx>
        <w:tc>
          <w:tcPr>
            <w:tcW w:w="2600" w:type="dxa"/>
          </w:tcPr>
          <w:p w14:paraId="4723904E" w14:textId="77777777" w:rsidR="008126DC" w:rsidRDefault="00000000">
            <w:r>
              <w:rPr>
                <w:sz w:val="18"/>
                <w:szCs w:val="18"/>
              </w:rPr>
              <w:t>Buyinza Samuel</w:t>
            </w:r>
          </w:p>
        </w:tc>
        <w:tc>
          <w:tcPr>
            <w:tcW w:w="3800" w:type="dxa"/>
          </w:tcPr>
          <w:p w14:paraId="3A63EBC9" w14:textId="24490EE1" w:rsidR="008126DC" w:rsidRDefault="00C91BB7">
            <w:r>
              <w:t>Integration or MCP-style interface specification</w:t>
            </w:r>
          </w:p>
        </w:tc>
        <w:tc>
          <w:tcPr>
            <w:tcW w:w="2950" w:type="dxa"/>
          </w:tcPr>
          <w:p w14:paraId="26594F18" w14:textId="0289061F" w:rsidR="008126DC" w:rsidRDefault="00C91BB7">
            <w:hyperlink r:id="rId5" w:history="1">
              <w:r w:rsidR="00000000" w:rsidRPr="00C91BB7">
                <w:rPr>
                  <w:rStyle w:val="Hyperlink"/>
                  <w:sz w:val="18"/>
                  <w:szCs w:val="18"/>
                </w:rPr>
                <w:t>GitHub</w:t>
              </w:r>
            </w:hyperlink>
          </w:p>
        </w:tc>
      </w:tr>
      <w:tr w:rsidR="008126DC" w14:paraId="7763479F" w14:textId="77777777">
        <w:tblPrEx>
          <w:tblCellMar>
            <w:top w:w="0" w:type="dxa"/>
            <w:bottom w:w="0" w:type="dxa"/>
          </w:tblCellMar>
        </w:tblPrEx>
        <w:tc>
          <w:tcPr>
            <w:tcW w:w="2600" w:type="dxa"/>
          </w:tcPr>
          <w:p w14:paraId="5ACD8F66" w14:textId="77777777" w:rsidR="008126DC" w:rsidRDefault="00000000">
            <w:r>
              <w:rPr>
                <w:sz w:val="18"/>
                <w:szCs w:val="18"/>
              </w:rPr>
              <w:t>Bahati Brenda Kizito</w:t>
            </w:r>
          </w:p>
        </w:tc>
        <w:tc>
          <w:tcPr>
            <w:tcW w:w="3800" w:type="dxa"/>
          </w:tcPr>
          <w:p w14:paraId="1B032B2D" w14:textId="307B1451" w:rsidR="008126DC" w:rsidRDefault="00C91BB7">
            <w:r>
              <w:t>Week 6 progress report</w:t>
            </w:r>
          </w:p>
        </w:tc>
        <w:tc>
          <w:tcPr>
            <w:tcW w:w="2950" w:type="dxa"/>
          </w:tcPr>
          <w:p w14:paraId="639C1F22" w14:textId="18F5B3BD" w:rsidR="008126DC" w:rsidRDefault="00C91BB7">
            <w:hyperlink r:id="rId6" w:history="1">
              <w:r w:rsidRPr="00C91BB7">
                <w:rPr>
                  <w:rStyle w:val="Hyperlink"/>
                  <w:sz w:val="18"/>
                  <w:szCs w:val="18"/>
                </w:rPr>
                <w:t>GitHub</w:t>
              </w:r>
            </w:hyperlink>
          </w:p>
        </w:tc>
      </w:tr>
      <w:tr w:rsidR="008126DC" w14:paraId="37E867A0" w14:textId="77777777">
        <w:tblPrEx>
          <w:tblCellMar>
            <w:top w:w="0" w:type="dxa"/>
            <w:bottom w:w="0" w:type="dxa"/>
          </w:tblCellMar>
        </w:tblPrEx>
        <w:tc>
          <w:tcPr>
            <w:tcW w:w="2600" w:type="dxa"/>
          </w:tcPr>
          <w:p w14:paraId="36BF8AA9" w14:textId="77777777" w:rsidR="008126DC" w:rsidRDefault="00000000">
            <w:proofErr w:type="spellStart"/>
            <w:r>
              <w:rPr>
                <w:sz w:val="18"/>
                <w:szCs w:val="18"/>
              </w:rPr>
              <w:lastRenderedPageBreak/>
              <w:t>Aruho</w:t>
            </w:r>
            <w:proofErr w:type="spellEnd"/>
            <w:r>
              <w:rPr>
                <w:sz w:val="18"/>
                <w:szCs w:val="18"/>
              </w:rPr>
              <w:t xml:space="preserve"> </w:t>
            </w:r>
            <w:proofErr w:type="spellStart"/>
            <w:r>
              <w:rPr>
                <w:sz w:val="18"/>
                <w:szCs w:val="18"/>
              </w:rPr>
              <w:t>Priscillah</w:t>
            </w:r>
            <w:proofErr w:type="spellEnd"/>
          </w:p>
        </w:tc>
        <w:tc>
          <w:tcPr>
            <w:tcW w:w="3800" w:type="dxa"/>
          </w:tcPr>
          <w:p w14:paraId="6D373E72" w14:textId="6BDA7DE7" w:rsidR="008126DC" w:rsidRDefault="00C91BB7">
            <w:r>
              <w:t>State Model</w:t>
            </w:r>
          </w:p>
        </w:tc>
        <w:tc>
          <w:tcPr>
            <w:tcW w:w="2950" w:type="dxa"/>
          </w:tcPr>
          <w:p w14:paraId="7B639F6F" w14:textId="73194123" w:rsidR="008126DC" w:rsidRDefault="00C91BB7">
            <w:hyperlink r:id="rId7" w:history="1">
              <w:r w:rsidRPr="00C91BB7">
                <w:rPr>
                  <w:rStyle w:val="Hyperlink"/>
                  <w:sz w:val="18"/>
                  <w:szCs w:val="18"/>
                </w:rPr>
                <w:t>GitHub</w:t>
              </w:r>
            </w:hyperlink>
          </w:p>
        </w:tc>
      </w:tr>
      <w:tr w:rsidR="008126DC" w14:paraId="1F2C6173" w14:textId="77777777">
        <w:tblPrEx>
          <w:tblCellMar>
            <w:top w:w="0" w:type="dxa"/>
            <w:bottom w:w="0" w:type="dxa"/>
          </w:tblCellMar>
        </w:tblPrEx>
        <w:tc>
          <w:tcPr>
            <w:tcW w:w="2600" w:type="dxa"/>
          </w:tcPr>
          <w:p w14:paraId="69DC3A2B" w14:textId="77777777" w:rsidR="008126DC" w:rsidRDefault="00000000">
            <w:proofErr w:type="spellStart"/>
            <w:r>
              <w:rPr>
                <w:sz w:val="18"/>
                <w:szCs w:val="18"/>
              </w:rPr>
              <w:t>Andimashimwe</w:t>
            </w:r>
            <w:proofErr w:type="spellEnd"/>
            <w:r>
              <w:rPr>
                <w:sz w:val="18"/>
                <w:szCs w:val="18"/>
              </w:rPr>
              <w:t xml:space="preserve"> Rhoda</w:t>
            </w:r>
          </w:p>
        </w:tc>
        <w:tc>
          <w:tcPr>
            <w:tcW w:w="3800" w:type="dxa"/>
          </w:tcPr>
          <w:p w14:paraId="40B063AE" w14:textId="22E4B111" w:rsidR="008126DC" w:rsidRDefault="00C91BB7">
            <w:r>
              <w:t>Working memory/state demonstration</w:t>
            </w:r>
          </w:p>
        </w:tc>
        <w:tc>
          <w:tcPr>
            <w:tcW w:w="2950" w:type="dxa"/>
          </w:tcPr>
          <w:p w14:paraId="49ECDECE" w14:textId="5D25C57E" w:rsidR="008126DC" w:rsidRDefault="00C91BB7">
            <w:hyperlink r:id="rId8" w:history="1">
              <w:r w:rsidRPr="00C91BB7">
                <w:rPr>
                  <w:rStyle w:val="Hyperlink"/>
                  <w:sz w:val="18"/>
                  <w:szCs w:val="18"/>
                </w:rPr>
                <w:t>GitHub</w:t>
              </w:r>
            </w:hyperlink>
          </w:p>
        </w:tc>
      </w:tr>
      <w:tr w:rsidR="008126DC" w14:paraId="47045597" w14:textId="77777777">
        <w:tblPrEx>
          <w:tblCellMar>
            <w:top w:w="0" w:type="dxa"/>
            <w:bottom w:w="0" w:type="dxa"/>
          </w:tblCellMar>
        </w:tblPrEx>
        <w:tc>
          <w:tcPr>
            <w:tcW w:w="2600" w:type="dxa"/>
          </w:tcPr>
          <w:p w14:paraId="04A33FBD" w14:textId="77777777" w:rsidR="008126DC" w:rsidRDefault="00000000">
            <w:r>
              <w:rPr>
                <w:sz w:val="18"/>
                <w:szCs w:val="18"/>
              </w:rPr>
              <w:t>Nuwahereza Dennise</w:t>
            </w:r>
          </w:p>
        </w:tc>
        <w:tc>
          <w:tcPr>
            <w:tcW w:w="3800" w:type="dxa"/>
          </w:tcPr>
          <w:p w14:paraId="05D0E9AA" w14:textId="1D43A8B1" w:rsidR="008126DC" w:rsidRDefault="00000000">
            <w:r>
              <w:rPr>
                <w:sz w:val="18"/>
                <w:szCs w:val="18"/>
              </w:rPr>
              <w:t>Memory Design and Data Handling Note</w:t>
            </w:r>
          </w:p>
        </w:tc>
        <w:tc>
          <w:tcPr>
            <w:tcW w:w="2950" w:type="dxa"/>
          </w:tcPr>
          <w:p w14:paraId="3AA0D47B" w14:textId="04DA4180" w:rsidR="008126DC" w:rsidRDefault="00C91BB7">
            <w:hyperlink r:id="rId9" w:history="1">
              <w:r w:rsidRPr="00C91BB7">
                <w:rPr>
                  <w:rStyle w:val="Hyperlink"/>
                  <w:sz w:val="18"/>
                  <w:szCs w:val="18"/>
                </w:rPr>
                <w:t>GitHub</w:t>
              </w:r>
            </w:hyperlink>
          </w:p>
        </w:tc>
      </w:tr>
    </w:tbl>
    <w:p w14:paraId="0C5452B5" w14:textId="77777777" w:rsidR="008126DC" w:rsidRDefault="008126DC">
      <w:pPr>
        <w:spacing w:after="150"/>
      </w:pPr>
    </w:p>
    <w:p w14:paraId="7E8F52C0" w14:textId="77777777" w:rsidR="008126DC" w:rsidRDefault="00000000">
      <w:pPr>
        <w:pStyle w:val="Heading2"/>
        <w:spacing w:before="240" w:after="120"/>
      </w:pPr>
      <w:r>
        <w:t>6. Plan for next week (Week 7: Evaluation, Observability and Guardrails)</w:t>
      </w:r>
    </w:p>
    <w:p w14:paraId="5B667DBE" w14:textId="77777777" w:rsidR="008126DC" w:rsidRDefault="00000000">
      <w:pPr>
        <w:pStyle w:val="ListParagraph"/>
        <w:numPr>
          <w:ilvl w:val="0"/>
          <w:numId w:val="1"/>
        </w:numPr>
        <w:spacing w:after="60"/>
      </w:pPr>
      <w:r>
        <w:t>Create a final evaluation set of at least 30 scenarios: normal, edge, incorrect-information, adversarial, tool-failure and unauthorized-action cases.</w:t>
      </w:r>
    </w:p>
    <w:p w14:paraId="05F2D4BE" w14:textId="77777777" w:rsidR="008126DC" w:rsidRDefault="00000000">
      <w:pPr>
        <w:pStyle w:val="ListParagraph"/>
        <w:numPr>
          <w:ilvl w:val="0"/>
          <w:numId w:val="1"/>
        </w:numPr>
        <w:spacing w:after="60"/>
      </w:pPr>
      <w:r>
        <w:t xml:space="preserve">Define measurable criteria: task completion, </w:t>
      </w:r>
      <w:proofErr w:type="spellStart"/>
      <w:r>
        <w:t>groundedness</w:t>
      </w:r>
      <w:proofErr w:type="spellEnd"/>
      <w:r>
        <w:t>, tool selection, instruction following, latency, safety violations.</w:t>
      </w:r>
    </w:p>
    <w:p w14:paraId="4FD83405" w14:textId="77777777" w:rsidR="008126DC" w:rsidRDefault="00000000">
      <w:pPr>
        <w:pStyle w:val="ListParagraph"/>
        <w:numPr>
          <w:ilvl w:val="0"/>
          <w:numId w:val="1"/>
        </w:numPr>
        <w:spacing w:after="60"/>
      </w:pPr>
      <w:r>
        <w:t>Add logging/tracing covering model, prompt, retrieval, tool, latency/error and outcome evidence.</w:t>
      </w:r>
    </w:p>
    <w:p w14:paraId="34508A18" w14:textId="77777777" w:rsidR="008126DC" w:rsidRDefault="00000000">
      <w:pPr>
        <w:pStyle w:val="ListParagraph"/>
        <w:numPr>
          <w:ilvl w:val="0"/>
          <w:numId w:val="1"/>
        </w:numPr>
        <w:spacing w:after="60"/>
      </w:pPr>
      <w:r>
        <w:t>Implement input/output validation, tool allow-list enforcement, authorization, iteration limits, approval controls and prompt-injection awareness as explicit, testable guardrails.</w:t>
      </w:r>
    </w:p>
    <w:p w14:paraId="10CE923D" w14:textId="77777777" w:rsidR="008126DC" w:rsidRDefault="00000000">
      <w:pPr>
        <w:pStyle w:val="ListParagraph"/>
        <w:numPr>
          <w:ilvl w:val="0"/>
          <w:numId w:val="1"/>
        </w:numPr>
        <w:spacing w:after="60"/>
      </w:pPr>
      <w:r>
        <w:t>Build a Failure Catalogue of at least five genuine failures and re-test after fixes.</w:t>
      </w:r>
    </w:p>
    <w:p w14:paraId="5FCCE7A1" w14:textId="77777777" w:rsidR="008126DC" w:rsidRDefault="00000000">
      <w:pPr>
        <w:pStyle w:val="Heading2"/>
        <w:spacing w:before="240" w:after="120"/>
      </w:pPr>
      <w:r>
        <w:t>Overall Week 6 Status</w:t>
      </w:r>
    </w:p>
    <w:p w14:paraId="52DEF18A" w14:textId="77777777" w:rsidR="008126DC" w:rsidRDefault="00000000">
      <w:pPr>
        <w:spacing w:after="120"/>
      </w:pPr>
      <w:r>
        <w:rPr>
          <w:b/>
          <w:bCs/>
        </w:rPr>
        <w:t xml:space="preserve">ON TRACK — </w:t>
      </w:r>
      <w:r w:rsidRPr="00C91BB7">
        <w:t>session state and persistent memory are now explicitly modelled and separated, one justified memory use case is implemented and demonstrated end to end (including deletion), and one capability is specified as a reusable MCP-style interface. Week 7 will formalise evaluation and guardrails across the whole system.</w:t>
      </w:r>
    </w:p>
    <w:sectPr w:rsidR="008126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716D"/>
    <w:multiLevelType w:val="hybridMultilevel"/>
    <w:tmpl w:val="5A32C7C8"/>
    <w:lvl w:ilvl="0" w:tplc="C2FCC76A">
      <w:start w:val="1"/>
      <w:numFmt w:val="bullet"/>
      <w:lvlText w:val="●"/>
      <w:lvlJc w:val="left"/>
      <w:pPr>
        <w:ind w:left="720" w:hanging="360"/>
      </w:pPr>
    </w:lvl>
    <w:lvl w:ilvl="1" w:tplc="DE4CB154">
      <w:start w:val="1"/>
      <w:numFmt w:val="bullet"/>
      <w:lvlText w:val="○"/>
      <w:lvlJc w:val="left"/>
      <w:pPr>
        <w:ind w:left="1440" w:hanging="360"/>
      </w:pPr>
    </w:lvl>
    <w:lvl w:ilvl="2" w:tplc="8522C93A">
      <w:start w:val="1"/>
      <w:numFmt w:val="bullet"/>
      <w:lvlText w:val="■"/>
      <w:lvlJc w:val="left"/>
      <w:pPr>
        <w:ind w:left="2160" w:hanging="360"/>
      </w:pPr>
    </w:lvl>
    <w:lvl w:ilvl="3" w:tplc="61347452">
      <w:start w:val="1"/>
      <w:numFmt w:val="bullet"/>
      <w:lvlText w:val="●"/>
      <w:lvlJc w:val="left"/>
      <w:pPr>
        <w:ind w:left="2880" w:hanging="360"/>
      </w:pPr>
    </w:lvl>
    <w:lvl w:ilvl="4" w:tplc="DBF4AE5C">
      <w:start w:val="1"/>
      <w:numFmt w:val="bullet"/>
      <w:lvlText w:val="○"/>
      <w:lvlJc w:val="left"/>
      <w:pPr>
        <w:ind w:left="3600" w:hanging="360"/>
      </w:pPr>
    </w:lvl>
    <w:lvl w:ilvl="5" w:tplc="9F26161C">
      <w:start w:val="1"/>
      <w:numFmt w:val="bullet"/>
      <w:lvlText w:val="■"/>
      <w:lvlJc w:val="left"/>
      <w:pPr>
        <w:ind w:left="4320" w:hanging="360"/>
      </w:pPr>
    </w:lvl>
    <w:lvl w:ilvl="6" w:tplc="9F643644">
      <w:start w:val="1"/>
      <w:numFmt w:val="bullet"/>
      <w:lvlText w:val="●"/>
      <w:lvlJc w:val="left"/>
      <w:pPr>
        <w:ind w:left="5040" w:hanging="360"/>
      </w:pPr>
    </w:lvl>
    <w:lvl w:ilvl="7" w:tplc="5D38AD60">
      <w:start w:val="1"/>
      <w:numFmt w:val="bullet"/>
      <w:lvlText w:val="●"/>
      <w:lvlJc w:val="left"/>
      <w:pPr>
        <w:ind w:left="5760" w:hanging="360"/>
      </w:pPr>
    </w:lvl>
    <w:lvl w:ilvl="8" w:tplc="DA5C94F2">
      <w:start w:val="1"/>
      <w:numFmt w:val="bullet"/>
      <w:lvlText w:val="●"/>
      <w:lvlJc w:val="left"/>
      <w:pPr>
        <w:ind w:left="6480" w:hanging="360"/>
      </w:pPr>
    </w:lvl>
  </w:abstractNum>
  <w:num w:numId="1" w16cid:durableId="1314334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6DC"/>
    <w:rsid w:val="008126DC"/>
    <w:rsid w:val="00AD016E"/>
    <w:rsid w:val="00C91BB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06A0"/>
  <w15:docId w15:val="{B33935AA-88C9-485C-9BD0-99771C3B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91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shimwe/GROUP-F-Capstone-" TargetMode="External"/><Relationship Id="rId3" Type="http://schemas.openxmlformats.org/officeDocument/2006/relationships/settings" Target="settings.xml"/><Relationship Id="rId7" Type="http://schemas.openxmlformats.org/officeDocument/2006/relationships/hyperlink" Target="https://github.com/mashimwe/GROUP-F-Cap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shimwe/GROUP-F-Capstone-" TargetMode="External"/><Relationship Id="rId11" Type="http://schemas.openxmlformats.org/officeDocument/2006/relationships/theme" Target="theme/theme1.xml"/><Relationship Id="rId5" Type="http://schemas.openxmlformats.org/officeDocument/2006/relationships/hyperlink" Target="https://github.com/mashimwe/GROUP-F-Capsto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shimwe/GROUP-F-Cap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Bahati Kizito</cp:lastModifiedBy>
  <cp:revision>2</cp:revision>
  <dcterms:created xsi:type="dcterms:W3CDTF">2026-10-07T08:34:00Z</dcterms:created>
  <dcterms:modified xsi:type="dcterms:W3CDTF">2026-10-08T17:26:00Z</dcterms:modified>
</cp:coreProperties>
</file>