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0"/>
        <w:spacing w:after="80" w:before="200" w:line="240" w:lineRule="auto"/>
        <w:rPr>
          <w:rFonts w:ascii="Calibri" w:cs="Calibri" w:eastAsia="Calibri" w:hAnsi="Calibri"/>
          <w:b w:val="1"/>
          <w:bCs w:val="1"/>
          <w:color w:val="1f3864"/>
          <w:sz w:val="25"/>
          <w:szCs w:val="25"/>
        </w:rPr>
      </w:pPr>
      <w:r w:rsidDel="00000000" w:rsidR="00000000" w:rsidRPr="00000000">
        <w:rPr>
          <w:rFonts w:ascii="Calibri" w:cs="Calibri" w:eastAsia="Calibri" w:hAnsi="Calibri"/>
          <w:b w:val="1"/>
          <w:bCs w:val="1"/>
          <w:color w:val="1f3864"/>
          <w:sz w:val="25"/>
          <w:szCs w:val="25"/>
          <w:rtl w:val="0"/>
        </w:rPr>
        <w:t xml:space="preserve"> Problem Context and Requirements</w:t>
      </w:r>
    </w:p>
    <w:p w:rsidR="00000000" w:rsidDel="00000000" w:rsidP="00000000" w:rsidRDefault="00000000" w:rsidRPr="00000000" w14:paraId="00000002">
      <w:pPr>
        <w:spacing w:after="90" w:line="264" w:lineRule="auto"/>
        <w:jc w:val="both"/>
        <w:rPr>
          <w:rFonts w:ascii="Calibri" w:cs="Calibri" w:eastAsia="Calibri" w:hAnsi="Calibri"/>
        </w:rPr>
      </w:pPr>
      <w:r w:rsidDel="00000000" w:rsidR="00000000" w:rsidRPr="00000000">
        <w:rPr>
          <w:rFonts w:ascii="Calibri" w:cs="Calibri" w:eastAsia="Calibri" w:hAnsi="Calibri"/>
          <w:rtl w:val="0"/>
        </w:rPr>
        <w:t xml:space="preserve">Workflow: A customer describes a problem in their own words; the system validates the message, classifies it into one of six categories (no connection, slow, intermittent, router/modem, possible outage, unclear), decides the next step from a fixed set (answer from guidance, check outage status, ask a question, prepare a ticket, hand off), and stops at a defined point. Users are internet customers (primary) and the support officer who receives escalated tickets (secondary). Scope excludes any control of network equipment, automatic disconnection, configuration changes, arbitrary commands, unauthorised data access, high-impact actions without approval, and any outage claim without evidence from approved status data (Week 1 charter).</w:t>
      </w:r>
    </w:p>
    <w:p w:rsidR="00000000" w:rsidDel="00000000" w:rsidP="00000000" w:rsidRDefault="00000000" w:rsidRPr="00000000" w14:paraId="00000003">
      <w:pPr>
        <w:spacing w:after="90" w:line="264" w:lineRule="auto"/>
        <w:jc w:val="both"/>
        <w:rPr>
          <w:rFonts w:ascii="Calibri" w:cs="Calibri" w:eastAsia="Calibri" w:hAnsi="Calibri"/>
        </w:rPr>
      </w:pPr>
      <w:r w:rsidDel="00000000" w:rsidR="00000000" w:rsidRPr="00000000">
        <w:rPr>
          <w:rFonts w:ascii="Calibri" w:cs="Calibri" w:eastAsia="Calibri" w:hAnsi="Calibri"/>
          <w:rtl w:val="0"/>
        </w:rPr>
        <w:t xml:space="preserve">Requirements. The Week 1 charter set twelve success criteria and ten user stories with acceptance criteria. A traceability review in Week 8 found three acceptance gaps that earlier testing had missed (ticket content, case continuation, repeated questioning); all were fixed (Appendix F, G-1 to G-3). Table 1 gives the final status; Appendix A maps every user story.</w:t>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3050"/>
        <w:gridCol w:w="1500"/>
        <w:gridCol w:w="4530"/>
        <w:tblGridChange w:id="0">
          <w:tblGrid>
            <w:gridCol w:w="420"/>
            <w:gridCol w:w="3050"/>
            <w:gridCol w:w="1500"/>
            <w:gridCol w:w="4530"/>
          </w:tblGrid>
        </w:tblGridChange>
      </w:tblGrid>
      <w:tr>
        <w:trPr>
          <w:cantSplit w:val="1"/>
          <w:tblHeader w:val="0"/>
        </w:trPr>
        <w:tc>
          <w:tcPr>
            <w:shd w:fill="d9e2f3" w:val="clear"/>
            <w:tcMar>
              <w:top w:w="30.0" w:type="dxa"/>
              <w:left w:w="70.0" w:type="dxa"/>
              <w:bottom w:w="30.0" w:type="dxa"/>
              <w:right w:w="70.0" w:type="dxa"/>
            </w:tcMar>
          </w:tcPr>
          <w:p w:rsidR="00000000" w:rsidDel="00000000" w:rsidP="00000000" w:rsidRDefault="00000000" w:rsidRPr="00000000" w14:paraId="00000004">
            <w:pPr>
              <w:spacing w:line="240" w:lineRule="auto"/>
              <w:rPr>
                <w:rFonts w:ascii="Calibri" w:cs="Calibri" w:eastAsia="Calibri" w:hAnsi="Calibri"/>
              </w:rPr>
            </w:pPr>
            <w:r w:rsidDel="00000000" w:rsidR="00000000" w:rsidRPr="00000000">
              <w:rPr>
                <w:rFonts w:ascii="Calibri" w:cs="Calibri" w:eastAsia="Calibri" w:hAnsi="Calibri"/>
                <w:b w:val="1"/>
                <w:bCs w:val="1"/>
                <w:sz w:val="15"/>
                <w:szCs w:val="15"/>
                <w:rtl w:val="0"/>
              </w:rPr>
              <w:t xml:space="preserve">#</w:t>
            </w:r>
            <w:r w:rsidDel="00000000" w:rsidR="00000000" w:rsidRPr="00000000">
              <w:rPr>
                <w:rtl w:val="0"/>
              </w:rPr>
            </w:r>
          </w:p>
        </w:tc>
        <w:tc>
          <w:tcPr>
            <w:shd w:fill="d9e2f3" w:val="clear"/>
            <w:tcMar>
              <w:top w:w="30.0" w:type="dxa"/>
              <w:left w:w="70.0" w:type="dxa"/>
              <w:bottom w:w="30.0" w:type="dxa"/>
              <w:right w:w="70.0" w:type="dxa"/>
            </w:tcMar>
          </w:tcPr>
          <w:p w:rsidR="00000000" w:rsidDel="00000000" w:rsidP="00000000" w:rsidRDefault="00000000" w:rsidRPr="00000000" w14:paraId="00000005">
            <w:pPr>
              <w:spacing w:line="240" w:lineRule="auto"/>
              <w:rPr>
                <w:rFonts w:ascii="Calibri" w:cs="Calibri" w:eastAsia="Calibri" w:hAnsi="Calibri"/>
              </w:rPr>
            </w:pPr>
            <w:r w:rsidDel="00000000" w:rsidR="00000000" w:rsidRPr="00000000">
              <w:rPr>
                <w:rFonts w:ascii="Calibri" w:cs="Calibri" w:eastAsia="Calibri" w:hAnsi="Calibri"/>
                <w:b w:val="1"/>
                <w:bCs w:val="1"/>
                <w:sz w:val="15"/>
                <w:szCs w:val="15"/>
                <w:rtl w:val="0"/>
              </w:rPr>
              <w:t xml:space="preserve">Success criterion</w:t>
            </w:r>
            <w:r w:rsidDel="00000000" w:rsidR="00000000" w:rsidRPr="00000000">
              <w:rPr>
                <w:rtl w:val="0"/>
              </w:rPr>
            </w:r>
          </w:p>
        </w:tc>
        <w:tc>
          <w:tcPr>
            <w:shd w:fill="d9e2f3" w:val="clear"/>
            <w:tcMar>
              <w:top w:w="30.0" w:type="dxa"/>
              <w:left w:w="70.0" w:type="dxa"/>
              <w:bottom w:w="30.0" w:type="dxa"/>
              <w:right w:w="70.0" w:type="dxa"/>
            </w:tcMar>
          </w:tcPr>
          <w:p w:rsidR="00000000" w:rsidDel="00000000" w:rsidP="00000000" w:rsidRDefault="00000000" w:rsidRPr="00000000" w14:paraId="00000006">
            <w:pPr>
              <w:spacing w:line="240" w:lineRule="auto"/>
              <w:rPr>
                <w:rFonts w:ascii="Calibri" w:cs="Calibri" w:eastAsia="Calibri" w:hAnsi="Calibri"/>
              </w:rPr>
            </w:pPr>
            <w:r w:rsidDel="00000000" w:rsidR="00000000" w:rsidRPr="00000000">
              <w:rPr>
                <w:rFonts w:ascii="Calibri" w:cs="Calibri" w:eastAsia="Calibri" w:hAnsi="Calibri"/>
                <w:b w:val="1"/>
                <w:bCs w:val="1"/>
                <w:sz w:val="15"/>
                <w:szCs w:val="15"/>
                <w:rtl w:val="0"/>
              </w:rPr>
              <w:t xml:space="preserve">Status</w:t>
            </w:r>
            <w:r w:rsidDel="00000000" w:rsidR="00000000" w:rsidRPr="00000000">
              <w:rPr>
                <w:rtl w:val="0"/>
              </w:rPr>
            </w:r>
          </w:p>
        </w:tc>
        <w:tc>
          <w:tcPr>
            <w:shd w:fill="d9e2f3" w:val="clear"/>
            <w:tcMar>
              <w:top w:w="30.0" w:type="dxa"/>
              <w:left w:w="70.0" w:type="dxa"/>
              <w:bottom w:w="30.0" w:type="dxa"/>
              <w:right w:w="70.0" w:type="dxa"/>
            </w:tcMar>
          </w:tcPr>
          <w:p w:rsidR="00000000" w:rsidDel="00000000" w:rsidP="00000000" w:rsidRDefault="00000000" w:rsidRPr="00000000" w14:paraId="00000007">
            <w:pPr>
              <w:spacing w:line="240" w:lineRule="auto"/>
              <w:rPr>
                <w:rFonts w:ascii="Calibri" w:cs="Calibri" w:eastAsia="Calibri" w:hAnsi="Calibri"/>
              </w:rPr>
            </w:pPr>
            <w:r w:rsidDel="00000000" w:rsidR="00000000" w:rsidRPr="00000000">
              <w:rPr>
                <w:rFonts w:ascii="Calibri" w:cs="Calibri" w:eastAsia="Calibri" w:hAnsi="Calibri"/>
                <w:b w:val="1"/>
                <w:bCs w:val="1"/>
                <w:sz w:val="15"/>
                <w:szCs w:val="15"/>
                <w:rtl w:val="0"/>
              </w:rPr>
              <w:t xml:space="preserve">Evidence</w:t>
            </w:r>
            <w:r w:rsidDel="00000000" w:rsidR="00000000" w:rsidRPr="00000000">
              <w:rPr>
                <w:rtl w:val="0"/>
              </w:rPr>
            </w:r>
          </w:p>
        </w:tc>
      </w:tr>
      <w:tr>
        <w:trPr>
          <w:cantSplit w:val="1"/>
          <w:tblHeader w:val="0"/>
        </w:trPr>
        <w:tc>
          <w:tcPr>
            <w:tcMar>
              <w:top w:w="30.0" w:type="dxa"/>
              <w:left w:w="70.0" w:type="dxa"/>
              <w:bottom w:w="30.0" w:type="dxa"/>
              <w:right w:w="70.0" w:type="dxa"/>
            </w:tcMar>
          </w:tcPr>
          <w:p w:rsidR="00000000" w:rsidDel="00000000" w:rsidP="00000000" w:rsidRDefault="00000000" w:rsidRPr="00000000" w14:paraId="00000008">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1</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09">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Classify common problems</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0A">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Partly evidenced</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0B">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Keyword fallback 20/27 (74.1%) on 27 labelled messages; Gemini accuracy not yet measured</w:t>
            </w:r>
            <w:r w:rsidDel="00000000" w:rsidR="00000000" w:rsidRPr="00000000">
              <w:rPr>
                <w:rtl w:val="0"/>
              </w:rPr>
            </w:r>
          </w:p>
        </w:tc>
      </w:tr>
      <w:tr>
        <w:trPr>
          <w:cantSplit w:val="1"/>
          <w:tblHeader w:val="0"/>
        </w:trPr>
        <w:tc>
          <w:tcPr>
            <w:tcMar>
              <w:top w:w="30.0" w:type="dxa"/>
              <w:left w:w="70.0" w:type="dxa"/>
              <w:bottom w:w="30.0" w:type="dxa"/>
              <w:right w:w="70.0" w:type="dxa"/>
            </w:tcMar>
          </w:tcPr>
          <w:p w:rsidR="00000000" w:rsidDel="00000000" w:rsidP="00000000" w:rsidRDefault="00000000" w:rsidRPr="00000000" w14:paraId="0000000C">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2</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0D">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Retrieve from approved knowledge base</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0E">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Met</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0F">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Groundedness 15/16 (dev); held-out misses are classification-driven</w:t>
            </w:r>
            <w:r w:rsidDel="00000000" w:rsidR="00000000" w:rsidRPr="00000000">
              <w:rPr>
                <w:rtl w:val="0"/>
              </w:rPr>
            </w:r>
          </w:p>
        </w:tc>
      </w:tr>
      <w:tr>
        <w:trPr>
          <w:cantSplit w:val="1"/>
          <w:tblHeader w:val="0"/>
        </w:trPr>
        <w:tc>
          <w:tcPr>
            <w:tcMar>
              <w:top w:w="30.0" w:type="dxa"/>
              <w:left w:w="70.0" w:type="dxa"/>
              <w:bottom w:w="30.0" w:type="dxa"/>
              <w:right w:w="70.0" w:type="dxa"/>
            </w:tcMar>
          </w:tcPr>
          <w:p w:rsidR="00000000" w:rsidDel="00000000" w:rsidP="00000000" w:rsidRDefault="00000000" w:rsidRPr="00000000" w14:paraId="00000010">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3</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11">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Grounded answers; unsupported questions handled</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12">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Met, one open failure</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13">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Out-of-scope cases I03–I06 pass; “No wifi.” (FC-10) answered from a weak match</w:t>
            </w:r>
            <w:r w:rsidDel="00000000" w:rsidR="00000000" w:rsidRPr="00000000">
              <w:rPr>
                <w:rtl w:val="0"/>
              </w:rPr>
            </w:r>
          </w:p>
        </w:tc>
      </w:tr>
      <w:tr>
        <w:trPr>
          <w:cantSplit w:val="1"/>
          <w:tblHeader w:val="0"/>
        </w:trPr>
        <w:tc>
          <w:tcPr>
            <w:tcMar>
              <w:top w:w="30.0" w:type="dxa"/>
              <w:left w:w="70.0" w:type="dxa"/>
              <w:bottom w:w="30.0" w:type="dxa"/>
              <w:right w:w="70.0" w:type="dxa"/>
            </w:tcMar>
          </w:tcPr>
          <w:p w:rsidR="00000000" w:rsidDel="00000000" w:rsidP="00000000" w:rsidRDefault="00000000" w:rsidRPr="00000000" w14:paraId="00000014">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4</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15">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Use status tool correctly</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16">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Met</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17">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Outage tool scenarios N03, N06, I01–I02, I07, T01–T04, H05, H18–H19</w:t>
            </w:r>
            <w:r w:rsidDel="00000000" w:rsidR="00000000" w:rsidRPr="00000000">
              <w:rPr>
                <w:rtl w:val="0"/>
              </w:rPr>
            </w:r>
          </w:p>
        </w:tc>
      </w:tr>
      <w:tr>
        <w:trPr>
          <w:cantSplit w:val="1"/>
          <w:tblHeader w:val="0"/>
        </w:trPr>
        <w:tc>
          <w:tcPr>
            <w:tcMar>
              <w:top w:w="30.0" w:type="dxa"/>
              <w:left w:w="70.0" w:type="dxa"/>
              <w:bottom w:w="30.0" w:type="dxa"/>
              <w:right w:w="70.0" w:type="dxa"/>
            </w:tcMar>
          </w:tcPr>
          <w:p w:rsidR="00000000" w:rsidDel="00000000" w:rsidP="00000000" w:rsidRDefault="00000000" w:rsidRPr="00000000" w14:paraId="00000018">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5</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19">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Request missing information</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1A">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Met</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1B">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Asks for type, start time, Wi-Fi/cable, lights; at most 2 rounds; reply continues the case</w:t>
            </w:r>
            <w:r w:rsidDel="00000000" w:rsidR="00000000" w:rsidRPr="00000000">
              <w:rPr>
                <w:rtl w:val="0"/>
              </w:rPr>
            </w:r>
          </w:p>
        </w:tc>
      </w:tr>
      <w:tr>
        <w:trPr>
          <w:cantSplit w:val="1"/>
          <w:tblHeader w:val="0"/>
        </w:trPr>
        <w:tc>
          <w:tcPr>
            <w:tcMar>
              <w:top w:w="30.0" w:type="dxa"/>
              <w:left w:w="70.0" w:type="dxa"/>
              <w:bottom w:w="30.0" w:type="dxa"/>
              <w:right w:w="70.0" w:type="dxa"/>
            </w:tcMar>
          </w:tcPr>
          <w:p w:rsidR="00000000" w:rsidDel="00000000" w:rsidP="00000000" w:rsidRDefault="00000000" w:rsidRPr="00000000" w14:paraId="0000001C">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6</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1D">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Create and route simulated ticket</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1E">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Met (routing = priority rule)</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1F">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Ticket holds report, category, evidence; always pending approval</w:t>
            </w:r>
            <w:r w:rsidDel="00000000" w:rsidR="00000000" w:rsidRPr="00000000">
              <w:rPr>
                <w:rtl w:val="0"/>
              </w:rPr>
            </w:r>
          </w:p>
        </w:tc>
      </w:tr>
      <w:tr>
        <w:trPr>
          <w:cantSplit w:val="1"/>
          <w:tblHeader w:val="0"/>
        </w:trPr>
        <w:tc>
          <w:tcPr>
            <w:tcMar>
              <w:top w:w="30.0" w:type="dxa"/>
              <w:left w:w="70.0" w:type="dxa"/>
              <w:bottom w:w="30.0" w:type="dxa"/>
              <w:right w:w="70.0" w:type="dxa"/>
            </w:tcMar>
          </w:tcPr>
          <w:p w:rsidR="00000000" w:rsidDel="00000000" w:rsidP="00000000" w:rsidRDefault="00000000" w:rsidRPr="00000000" w14:paraId="00000020">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7</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21">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Bounded multi-step workflow</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22">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Met</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23">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6-step cap, allow-list enforced in the loop, stop conditions tested</w:t>
            </w:r>
            <w:r w:rsidDel="00000000" w:rsidR="00000000" w:rsidRPr="00000000">
              <w:rPr>
                <w:rtl w:val="0"/>
              </w:rPr>
            </w:r>
          </w:p>
        </w:tc>
      </w:tr>
      <w:tr>
        <w:trPr>
          <w:cantSplit w:val="1"/>
          <w:tblHeader w:val="0"/>
        </w:trPr>
        <w:tc>
          <w:tcPr>
            <w:tcMar>
              <w:top w:w="30.0" w:type="dxa"/>
              <w:left w:w="70.0" w:type="dxa"/>
              <w:bottom w:w="30.0" w:type="dxa"/>
              <w:right w:w="70.0" w:type="dxa"/>
            </w:tcMar>
          </w:tcPr>
          <w:p w:rsidR="00000000" w:rsidDel="00000000" w:rsidP="00000000" w:rsidRDefault="00000000" w:rsidRPr="00000000" w14:paraId="00000024">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8</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25">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Explicit state for the active case</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26">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Met</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27">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AgentState (one run) and CaseSession (open case)</w:t>
            </w:r>
            <w:r w:rsidDel="00000000" w:rsidR="00000000" w:rsidRPr="00000000">
              <w:rPr>
                <w:rtl w:val="0"/>
              </w:rPr>
            </w:r>
          </w:p>
        </w:tc>
      </w:tr>
      <w:tr>
        <w:trPr>
          <w:cantSplit w:val="1"/>
          <w:tblHeader w:val="0"/>
        </w:trPr>
        <w:tc>
          <w:tcPr>
            <w:tcMar>
              <w:top w:w="30.0" w:type="dxa"/>
              <w:left w:w="70.0" w:type="dxa"/>
              <w:bottom w:w="30.0" w:type="dxa"/>
              <w:right w:w="70.0" w:type="dxa"/>
            </w:tcMar>
          </w:tcPr>
          <w:p w:rsidR="00000000" w:rsidDel="00000000" w:rsidP="00000000" w:rsidRDefault="00000000" w:rsidRPr="00000000" w14:paraId="00000028">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9</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29">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One justified persistent memory</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2A">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Met</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2B">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Duplicate-ticket hint; retention, deletion, anonymous sessions excluded</w:t>
            </w:r>
            <w:r w:rsidDel="00000000" w:rsidR="00000000" w:rsidRPr="00000000">
              <w:rPr>
                <w:rtl w:val="0"/>
              </w:rPr>
            </w:r>
          </w:p>
        </w:tc>
      </w:tr>
      <w:tr>
        <w:trPr>
          <w:cantSplit w:val="1"/>
          <w:tblHeader w:val="0"/>
        </w:trPr>
        <w:tc>
          <w:tcPr>
            <w:tcMar>
              <w:top w:w="30.0" w:type="dxa"/>
              <w:left w:w="70.0" w:type="dxa"/>
              <w:bottom w:w="30.0" w:type="dxa"/>
              <w:right w:w="70.0" w:type="dxa"/>
            </w:tcMar>
          </w:tcPr>
          <w:p w:rsidR="00000000" w:rsidDel="00000000" w:rsidP="00000000" w:rsidRDefault="00000000" w:rsidRPr="00000000" w14:paraId="0000002C">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10</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2D">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Prevent unauthorised/prohibited actions</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2E">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Met, one open detection gap</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2F">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0 safety violations in 66 scenarios; paraphrased injection missed (FC-11), impact contained</w:t>
            </w:r>
            <w:r w:rsidDel="00000000" w:rsidR="00000000" w:rsidRPr="00000000">
              <w:rPr>
                <w:rtl w:val="0"/>
              </w:rPr>
            </w:r>
          </w:p>
        </w:tc>
      </w:tr>
      <w:tr>
        <w:trPr>
          <w:cantSplit w:val="1"/>
          <w:tblHeader w:val="0"/>
        </w:trPr>
        <w:tc>
          <w:tcPr>
            <w:tcMar>
              <w:top w:w="30.0" w:type="dxa"/>
              <w:left w:w="70.0" w:type="dxa"/>
              <w:bottom w:w="30.0" w:type="dxa"/>
              <w:right w:w="70.0" w:type="dxa"/>
            </w:tcMar>
          </w:tcPr>
          <w:p w:rsidR="00000000" w:rsidDel="00000000" w:rsidP="00000000" w:rsidRDefault="00000000" w:rsidRPr="00000000" w14:paraId="00000030">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11</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31">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Useful traces</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32">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Met</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33">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One JSONL record per message; no raw text</w:t>
            </w:r>
            <w:r w:rsidDel="00000000" w:rsidR="00000000" w:rsidRPr="00000000">
              <w:rPr>
                <w:rtl w:val="0"/>
              </w:rPr>
            </w:r>
          </w:p>
        </w:tc>
      </w:tr>
      <w:tr>
        <w:trPr>
          <w:cantSplit w:val="1"/>
          <w:tblHeader w:val="0"/>
        </w:trPr>
        <w:tc>
          <w:tcPr>
            <w:tcMar>
              <w:top w:w="30.0" w:type="dxa"/>
              <w:left w:w="70.0" w:type="dxa"/>
              <w:bottom w:w="30.0" w:type="dxa"/>
              <w:right w:w="70.0" w:type="dxa"/>
            </w:tcMar>
          </w:tcPr>
          <w:p w:rsidR="00000000" w:rsidDel="00000000" w:rsidP="00000000" w:rsidRDefault="00000000" w:rsidRPr="00000000" w14:paraId="00000034">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12</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35">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Evaluate normal, edge, failure, adversarial</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36">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Met</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37">
            <w:pPr>
              <w:spacing w:line="240" w:lineRule="auto"/>
              <w:rPr>
                <w:rFonts w:ascii="Calibri" w:cs="Calibri" w:eastAsia="Calibri" w:hAnsi="Calibri"/>
              </w:rPr>
            </w:pPr>
            <w:r w:rsidDel="00000000" w:rsidR="00000000" w:rsidRPr="00000000">
              <w:rPr>
                <w:rFonts w:ascii="Calibri" w:cs="Calibri" w:eastAsia="Calibri" w:hAnsi="Calibri"/>
                <w:sz w:val="15"/>
                <w:szCs w:val="15"/>
                <w:rtl w:val="0"/>
              </w:rPr>
              <w:t xml:space="preserve">66 scenarios across six types; second set held out</w:t>
            </w:r>
            <w:r w:rsidDel="00000000" w:rsidR="00000000" w:rsidRPr="00000000">
              <w:rPr>
                <w:rtl w:val="0"/>
              </w:rPr>
            </w:r>
          </w:p>
        </w:tc>
      </w:tr>
    </w:tbl>
    <w:p w:rsidR="00000000" w:rsidDel="00000000" w:rsidP="00000000" w:rsidRDefault="00000000" w:rsidRPr="00000000" w14:paraId="00000038">
      <w:pPr>
        <w:spacing w:after="90" w:line="264" w:lineRule="auto"/>
        <w:jc w:val="both"/>
        <w:rPr>
          <w:rFonts w:ascii="Calibri" w:cs="Calibri" w:eastAsia="Calibri" w:hAnsi="Calibri"/>
        </w:rPr>
      </w:pPr>
      <w:r w:rsidDel="00000000" w:rsidR="00000000" w:rsidRPr="00000000">
        <w:rPr>
          <w:rFonts w:ascii="Calibri" w:cs="Calibri" w:eastAsia="Calibri" w:hAnsi="Calibri"/>
          <w:i w:val="1"/>
          <w:iCs w:val="1"/>
          <w:sz w:val="17"/>
          <w:szCs w:val="17"/>
          <w:rtl w:val="0"/>
        </w:rPr>
        <w:t xml:space="preserve">Table 1. Success criteria and final status.</w:t>
      </w:r>
      <w:r w:rsidDel="00000000" w:rsidR="00000000" w:rsidRPr="00000000">
        <w:rPr>
          <w:rtl w:val="0"/>
        </w:rPr>
      </w:r>
    </w:p>
    <w:p w:rsidR="00000000" w:rsidDel="00000000" w:rsidP="00000000" w:rsidRDefault="00000000" w:rsidRPr="00000000" w14:paraId="00000039">
      <w:pPr>
        <w:spacing w:after="90" w:line="264" w:lineRule="auto"/>
        <w:jc w:val="both"/>
        <w:rPr>
          <w:rFonts w:ascii="Calibri" w:cs="Calibri" w:eastAsia="Calibri" w:hAnsi="Calibri"/>
        </w:rPr>
      </w:pPr>
      <w:r w:rsidDel="00000000" w:rsidR="00000000" w:rsidRPr="00000000">
        <w:rPr>
          <w:rFonts w:ascii="Calibri" w:cs="Calibri" w:eastAsia="Calibri" w:hAnsi="Calibri"/>
          <w:rtl w:val="0"/>
        </w:rPr>
        <w:t xml:space="preserve">AI Boundary Matrix. The matrix assigns reasoning to the model, enforcement to deterministic software and high-impact decisions to humans. The implementation is deliberately more conservative than the matrix: the model only classifies. Deterministic code produces action selection, clarification questions, guidance text, and ticket content, so every behaviour is testable (Appendix B lists each deviation). We set success measures at ≥ 90% task completion and groundedness, 0 safety violations, 0 crashes, and p95 latency ≤ 1 s, plus a requirement to report held-out and development results.</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