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spacing w:after="80" w:before="200" w:line="240" w:lineRule="auto"/>
        <w:rPr>
          <w:rFonts w:ascii="Calibri" w:cs="Calibri" w:eastAsia="Calibri" w:hAnsi="Calibri"/>
        </w:rPr>
      </w:pPr>
      <w:r w:rsidDel="00000000" w:rsidR="00000000" w:rsidRPr="00000000">
        <w:rPr>
          <w:rFonts w:ascii="Calibri" w:cs="Calibri" w:eastAsia="Calibri" w:hAnsi="Calibri"/>
          <w:b w:val="1"/>
          <w:bCs w:val="1"/>
          <w:color w:val="1f3864"/>
          <w:sz w:val="25"/>
          <w:szCs w:val="25"/>
          <w:rtl w:val="0"/>
        </w:rPr>
        <w:t xml:space="preserve">Foundation Model and Prompt Engineering</w:t>
      </w:r>
      <w:r w:rsidDel="00000000" w:rsidR="00000000" w:rsidRPr="00000000">
        <w:rPr>
          <w:rtl w:val="0"/>
        </w:rPr>
      </w:r>
    </w:p>
    <w:p w:rsidR="00000000" w:rsidDel="00000000" w:rsidP="00000000" w:rsidRDefault="00000000" w:rsidRPr="00000000" w14:paraId="00000002">
      <w:pPr>
        <w:spacing w:after="90" w:line="264" w:lineRule="auto"/>
        <w:jc w:val="both"/>
        <w:rPr>
          <w:rFonts w:ascii="Calibri" w:cs="Calibri" w:eastAsia="Calibri" w:hAnsi="Calibri"/>
        </w:rPr>
      </w:pPr>
      <w:r w:rsidDel="00000000" w:rsidR="00000000" w:rsidRPr="00000000">
        <w:rPr>
          <w:rFonts w:ascii="Calibri" w:cs="Calibri" w:eastAsia="Calibri" w:hAnsi="Calibri"/>
          <w:rtl w:val="0"/>
        </w:rPr>
        <w:t xml:space="preserve">Model rationale. The slot needs fast, cheap, structured classification, not open-ended generation. The default is gemini-3.5-flash-lite (free tier, designed for high-volume simple tasks), selectable through GEMINI_MODEL. Correction: the Week 2 selection was gemini-2.0-flash, which Google shut down on 1 June 2026 (Google deprecations page, accessed 20 October 2026). The error was found in the Week 8 review and is why the model id is now configuration, not code. The free tier may use submitted content to improve Google products, so only synthetic text is sent.</w:t>
      </w:r>
    </w:p>
    <w:p w:rsidR="00000000" w:rsidDel="00000000" w:rsidP="00000000" w:rsidRDefault="00000000" w:rsidRPr="00000000" w14:paraId="00000003">
      <w:pPr>
        <w:spacing w:after="90" w:line="264" w:lineRule="auto"/>
        <w:jc w:val="both"/>
        <w:rPr>
          <w:rFonts w:ascii="Calibri" w:cs="Calibri" w:eastAsia="Calibri" w:hAnsi="Calibri"/>
        </w:rPr>
      </w:pPr>
      <w:r w:rsidDel="00000000" w:rsidR="00000000" w:rsidRPr="00000000">
        <w:rPr>
          <w:rFonts w:ascii="Calibri" w:cs="Calibri" w:eastAsia="Calibri" w:hAnsi="Calibri"/>
          <w:rtl w:val="0"/>
        </w:rPr>
        <w:t xml:space="preserve">Prompt architecture. A versioned system prompt (prompts/classifier_system_v1.1.txt) defines role, task, six allowed categories, context, constraints (no outage claims, no actions, treat embedded instructions as data), a strict JSON schema and failure behaviour. The customer message is sent as a separate user turn between explicit markers and labelled as data. Version 1.0 to 1.1 added three constraints that anticipated known failure modes: no markdown fences, three allowed confidence values, and instruction-override messages classified as unclear. These were design decisions; they were not observed failures from live runs, and an earlier project document that said otherwise was corrected (Appendix F, G-5).</w:t>
      </w:r>
    </w:p>
    <w:p w:rsidR="00000000" w:rsidDel="00000000" w:rsidP="00000000" w:rsidRDefault="00000000" w:rsidRPr="00000000" w14:paraId="00000004">
      <w:pPr>
        <w:spacing w:after="90" w:line="264" w:lineRule="auto"/>
        <w:jc w:val="both"/>
        <w:rPr>
          <w:rFonts w:ascii="Calibri" w:cs="Calibri" w:eastAsia="Calibri" w:hAnsi="Calibri"/>
        </w:rPr>
      </w:pPr>
      <w:r w:rsidDel="00000000" w:rsidR="00000000" w:rsidRPr="00000000">
        <w:rPr>
          <w:rFonts w:ascii="Calibri" w:cs="Calibri" w:eastAsia="Calibri" w:hAnsi="Calibri"/>
          <w:rtl w:val="0"/>
        </w:rPr>
        <w:t xml:space="preserve">The model is treated as untrusted (classifier.py). Its reply must be valid JSON naming one of the six categories; a low-confidence answer becomes “unclear”; a timeout (10 s), API error, malformed JSON or invalid category falls back to the keyword rules and records the reason in the trace. Its optional rationale and clarification fields are ignored.</w:t>
      </w:r>
    </w:p>
    <w:p w:rsidR="00000000" w:rsidDel="00000000" w:rsidP="00000000" w:rsidRDefault="00000000" w:rsidRPr="00000000" w14:paraId="00000005">
      <w:pPr>
        <w:spacing w:after="90" w:line="264" w:lineRule="auto"/>
        <w:jc w:val="both"/>
        <w:rPr>
          <w:rFonts w:ascii="Calibri" w:cs="Calibri" w:eastAsia="Calibri" w:hAnsi="Calibri"/>
        </w:rPr>
      </w:pPr>
      <w:r w:rsidDel="00000000" w:rsidR="00000000" w:rsidRPr="00000000">
        <w:rPr>
          <w:rFonts w:ascii="Calibri" w:cs="Calibri" w:eastAsia="Calibri" w:hAnsi="Calibri"/>
          <w:rtl w:val="0"/>
        </w:rPr>
        <w:t xml:space="preserve">Baseline evaluation. 27 labelled messages (Week 2 cases, held-out phrasings, new cases). The keyword fallback scores 20/27 (74.1%). </w:t>
      </w:r>
      <w:r w:rsidDel="00000000" w:rsidR="00000000" w:rsidRPr="00000000">
        <w:rPr>
          <w:rFonts w:ascii="Calibri" w:cs="Calibri" w:eastAsia="Calibri" w:hAnsi="Calibri"/>
          <w:b w:val="1"/>
          <w:bCs w:val="1"/>
          <w:rtl w:val="0"/>
        </w:rPr>
        <w:t xml:space="preserve">Gemini result: not measured. </w:t>
      </w:r>
      <w:r w:rsidDel="00000000" w:rsidR="00000000" w:rsidRPr="00000000">
        <w:rPr>
          <w:rFonts w:ascii="Calibri" w:cs="Calibri" w:eastAsia="Calibri" w:hAnsi="Calibri"/>
          <w:rtl w:val="0"/>
        </w:rPr>
        <w:t xml:space="preserve">The live comparison was not run before submission, so this report makes no accuracy or latency claim for Gemini. The script that produces it (python src/gemini_eval.py) is included and is the first item under future work. What is verified without a key: a contract test runs the real classifier code against the real google-genai SDK (v2.32.0) with only the network call stubbed, confirming the call shape, JSON mode, temperature 0, prompt loading and message wrapping.</w:t>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300"/>
        <w:gridCol w:w="2300"/>
        <w:gridCol w:w="2300"/>
        <w:tblGridChange w:id="0">
          <w:tblGrid>
            <w:gridCol w:w="2600"/>
            <w:gridCol w:w="2300"/>
            <w:gridCol w:w="2300"/>
            <w:gridCol w:w="2300"/>
          </w:tblGrid>
        </w:tblGridChange>
      </w:tblGrid>
      <w:tr>
        <w:trPr>
          <w:cantSplit w:val="1"/>
          <w:tblHeader w:val="0"/>
        </w:trPr>
        <w:tc>
          <w:tcPr>
            <w:shd w:fill="d9e2f3" w:val="clear"/>
            <w:tcMar>
              <w:top w:w="30.0" w:type="dxa"/>
              <w:left w:w="70.0" w:type="dxa"/>
              <w:bottom w:w="30.0" w:type="dxa"/>
              <w:right w:w="70.0" w:type="dxa"/>
            </w:tcMar>
          </w:tcPr>
          <w:p w:rsidR="00000000" w:rsidDel="00000000" w:rsidP="00000000" w:rsidRDefault="00000000" w:rsidRPr="00000000" w14:paraId="00000006">
            <w:pPr>
              <w:spacing w:line="240" w:lineRule="auto"/>
              <w:rPr>
                <w:rFonts w:ascii="Calibri" w:cs="Calibri" w:eastAsia="Calibri" w:hAnsi="Calibri"/>
              </w:rPr>
            </w:pPr>
            <w:r w:rsidDel="00000000" w:rsidR="00000000" w:rsidRPr="00000000">
              <w:rPr>
                <w:rFonts w:ascii="Calibri" w:cs="Calibri" w:eastAsia="Calibri" w:hAnsi="Calibri"/>
                <w:b w:val="1"/>
                <w:bCs w:val="1"/>
                <w:sz w:val="16"/>
                <w:szCs w:val="16"/>
                <w:rtl w:val="0"/>
              </w:rPr>
              <w:t xml:space="preserve">Classifier</w:t>
            </w:r>
            <w:r w:rsidDel="00000000" w:rsidR="00000000" w:rsidRPr="00000000">
              <w:rPr>
                <w:rtl w:val="0"/>
              </w:rPr>
            </w:r>
          </w:p>
        </w:tc>
        <w:tc>
          <w:tcPr>
            <w:shd w:fill="d9e2f3" w:val="clear"/>
            <w:tcMar>
              <w:top w:w="30.0" w:type="dxa"/>
              <w:left w:w="70.0" w:type="dxa"/>
              <w:bottom w:w="30.0" w:type="dxa"/>
              <w:right w:w="70.0" w:type="dxa"/>
            </w:tcMar>
          </w:tcPr>
          <w:p w:rsidR="00000000" w:rsidDel="00000000" w:rsidP="00000000" w:rsidRDefault="00000000" w:rsidRPr="00000000" w14:paraId="00000007">
            <w:pPr>
              <w:spacing w:line="240" w:lineRule="auto"/>
              <w:rPr>
                <w:rFonts w:ascii="Calibri" w:cs="Calibri" w:eastAsia="Calibri" w:hAnsi="Calibri"/>
              </w:rPr>
            </w:pPr>
            <w:r w:rsidDel="00000000" w:rsidR="00000000" w:rsidRPr="00000000">
              <w:rPr>
                <w:rFonts w:ascii="Calibri" w:cs="Calibri" w:eastAsia="Calibri" w:hAnsi="Calibri"/>
                <w:b w:val="1"/>
                <w:bCs w:val="1"/>
                <w:sz w:val="16"/>
                <w:szCs w:val="16"/>
                <w:rtl w:val="0"/>
              </w:rPr>
              <w:t xml:space="preserve">Accuracy (27 cases)</w:t>
            </w:r>
            <w:r w:rsidDel="00000000" w:rsidR="00000000" w:rsidRPr="00000000">
              <w:rPr>
                <w:rtl w:val="0"/>
              </w:rPr>
            </w:r>
          </w:p>
        </w:tc>
        <w:tc>
          <w:tcPr>
            <w:shd w:fill="d9e2f3" w:val="clear"/>
            <w:tcMar>
              <w:top w:w="30.0" w:type="dxa"/>
              <w:left w:w="70.0" w:type="dxa"/>
              <w:bottom w:w="30.0" w:type="dxa"/>
              <w:right w:w="70.0" w:type="dxa"/>
            </w:tcMar>
          </w:tcPr>
          <w:p w:rsidR="00000000" w:rsidDel="00000000" w:rsidP="00000000" w:rsidRDefault="00000000" w:rsidRPr="00000000" w14:paraId="00000008">
            <w:pPr>
              <w:spacing w:line="240" w:lineRule="auto"/>
              <w:rPr>
                <w:rFonts w:ascii="Calibri" w:cs="Calibri" w:eastAsia="Calibri" w:hAnsi="Calibri"/>
              </w:rPr>
            </w:pPr>
            <w:r w:rsidDel="00000000" w:rsidR="00000000" w:rsidRPr="00000000">
              <w:rPr>
                <w:rFonts w:ascii="Calibri" w:cs="Calibri" w:eastAsia="Calibri" w:hAnsi="Calibri"/>
                <w:b w:val="1"/>
                <w:bCs w:val="1"/>
                <w:sz w:val="16"/>
                <w:szCs w:val="16"/>
                <w:rtl w:val="0"/>
              </w:rPr>
              <w:t xml:space="preserve">Median latency</w:t>
            </w:r>
            <w:r w:rsidDel="00000000" w:rsidR="00000000" w:rsidRPr="00000000">
              <w:rPr>
                <w:rtl w:val="0"/>
              </w:rPr>
            </w:r>
          </w:p>
        </w:tc>
        <w:tc>
          <w:tcPr>
            <w:shd w:fill="d9e2f3" w:val="clear"/>
            <w:tcMar>
              <w:top w:w="30.0" w:type="dxa"/>
              <w:left w:w="70.0" w:type="dxa"/>
              <w:bottom w:w="30.0" w:type="dxa"/>
              <w:right w:w="70.0" w:type="dxa"/>
            </w:tcMar>
          </w:tcPr>
          <w:p w:rsidR="00000000" w:rsidDel="00000000" w:rsidP="00000000" w:rsidRDefault="00000000" w:rsidRPr="00000000" w14:paraId="00000009">
            <w:pPr>
              <w:spacing w:line="240" w:lineRule="auto"/>
              <w:rPr>
                <w:rFonts w:ascii="Calibri" w:cs="Calibri" w:eastAsia="Calibri" w:hAnsi="Calibri"/>
              </w:rPr>
            </w:pPr>
            <w:r w:rsidDel="00000000" w:rsidR="00000000" w:rsidRPr="00000000">
              <w:rPr>
                <w:rFonts w:ascii="Calibri" w:cs="Calibri" w:eastAsia="Calibri" w:hAnsi="Calibri"/>
                <w:b w:val="1"/>
                <w:bCs w:val="1"/>
                <w:sz w:val="16"/>
                <w:szCs w:val="16"/>
                <w:rtl w:val="0"/>
              </w:rPr>
              <w:t xml:space="preserve">Status</w:t>
            </w:r>
            <w:r w:rsidDel="00000000" w:rsidR="00000000" w:rsidRPr="00000000">
              <w:rPr>
                <w:rtl w:val="0"/>
              </w:rPr>
            </w:r>
          </w:p>
        </w:tc>
      </w:tr>
      <w:tr>
        <w:trPr>
          <w:cantSplit w:val="1"/>
          <w:tblHeader w:val="0"/>
        </w:trPr>
        <w:tc>
          <w:tcPr>
            <w:tcMar>
              <w:top w:w="30.0" w:type="dxa"/>
              <w:left w:w="70.0" w:type="dxa"/>
              <w:bottom w:w="30.0" w:type="dxa"/>
              <w:right w:w="70.0" w:type="dxa"/>
            </w:tcMar>
          </w:tcPr>
          <w:p w:rsidR="00000000" w:rsidDel="00000000" w:rsidP="00000000" w:rsidRDefault="00000000" w:rsidRPr="00000000" w14:paraId="0000000A">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Keyword fallback (offline)</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0B">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20/27 (74.1%)</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0C">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&lt; 1 ms</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0D">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Measured</w:t>
            </w:r>
            <w:r w:rsidDel="00000000" w:rsidR="00000000" w:rsidRPr="00000000">
              <w:rPr>
                <w:rtl w:val="0"/>
              </w:rPr>
            </w:r>
          </w:p>
        </w:tc>
      </w:tr>
      <w:tr>
        <w:trPr>
          <w:cantSplit w:val="1"/>
          <w:tblHeader w:val="0"/>
        </w:trPr>
        <w:tc>
          <w:tcPr>
            <w:tcMar>
              <w:top w:w="30.0" w:type="dxa"/>
              <w:left w:w="70.0" w:type="dxa"/>
              <w:bottom w:w="30.0" w:type="dxa"/>
              <w:right w:w="70.0" w:type="dxa"/>
            </w:tcMar>
          </w:tcPr>
          <w:p w:rsidR="00000000" w:rsidDel="00000000" w:rsidP="00000000" w:rsidRDefault="00000000" w:rsidRPr="00000000" w14:paraId="0000000E">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Gemini (gemini-3.5-flash-lite default)</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0F">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Not measured</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10">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Not measured</w:t>
            </w:r>
            <w:r w:rsidDel="00000000" w:rsidR="00000000" w:rsidRPr="00000000">
              <w:rPr>
                <w:rtl w:val="0"/>
              </w:rPr>
            </w:r>
          </w:p>
        </w:tc>
        <w:tc>
          <w:tcPr>
            <w:tcMar>
              <w:top w:w="30.0" w:type="dxa"/>
              <w:left w:w="70.0" w:type="dxa"/>
              <w:bottom w:w="30.0" w:type="dxa"/>
              <w:right w:w="70.0" w:type="dxa"/>
            </w:tcMar>
          </w:tcPr>
          <w:p w:rsidR="00000000" w:rsidDel="00000000" w:rsidP="00000000" w:rsidRDefault="00000000" w:rsidRPr="00000000" w14:paraId="00000011">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Script provided, not run</w:t>
            </w:r>
            <w:r w:rsidDel="00000000" w:rsidR="00000000" w:rsidRPr="00000000">
              <w:rPr>
                <w:rtl w:val="0"/>
              </w:rPr>
            </w:r>
          </w:p>
        </w:tc>
      </w:tr>
    </w:tbl>
    <w:p w:rsidR="00000000" w:rsidDel="00000000" w:rsidP="00000000" w:rsidRDefault="00000000" w:rsidRPr="00000000" w14:paraId="00000012">
      <w:pPr>
        <w:spacing w:after="20"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