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UPDATED ARCHITECTURE DIAGRAM</w:t>
      </w:r>
    </w:p>
    <w:p>
      <w:pPr>
        <w:spacing w:after="120"/>
      </w:pPr>
      <w:r>
        <w:t xml:space="preserve">The tool layer sits after classification (Week 2) and RAG-grounded troubleshooting (Week 3): if the customer's issue is classified as a possible outage, the orchestration layer calls check_outage_status; if the issue remains unresolved after grounded troubleshooting, it calls create_support_ticket, which is held behind a human approval gate before it is ever treated as created.</w:t>
      </w:r>
    </w:p>
    <w:p>
      <w:pPr>
        <w:spacing w:after="15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429d73c78beff744a49f175f3ae348d36ed0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2026-09-24T06:09:05.306Z</dcterms:created>
  <dcterms:modified xsi:type="dcterms:W3CDTF">2026-09-24T06:09:05.306Z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