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ind w:left="720" w:firstLine="0"/>
        <w:rPr>
          <w:b w:val="1"/>
        </w:rPr>
      </w:pPr>
      <w:bookmarkStart w:colFirst="0" w:colLast="0" w:name="_fkpv1uiba1ql" w:id="0"/>
      <w:bookmarkEnd w:id="0"/>
      <w:r w:rsidDel="00000000" w:rsidR="00000000" w:rsidRPr="00000000">
        <w:rPr>
          <w:b w:val="1"/>
          <w:rtl w:val="0"/>
        </w:rPr>
        <w:t xml:space="preserve">Create Access and Security Key on AWS</w:t>
      </w:r>
    </w:p>
    <w:p w:rsidR="00000000" w:rsidDel="00000000" w:rsidP="00000000" w:rsidRDefault="00000000" w:rsidRPr="00000000" w14:paraId="00000002">
      <w:pPr>
        <w:numPr>
          <w:ilvl w:val="0"/>
          <w:numId w:val="1"/>
        </w:numPr>
        <w:ind w:left="720" w:hanging="360"/>
      </w:pPr>
      <w:r w:rsidDel="00000000" w:rsidR="00000000" w:rsidRPr="00000000">
        <w:rPr>
          <w:rtl w:val="0"/>
        </w:rPr>
        <w:t xml:space="preserve">Login in to your AWS account.</w:t>
      </w:r>
    </w:p>
    <w:p w:rsidR="00000000" w:rsidDel="00000000" w:rsidP="00000000" w:rsidRDefault="00000000" w:rsidRPr="00000000" w14:paraId="00000003">
      <w:pPr>
        <w:numPr>
          <w:ilvl w:val="0"/>
          <w:numId w:val="1"/>
        </w:numPr>
        <w:ind w:left="720" w:hanging="360"/>
      </w:pPr>
      <w:r w:rsidDel="00000000" w:rsidR="00000000" w:rsidRPr="00000000">
        <w:rPr>
          <w:rtl w:val="0"/>
        </w:rPr>
        <w:t xml:space="preserve">Click on the username on the right upper corner and the drop down menu will open.</w:t>
      </w:r>
    </w:p>
    <w:p w:rsidR="00000000" w:rsidDel="00000000" w:rsidP="00000000" w:rsidRDefault="00000000" w:rsidRPr="00000000" w14:paraId="00000004">
      <w:pPr>
        <w:numPr>
          <w:ilvl w:val="0"/>
          <w:numId w:val="1"/>
        </w:numPr>
        <w:ind w:left="720" w:hanging="360"/>
      </w:pPr>
      <w:r w:rsidDel="00000000" w:rsidR="00000000" w:rsidRPr="00000000">
        <w:rPr>
          <w:rtl w:val="0"/>
        </w:rPr>
        <w:t xml:space="preserve">Select Security Credentials which will redirect the user to My security credentials Page.</w:t>
      </w:r>
    </w:p>
    <w:p w:rsidR="00000000" w:rsidDel="00000000" w:rsidP="00000000" w:rsidRDefault="00000000" w:rsidRPr="00000000" w14:paraId="00000005">
      <w:pPr>
        <w:numPr>
          <w:ilvl w:val="0"/>
          <w:numId w:val="1"/>
        </w:numPr>
        <w:ind w:left="720" w:hanging="360"/>
      </w:pPr>
      <w:r w:rsidDel="00000000" w:rsidR="00000000" w:rsidRPr="00000000">
        <w:rPr>
          <w:rtl w:val="0"/>
        </w:rPr>
        <w:t xml:space="preserve">Scroll down to the section name Access keys.</w:t>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Click on the Create Access Key button on the right upper corner which will redirect the user to the page where the user can select the type of access for the key.</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Select the type of access “Other '' If you did not find the in the options and click Next, Which will redirect you to the page to create a tag for the key for identification.</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Write the tag for the key and click Create Access Key, which will redirect you to the page named Retrieve Access key.</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Copy the Access key and Security Key. Important Security Key is visible only once so save the security key in a safe place. Never visibly use the Security Key in the Code or elsewhere. Use the Security key for the environment variables, password managers or from secure configurations.</w:t>
        <w:br w:type="textWrapping"/>
        <w:br w:type="textWrapping"/>
      </w:r>
    </w:p>
    <w:p w:rsidR="00000000" w:rsidDel="00000000" w:rsidP="00000000" w:rsidRDefault="00000000" w:rsidRPr="00000000" w14:paraId="0000000A">
      <w:pPr>
        <w:rPr/>
      </w:pPr>
      <w:r w:rsidDel="00000000" w:rsidR="00000000" w:rsidRPr="00000000">
        <w:rPr/>
        <w:drawing>
          <wp:inline distB="114300" distT="114300" distL="114300" distR="114300">
            <wp:extent cx="5943600" cy="2628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26670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26543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26289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26289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