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Федеральное государственное автономное образовательное учреждение высшего образования</w:t>
      </w:r>
    </w:p>
    <w:p>
      <w:pPr>
        <w:pStyle w:val="BodyText"/>
      </w:pPr>
      <w:r>
        <w:t xml:space="preserve">НАЦИОНАЛЬНЫЙ ИССЛЕДОВАТЕЛЬСКИЙ УНИВЕРСИТЕТ</w:t>
      </w:r>
    </w:p>
    <w:p>
      <w:pPr>
        <w:pStyle w:val="BodyText"/>
      </w:pPr>
      <w:r>
        <w:t xml:space="preserve">«ВЫСШАЯ ШКОЛА ЭКОНОМИКИ»</w:t>
      </w:r>
    </w:p>
    <w:p>
      <w:pPr>
        <w:pStyle w:val="BodyText"/>
      </w:pPr>
      <w:r>
        <w:t xml:space="preserve">Факультет экономических наук</w:t>
      </w:r>
    </w:p>
    <w:p>
      <w:pPr>
        <w:pStyle w:val="BodyText"/>
      </w:pPr>
      <w:r>
        <w:t xml:space="preserve">Образовательная программа «Экономика»</w:t>
      </w:r>
    </w:p>
    <w:p>
      <w:pPr>
        <w:pStyle w:val="BodyText"/>
      </w:pPr>
      <w:r>
        <w:rPr>
          <w:b/>
          <w:bCs/>
        </w:rPr>
        <w:t xml:space="preserve">Исследование устойчивости моделей волатильности и ценообразования опционов в различных рыночных режимах</w:t>
      </w:r>
    </w:p>
    <w:p>
      <w:pPr>
        <w:pStyle w:val="BodyText"/>
      </w:pPr>
      <w:r>
        <w:rPr>
          <w:b/>
          <w:bCs/>
        </w:rPr>
        <w:t xml:space="preserve">Выполнила:</w:t>
      </w:r>
    </w:p>
    <w:p>
      <w:pPr>
        <w:pStyle w:val="BodyText"/>
      </w:pPr>
      <w:r>
        <w:t xml:space="preserve">Ковалёва Мария Сергеевна</w:t>
      </w:r>
    </w:p>
    <w:p>
      <w:pPr>
        <w:pStyle w:val="BodyText"/>
      </w:pPr>
      <w:r>
        <w:t xml:space="preserve">3 курс, группа БЭК224</w:t>
      </w:r>
    </w:p>
    <w:p>
      <w:pPr>
        <w:pStyle w:val="BodyText"/>
      </w:pPr>
      <w:r>
        <w:rPr>
          <w:b/>
          <w:bCs/>
        </w:rPr>
        <w:t xml:space="preserve">Научный руководитель:</w:t>
      </w:r>
      <w:r>
        <w:br/>
      </w:r>
      <w:r>
        <w:t xml:space="preserve">Сизых Наталья Васильевна</w:t>
      </w:r>
      <w:r>
        <w:br/>
      </w:r>
    </w:p>
    <w:p>
      <w:pPr>
        <w:pStyle w:val="BodyText"/>
      </w:pPr>
      <w:r>
        <w:t xml:space="preserve">Москва, 2026 г.</w:t>
      </w:r>
    </w:p>
    <w:bookmarkStart w:id="9" w:name="введение"/>
    <w:p>
      <w:pPr>
        <w:pStyle w:val="Heading1"/>
      </w:pPr>
      <w:r>
        <w:t xml:space="preserve">Введение</w:t>
      </w:r>
    </w:p>
    <w:p>
      <w:pPr>
        <w:pStyle w:val="FirstParagraph"/>
      </w:pPr>
      <w:r>
        <w:rPr>
          <w:b/>
          <w:bCs/>
        </w:rPr>
        <w:t xml:space="preserve">Актуальность исследования.</w:t>
      </w:r>
    </w:p>
    <w:p>
      <w:pPr>
        <w:pStyle w:val="BodyText"/>
      </w:pPr>
      <w:r>
        <w:t xml:space="preserve">В условиях роста сложности финансовых рынков и увеличения роли производных финансовых инструментов модели волатильности и ценообразования опционов приобретают ключевое значение. Они используются для оценки стоимости производных инструментов, управления рисками, анализа рыночных ожиданий и построения торговых стратегий.</w:t>
      </w:r>
    </w:p>
    <w:p>
      <w:pPr>
        <w:pStyle w:val="BodyText"/>
      </w:pPr>
      <w:r>
        <w:t xml:space="preserve">Особую роль модели ценообразования играют на рынке опционов, где стоимость инструмента напрямую зависит от ожиданий участников рынка относительно будущей динамики базового актива и уровня волатильности. Точность и устойчивость таких моделей оказывают существенное влияние на качество принимаемых решений, что делает задачу их исследования и анализа актуальной.</w:t>
      </w:r>
    </w:p>
    <w:p>
      <w:pPr>
        <w:pStyle w:val="BodyText"/>
      </w:pPr>
      <w:r>
        <w:rPr>
          <w:b/>
          <w:bCs/>
        </w:rPr>
        <w:t xml:space="preserve">Объект исследования.</w:t>
      </w:r>
    </w:p>
    <w:p>
      <w:pPr>
        <w:pStyle w:val="BodyText"/>
      </w:pPr>
      <w:r>
        <w:t xml:space="preserve">Процессы ценообразования опционов на российском финансовом рынке.</w:t>
      </w:r>
    </w:p>
    <w:p>
      <w:pPr>
        <w:pStyle w:val="BodyText"/>
      </w:pPr>
      <w:r>
        <w:rPr>
          <w:b/>
          <w:bCs/>
        </w:rPr>
        <w:t xml:space="preserve">Предмет исследования.</w:t>
      </w:r>
    </w:p>
    <w:p>
      <w:pPr>
        <w:pStyle w:val="BodyText"/>
      </w:pPr>
      <w:r>
        <w:t xml:space="preserve">Устойчивость моделей волатильности и ценообразования опционов в различных рыночных режимах и её влияние на качество аппроксимации рыночных цен, с целью повышения эффективности процесса оценки справедливой стоимости опционных контрактов в зависимости от совокупности рыночных факторов.</w:t>
      </w:r>
    </w:p>
    <w:p>
      <w:pPr>
        <w:pStyle w:val="BodyText"/>
      </w:pPr>
      <w:r>
        <w:rPr>
          <w:b/>
          <w:bCs/>
        </w:rPr>
        <w:t xml:space="preserve">Проблема исследования.</w:t>
      </w:r>
    </w:p>
    <w:p>
      <w:pPr>
        <w:pStyle w:val="BodyText"/>
      </w:pPr>
      <w:r>
        <w:t xml:space="preserve">Современные модели ценообразования опционов, в первую очередь модель Блэка–Шоулза и её расширения, основаны на ряде упрощающих предположений о динамике цены базового актива и свойствах волатильности. В реальных рыночных данных наблюдаются систематические отклонения от этих предположений, включая улыбку волатильности, кластеризацию волатильности, тяжёлые хвосты распределения и существенное ухудшение качества аппроксимации в стрессовых рыночных режимах.</w:t>
      </w:r>
    </w:p>
    <w:p>
      <w:pPr>
        <w:pStyle w:val="BodyText"/>
      </w:pPr>
      <w:r>
        <w:t xml:space="preserve">Это приводит к нестабильности оценок цен опционов и ограничивает применимость моделей в задачах анализа и управления рисками.</w:t>
      </w:r>
    </w:p>
    <w:p>
      <w:pPr>
        <w:pStyle w:val="BodyText"/>
      </w:pPr>
      <w:r>
        <w:t xml:space="preserve">Несмотря на то, что рыночные цены опционов наблюдаемы напрямую, они представляют собой агрегированную величину, отражающую ожидания участников рынка, и не позволяют напрямую интерпретировать влияние отдельных факторов. Модели ценообразования позволяют структурировать рыночную цену через набор параметров, в первую очередь через волатильность, что делает возможным анализ поведения цен опционов и их чувствительности к изменению рыночных условий.</w:t>
      </w:r>
    </w:p>
    <w:p>
      <w:pPr>
        <w:pStyle w:val="BodyText"/>
      </w:pPr>
      <w:r>
        <w:t xml:space="preserve">В данной работе рыночная цена рассматривается как наблюдаемое эталонное значение, а модельная цена — как приближение, полученное в рамках выбранной модели. В этом контексте качество модели определяется её способностью воспроизводить наблюдаемые рыночные цены.</w:t>
      </w:r>
    </w:p>
    <w:p>
      <w:pPr>
        <w:pStyle w:val="BodyText"/>
      </w:pPr>
      <w:r>
        <w:rPr>
          <w:b/>
          <w:bCs/>
        </w:rPr>
        <w:t xml:space="preserve">Гипотеза исследования.</w:t>
      </w:r>
    </w:p>
    <w:p>
      <w:pPr>
        <w:pStyle w:val="BodyText"/>
      </w:pPr>
      <w:r>
        <w:t xml:space="preserve">Качество аппроксимации рыночных цен опционов модельными оценками зависит от рыночного режима и ухудшается в периоды повышенной волатильности и стрессовых состояний рынка, что требует анализа и систематизации характера и масштаба этих отклонений для дальнейшего учёта выявленных зависимостей при построении и применении моделей оценки стоимости опционов.</w:t>
      </w:r>
    </w:p>
    <w:p>
      <w:pPr>
        <w:pStyle w:val="BodyText"/>
      </w:pPr>
      <w:r>
        <w:rPr>
          <w:b/>
          <w:bCs/>
        </w:rPr>
        <w:t xml:space="preserve">Цель работы.</w:t>
      </w:r>
    </w:p>
    <w:p>
      <w:pPr>
        <w:pStyle w:val="BodyText"/>
      </w:pPr>
      <w:r>
        <w:t xml:space="preserve">Исследование устойчивости моделей волатильности и ценообразования опционов в различных рыночных режимах, анализ ошибок аппроксимации рыночных цен на реальных рыночных данных и разработка рекомендаций по корректному применению исследуемых моделей в зависимости от рыночного состояния.</w:t>
      </w:r>
    </w:p>
    <w:p>
      <w:pPr>
        <w:pStyle w:val="BodyText"/>
      </w:pPr>
      <w:r>
        <w:rPr>
          <w:b/>
          <w:bCs/>
        </w:rPr>
        <w:t xml:space="preserve">Задачи исследования.</w:t>
      </w:r>
    </w:p>
    <w:p>
      <w:pPr>
        <w:pStyle w:val="BodyText"/>
      </w:pPr>
      <w:r>
        <w:t xml:space="preserve">Для достижения поставленной цели в работе решаются следующие задачи:</w:t>
      </w:r>
    </w:p>
    <w:p>
      <w:pPr>
        <w:numPr>
          <w:ilvl w:val="0"/>
          <w:numId w:val="1001"/>
        </w:numPr>
      </w:pPr>
      <w:r>
        <w:t xml:space="preserve">изучить основные модели волатильности и ценообразования опционов и их предположения;</w:t>
      </w:r>
    </w:p>
    <w:p>
      <w:pPr>
        <w:numPr>
          <w:ilvl w:val="0"/>
          <w:numId w:val="1001"/>
        </w:numPr>
      </w:pPr>
      <w:r>
        <w:t xml:space="preserve">рассмотреть подходы к оценке волатильности и их использование в задачах ценообразования;</w:t>
      </w:r>
    </w:p>
    <w:p>
      <w:pPr>
        <w:numPr>
          <w:ilvl w:val="0"/>
          <w:numId w:val="1001"/>
        </w:numPr>
      </w:pPr>
      <w:r>
        <w:t xml:space="preserve">сформировать и подготовить датасет рыночных цен опционов;</w:t>
      </w:r>
    </w:p>
    <w:p>
      <w:pPr>
        <w:numPr>
          <w:ilvl w:val="0"/>
          <w:numId w:val="1001"/>
        </w:numPr>
      </w:pPr>
      <w:r>
        <w:t xml:space="preserve">реализовать базовые модели ценообразования опционов и рассчитать модельные цены для выбранных спецификаций;</w:t>
      </w:r>
    </w:p>
    <w:p>
      <w:pPr>
        <w:numPr>
          <w:ilvl w:val="0"/>
          <w:numId w:val="1001"/>
        </w:numPr>
      </w:pPr>
      <w:r>
        <w:t xml:space="preserve">провести сравнение модельных и рыночных цен опционов;</w:t>
      </w:r>
    </w:p>
    <w:p>
      <w:pPr>
        <w:numPr>
          <w:ilvl w:val="0"/>
          <w:numId w:val="1001"/>
        </w:numPr>
      </w:pPr>
      <w:r>
        <w:t xml:space="preserve">исследовать поведение ошибок моделей в различных рыночных режимах;</w:t>
      </w:r>
    </w:p>
    <w:p>
      <w:pPr>
        <w:numPr>
          <w:ilvl w:val="0"/>
          <w:numId w:val="1001"/>
        </w:numPr>
      </w:pPr>
      <w:r>
        <w:t xml:space="preserve">сравнить устойчивость моделей волатильности и подходов к оценке цен опционов;</w:t>
      </w:r>
    </w:p>
    <w:p>
      <w:pPr>
        <w:numPr>
          <w:ilvl w:val="0"/>
          <w:numId w:val="1001"/>
        </w:numPr>
      </w:pPr>
      <w:r>
        <w:t xml:space="preserve">разработать рекомендации по корректному применению исследуемых моделей в зависимости от рыночного состояния.</w:t>
      </w:r>
    </w:p>
    <w:p>
      <w:pPr>
        <w:pStyle w:val="FirstParagraph"/>
      </w:pPr>
      <w:r>
        <w:rPr>
          <w:b/>
          <w:bCs/>
        </w:rPr>
        <w:t xml:space="preserve">Метод исследования.</w:t>
      </w:r>
    </w:p>
    <w:p>
      <w:pPr>
        <w:pStyle w:val="BodyText"/>
      </w:pPr>
      <w:r>
        <w:t xml:space="preserve">В работе используется подход, основанный на сравнении модельных и рыночных цен опционов. Качество моделей оценивается через величину ошибки аппроксимации, а устойчивость — через анализ поведения этой ошибки в различных рыночных режимах.</w:t>
      </w:r>
    </w:p>
    <w:p>
      <w:pPr>
        <w:pStyle w:val="BodyText"/>
      </w:pPr>
      <w:r>
        <w:rPr>
          <w:b/>
          <w:bCs/>
        </w:rPr>
        <w:t xml:space="preserve">Структура работы.</w:t>
      </w:r>
    </w:p>
    <w:p>
      <w:pPr>
        <w:pStyle w:val="BodyText"/>
      </w:pPr>
      <w:r>
        <w:t xml:space="preserve">Работа включает теоретическую и практическую части. В теоретической части рассматриваются основные модели волатильности и ценообразования опционов, а также подходы к оценке волатильности. В практической части проводится эмпирическое исследование устойчивости моделей на рыночных данных и анализ ошибок аппроксимации в различных рыночных режимах. В заключении формулируются основные выводы, ограничения исследования и рекомендации по применению моделей.</w:t>
      </w:r>
    </w:p>
    <w:bookmarkEnd w:id="9"/>
    <w:bookmarkStart w:id="38" w:name="X07e94ed7b6ea2fd398d71378a1bf6e38ee07524"/>
    <w:p>
      <w:pPr>
        <w:pStyle w:val="Heading1"/>
      </w:pPr>
      <w:r>
        <w:t xml:space="preserve">Анализ современных методов и моделей оценки волатильности и ценообразования опционов</w:t>
      </w:r>
    </w:p>
    <w:bookmarkStart w:id="10" w:name="классические-модели"/>
    <w:p>
      <w:pPr>
        <w:pStyle w:val="Heading2"/>
      </w:pPr>
      <w:r>
        <w:t xml:space="preserve">Классические модели</w:t>
      </w:r>
    </w:p>
    <w:p>
      <w:pPr>
        <w:pStyle w:val="FirstParagraph"/>
      </w:pPr>
      <w:r>
        <w:t xml:space="preserve">Классические модели ценообразования опционов занимают центральное место в современной финансовой теории и используются как базовый эталон при анализе производных инструментов. Они позволяют связать цену опциона с характеристиками базового актива, временем до экспирации, процентной ставкой и волатильностью. В настоящей работе рассматриваются три таких модели: биномиальная модель, а также модели Блэка–Шоулза и Блэка–76, выступающие базовыми инструментами для оценки стоимости опционов.</w:t>
      </w:r>
    </w:p>
    <w:p>
      <w:pPr>
        <w:pStyle w:val="BodyText"/>
      </w:pPr>
      <w:r>
        <w:t xml:space="preserve">Наиболее известной и фундаментальной из них является модель Блэка–Шоулза, которая стала основой для дальнейшего развития теории ценообразования опционов и моделей волатильности. Биномиальная модель Кокса–Росса–Рубинштейна обеспечивает гибкий численный подход и, в отличие от Блэка–Шоулза, допускает досрочное исполнение, что особенно важно для американских опционов. Модель Блэка–76 является адаптацией формулы Блэка–Шоулза для опционов на фьючерсы и применяется в настоящем исследовании как основная аналитическая модель.</w:t>
      </w:r>
    </w:p>
    <w:bookmarkEnd w:id="10"/>
    <w:bookmarkStart w:id="27" w:name="модель-блэкашоулза"/>
    <w:p>
      <w:pPr>
        <w:pStyle w:val="Heading2"/>
      </w:pPr>
      <w:r>
        <w:t xml:space="preserve">Модель Блэка–Шоулза</w:t>
      </w:r>
    </w:p>
    <w:p>
      <w:pPr>
        <w:pStyle w:val="FirstParagraph"/>
      </w:pPr>
      <w:r>
        <w:t xml:space="preserve">Модель Блэка–Шоулза (Блэка–Шоулза–Мертона) является одной из базовых моделей ценообразования опционов и представляет собой фундаментальный результат современной финансовой теории. Она задаёт аналитическую формулу для оценки стоимости европейских опционов на основе ряда предположений о динамике базового актива и свойствах финансового рынка.</w:t>
      </w:r>
    </w:p>
    <w:bookmarkStart w:id="11" w:name="динамика-базового-актива"/>
    <w:p>
      <w:pPr>
        <w:pStyle w:val="Heading3"/>
      </w:pPr>
      <w:r>
        <w:t xml:space="preserve">Динамика базового актива</w:t>
      </w:r>
    </w:p>
    <w:p>
      <w:pPr>
        <w:pStyle w:val="FirstParagraph"/>
      </w:pPr>
      <w:r>
        <w:t xml:space="preserve">В основе модели лежит предположение о том, что цена базового актива</w:t>
      </w:r>
      <w:r>
        <w:t xml:space="preserve"> </w:t>
      </w:r>
      <m:oMath>
        <m:sSub>
          <m:e>
            <m:r>
              <m:t>S</m:t>
            </m:r>
          </m:e>
          <m:sub>
            <m:r>
              <m:t>t</m:t>
            </m:r>
          </m:sub>
        </m:sSub>
      </m:oMath>
      <w:r>
        <w:t xml:space="preserve"> </w:t>
      </w:r>
      <w:r>
        <w:t xml:space="preserve">следует геометрическому броуновскому движению:</w:t>
      </w:r>
    </w:p>
    <w:p>
      <w:pPr>
        <w:pStyle w:val="BodyText"/>
      </w:pPr>
      <m:oMathPara>
        <m:oMathParaPr>
          <m:jc m:val="center"/>
        </m:oMathParaPr>
        <m:oMath>
          <m:r>
            <m:t>d</m:t>
          </m:r>
          <m:sSub>
            <m:e>
              <m:r>
                <m:t>S</m:t>
              </m:r>
            </m:e>
            <m:sub>
              <m:r>
                <m:t>t</m:t>
              </m:r>
            </m:sub>
          </m:sSub>
          <m:r>
            <m:rPr>
              <m:sty m:val="p"/>
            </m:rPr>
            <m:t>=</m:t>
          </m:r>
          <m:r>
            <m:t>μ</m:t>
          </m:r>
          <m:sSub>
            <m:e>
              <m:r>
                <m:t>S</m:t>
              </m:r>
            </m:e>
            <m:sub>
              <m:r>
                <m:t>t</m:t>
              </m:r>
            </m:sub>
          </m:sSub>
          <m:r>
            <m:t>d</m:t>
          </m:r>
          <m:r>
            <m:t>t</m:t>
          </m:r>
          <m:r>
            <m:rPr>
              <m:sty m:val="p"/>
            </m:rPr>
            <m:t>+</m:t>
          </m:r>
          <m:r>
            <m:t>σ</m:t>
          </m:r>
          <m:sSub>
            <m:e>
              <m:r>
                <m:t>S</m:t>
              </m:r>
            </m:e>
            <m:sub>
              <m:r>
                <m:t>t</m:t>
              </m:r>
            </m:sub>
          </m:sSub>
          <m:r>
            <m:t>d</m:t>
          </m:r>
          <m:sSub>
            <m:e>
              <m:r>
                <m:t>W</m:t>
              </m:r>
            </m:e>
            <m:sub>
              <m:r>
                <m:t>t</m:t>
              </m:r>
            </m:sub>
          </m:sSub>
          <m:r>
            <m:rPr>
              <m:sty m:val="p"/>
            </m:rPr>
            <m:t>,</m:t>
          </m:r>
        </m:oMath>
      </m:oMathPara>
    </w:p>
    <w:p>
      <w:pPr>
        <w:pStyle w:val="FirstParagraph"/>
      </w:pPr>
      <w:r>
        <w:t xml:space="preserve">где:</w:t>
      </w:r>
    </w:p>
    <w:p>
      <w:pPr>
        <w:numPr>
          <w:ilvl w:val="0"/>
          <w:numId w:val="1002"/>
        </w:numPr>
      </w:pPr>
      <m:oMath>
        <m:r>
          <m:t>μ</m:t>
        </m:r>
      </m:oMath>
      <w:r>
        <w:t xml:space="preserve"> </w:t>
      </w:r>
      <w:r>
        <w:t xml:space="preserve">— ожидаемая доходность актива;</w:t>
      </w:r>
    </w:p>
    <w:p>
      <w:pPr>
        <w:numPr>
          <w:ilvl w:val="0"/>
          <w:numId w:val="1002"/>
        </w:numPr>
      </w:pPr>
      <m:oMath>
        <m:r>
          <m:t>σ</m:t>
        </m:r>
      </m:oMath>
      <w:r>
        <w:t xml:space="preserve"> </w:t>
      </w:r>
      <w:r>
        <w:t xml:space="preserve">— волатильность;</w:t>
      </w:r>
    </w:p>
    <w:p>
      <w:pPr>
        <w:numPr>
          <w:ilvl w:val="0"/>
          <w:numId w:val="1002"/>
        </w:numPr>
      </w:pPr>
      <m:oMath>
        <m:sSub>
          <m:e>
            <m:r>
              <m:t>W</m:t>
            </m:r>
          </m:e>
          <m:sub>
            <m:r>
              <m:t>t</m:t>
            </m:r>
          </m:sub>
        </m:sSub>
      </m:oMath>
      <w:r>
        <w:t xml:space="preserve"> </w:t>
      </w:r>
      <w:r>
        <w:t xml:space="preserve">— стандартное броуновское движение.</w:t>
      </w:r>
    </w:p>
    <w:p>
      <w:pPr>
        <w:pStyle w:val="FirstParagraph"/>
      </w:pPr>
      <w:r>
        <w:t xml:space="preserve">Из данного предположения следует, что логарифм цены актива имеет нормальное распределение, а сама цена — логнормальное распределение.</w:t>
      </w:r>
    </w:p>
    <w:bookmarkEnd w:id="11"/>
    <w:bookmarkStart w:id="12" w:name="основные-предположения-модели"/>
    <w:p>
      <w:pPr>
        <w:pStyle w:val="Heading3"/>
      </w:pPr>
      <w:r>
        <w:t xml:space="preserve">Основные предположения модели</w:t>
      </w:r>
    </w:p>
    <w:p>
      <w:pPr>
        <w:pStyle w:val="FirstParagraph"/>
      </w:pPr>
      <w:r>
        <w:t xml:space="preserve">Модель Блэка–Шоулза основана на следующих ключевых предположениях:</w:t>
      </w:r>
    </w:p>
    <w:p>
      <w:pPr>
        <w:numPr>
          <w:ilvl w:val="0"/>
          <w:numId w:val="1003"/>
        </w:numPr>
      </w:pPr>
      <w:r>
        <w:t xml:space="preserve">отсутствуют арбитражные возможности;</w:t>
      </w:r>
    </w:p>
    <w:p>
      <w:pPr>
        <w:numPr>
          <w:ilvl w:val="0"/>
          <w:numId w:val="1003"/>
        </w:numPr>
      </w:pPr>
      <w:r>
        <w:t xml:space="preserve">рынок является совершенным, то есть отсутствуют транзакционные издержки и налоги;</w:t>
      </w:r>
    </w:p>
    <w:p>
      <w:pPr>
        <w:numPr>
          <w:ilvl w:val="0"/>
          <w:numId w:val="1003"/>
        </w:numPr>
      </w:pPr>
      <w:r>
        <w:t xml:space="preserve">торговля осуществляется непрерывно;</w:t>
      </w:r>
    </w:p>
    <w:p>
      <w:pPr>
        <w:numPr>
          <w:ilvl w:val="0"/>
          <w:numId w:val="1003"/>
        </w:numPr>
      </w:pPr>
      <w:r>
        <w:t xml:space="preserve">возможно заимствование и инвестирование под постоянную безрисковую ставку</w:t>
      </w:r>
      <w:r>
        <w:t xml:space="preserve"> </w:t>
      </w:r>
      <m:oMath>
        <m:r>
          <m:t>r</m:t>
        </m:r>
      </m:oMath>
      <w:r>
        <w:t xml:space="preserve">;</w:t>
      </w:r>
    </w:p>
    <w:p>
      <w:pPr>
        <w:numPr>
          <w:ilvl w:val="0"/>
          <w:numId w:val="1003"/>
        </w:numPr>
      </w:pPr>
      <w:r>
        <w:t xml:space="preserve">волатильность</w:t>
      </w:r>
      <w:r>
        <w:t xml:space="preserve"> </w:t>
      </w:r>
      <m:oMath>
        <m:r>
          <m:t>σ</m:t>
        </m:r>
      </m:oMath>
      <w:r>
        <w:t xml:space="preserve"> </w:t>
      </w:r>
      <w:r>
        <w:t xml:space="preserve">постоянна во времени;</w:t>
      </w:r>
    </w:p>
    <w:p>
      <w:pPr>
        <w:numPr>
          <w:ilvl w:val="0"/>
          <w:numId w:val="1003"/>
        </w:numPr>
      </w:pPr>
      <w:r>
        <w:t xml:space="preserve">базовый актив не выплачивает дивиденды (в базовой версии модели);</w:t>
      </w:r>
    </w:p>
    <w:p>
      <w:pPr>
        <w:numPr>
          <w:ilvl w:val="0"/>
          <w:numId w:val="1003"/>
        </w:numPr>
      </w:pPr>
      <w:r>
        <w:t xml:space="preserve">динамика цены актива описывается геометрическим броуновским движением.</w:t>
      </w:r>
    </w:p>
    <w:p>
      <w:pPr>
        <w:pStyle w:val="FirstParagraph"/>
      </w:pPr>
      <w:r>
        <w:t xml:space="preserve">Эти предположения позволяют получить аналитическое решение задачи ценообразования опциона.</w:t>
      </w:r>
    </w:p>
    <w:bookmarkEnd w:id="12"/>
    <w:bookmarkStart w:id="13" w:name="Xe56c772bd956d214a0a282dfee90557186a95c7"/>
    <w:p>
      <w:pPr>
        <w:pStyle w:val="Heading3"/>
      </w:pPr>
      <w:r>
        <w:t xml:space="preserve">Идея модели: репликация и отсутствие арбитража</w:t>
      </w:r>
    </w:p>
    <w:p>
      <w:pPr>
        <w:pStyle w:val="FirstParagraph"/>
      </w:pPr>
      <w:r>
        <w:t xml:space="preserve">Ключевая идея модели заключается в построении безрискового портфеля, состоящего из опциона и базового актива. За счёт динамического хеджирования устраняется стохастическая составляющая доходности портфеля.</w:t>
      </w:r>
    </w:p>
    <w:p>
      <w:pPr>
        <w:pStyle w:val="BodyText"/>
      </w:pPr>
      <w:r>
        <w:t xml:space="preserve">Доходность такого портфеля должна совпадать с безрисковой ставкой процента:</w:t>
      </w:r>
    </w:p>
    <w:p>
      <w:pPr>
        <w:pStyle w:val="BodyText"/>
      </w:pPr>
      <m:oMathPara>
        <m:oMathParaPr>
          <m:jc m:val="center"/>
        </m:oMathParaPr>
        <m:oMath>
          <m:r>
            <m:rPr>
              <m:sty m:val="p"/>
            </m:rPr>
            <m:t>Π</m:t>
          </m:r>
          <m:r>
            <m:rPr>
              <m:sty m:val="p"/>
            </m:rPr>
            <m:t>=</m:t>
          </m:r>
          <m:r>
            <m:t>V</m:t>
          </m:r>
          <m:r>
            <m:rPr>
              <m:sty m:val="p"/>
            </m:rPr>
            <m:t>−</m:t>
          </m:r>
          <m:r>
            <m:rPr>
              <m:sty m:val="p"/>
            </m:rPr>
            <m:t>Δ</m:t>
          </m:r>
          <m:r>
            <m:t>S</m:t>
          </m:r>
          <m:r>
            <m:rPr>
              <m:sty m:val="p"/>
            </m:rPr>
            <m:t>,</m:t>
          </m:r>
        </m:oMath>
      </m:oMathPara>
    </w:p>
    <w:p>
      <w:pPr>
        <w:pStyle w:val="FirstParagraph"/>
      </w:pPr>
      <w:r>
        <w:t xml:space="preserve">где:</w:t>
      </w:r>
    </w:p>
    <w:p>
      <w:pPr>
        <w:numPr>
          <w:ilvl w:val="0"/>
          <w:numId w:val="1004"/>
        </w:numPr>
      </w:pPr>
      <m:oMath>
        <m:r>
          <m:t>V</m:t>
        </m:r>
      </m:oMath>
      <w:r>
        <w:t xml:space="preserve"> </w:t>
      </w:r>
      <w:r>
        <w:t xml:space="preserve">— цена опциона;</w:t>
      </w:r>
    </w:p>
    <w:p>
      <w:pPr>
        <w:numPr>
          <w:ilvl w:val="0"/>
          <w:numId w:val="1004"/>
        </w:numPr>
      </w:pPr>
      <m:oMath>
        <m:r>
          <m:rPr>
            <m:sty m:val="p"/>
          </m:rPr>
          <m:t>Δ</m:t>
        </m:r>
        <m:r>
          <m:rPr>
            <m:sty m:val="p"/>
          </m:rPr>
          <m:t>=</m:t>
        </m:r>
        <m:f>
          <m:fPr>
            <m:type m:val="bar"/>
          </m:fPr>
          <m:num>
            <m:r>
              <m:rPr>
                <m:sty m:val="p"/>
              </m:rPr>
              <m:t>∂</m:t>
            </m:r>
            <m:r>
              <m:t>V</m:t>
            </m:r>
          </m:num>
          <m:den>
            <m:r>
              <m:rPr>
                <m:sty m:val="p"/>
              </m:rPr>
              <m:t>∂</m:t>
            </m:r>
            <m:r>
              <m:t>S</m:t>
            </m:r>
          </m:den>
        </m:f>
      </m:oMath>
      <w:r>
        <w:t xml:space="preserve"> </w:t>
      </w:r>
      <w:r>
        <w:t xml:space="preserve">— дельта опциона.</w:t>
      </w:r>
    </w:p>
    <w:p>
      <w:pPr>
        <w:pStyle w:val="FirstParagraph"/>
      </w:pPr>
      <w:r>
        <w:t xml:space="preserve">Применение леммы Ито и условия отсутствия арбитража приводит к дифференциальному уравнению Блэка–Шоулза:</w:t>
      </w:r>
    </w:p>
    <w:p>
      <w:pPr>
        <w:pStyle w:val="BodyText"/>
      </w:pPr>
      <m:oMathPara>
        <m:oMathParaPr>
          <m:jc m:val="center"/>
        </m:oMathParaPr>
        <m:oMath>
          <m:f>
            <m:fPr>
              <m:type m:val="bar"/>
            </m:fPr>
            <m:num>
              <m:r>
                <m:rPr>
                  <m:sty m:val="p"/>
                </m:rPr>
                <m:t>∂</m:t>
              </m:r>
              <m:r>
                <m:t>V</m:t>
              </m:r>
            </m:num>
            <m:den>
              <m:r>
                <m:rPr>
                  <m:sty m:val="p"/>
                </m:rPr>
                <m:t>∂</m:t>
              </m:r>
              <m:r>
                <m:t>t</m:t>
              </m:r>
            </m:den>
          </m:f>
          <m:r>
            <m:rPr>
              <m:sty m:val="p"/>
            </m:rPr>
            <m:t>+</m:t>
          </m:r>
          <m:f>
            <m:fPr>
              <m:type m:val="bar"/>
            </m:fPr>
            <m:num>
              <m:r>
                <m:t>1</m:t>
              </m:r>
            </m:num>
            <m:den>
              <m:r>
                <m:t>2</m:t>
              </m:r>
            </m:den>
          </m:f>
          <m:sSup>
            <m:e>
              <m:r>
                <m:t>σ</m:t>
              </m:r>
            </m:e>
            <m:sup>
              <m:r>
                <m:t>2</m:t>
              </m:r>
            </m:sup>
          </m:sSup>
          <m:sSup>
            <m:e>
              <m:r>
                <m:t>S</m:t>
              </m:r>
            </m:e>
            <m:sup>
              <m:r>
                <m:t>2</m:t>
              </m:r>
            </m:sup>
          </m:sSup>
          <m:f>
            <m:fPr>
              <m:type m:val="bar"/>
            </m:fPr>
            <m:num>
              <m:sSup>
                <m:e>
                  <m:r>
                    <m:rPr>
                      <m:sty m:val="p"/>
                    </m:rPr>
                    <m:t>∂</m:t>
                  </m:r>
                </m:e>
                <m:sup>
                  <m:r>
                    <m:t>2</m:t>
                  </m:r>
                </m:sup>
              </m:sSup>
              <m:r>
                <m:t>V</m:t>
              </m:r>
            </m:num>
            <m:den>
              <m:r>
                <m:rPr>
                  <m:sty m:val="p"/>
                </m:rPr>
                <m:t>∂</m:t>
              </m:r>
              <m:sSup>
                <m:e>
                  <m:r>
                    <m:t>S</m:t>
                  </m:r>
                </m:e>
                <m:sup>
                  <m:r>
                    <m:t>2</m:t>
                  </m:r>
                </m:sup>
              </m:sSup>
            </m:den>
          </m:f>
          <m:r>
            <m:rPr>
              <m:sty m:val="p"/>
            </m:rPr>
            <m:t>+</m:t>
          </m:r>
          <m:r>
            <m:t>r</m:t>
          </m:r>
          <m:r>
            <m:t>S</m:t>
          </m:r>
          <m:f>
            <m:fPr>
              <m:type m:val="bar"/>
            </m:fPr>
            <m:num>
              <m:r>
                <m:rPr>
                  <m:sty m:val="p"/>
                </m:rPr>
                <m:t>∂</m:t>
              </m:r>
              <m:r>
                <m:t>V</m:t>
              </m:r>
            </m:num>
            <m:den>
              <m:r>
                <m:rPr>
                  <m:sty m:val="p"/>
                </m:rPr>
                <m:t>∂</m:t>
              </m:r>
              <m:r>
                <m:t>S</m:t>
              </m:r>
            </m:den>
          </m:f>
          <m:r>
            <m:rPr>
              <m:sty m:val="p"/>
            </m:rPr>
            <m:t>−</m:t>
          </m:r>
          <m:r>
            <m:t>r</m:t>
          </m:r>
          <m:r>
            <m:t>V</m:t>
          </m:r>
          <m:r>
            <m:rPr>
              <m:sty m:val="p"/>
            </m:rPr>
            <m:t>=</m:t>
          </m:r>
          <m:r>
            <m:t>0</m:t>
          </m:r>
          <m:r>
            <m:rPr>
              <m:sty m:val="p"/>
            </m:rPr>
            <m:t>.</m:t>
          </m:r>
        </m:oMath>
      </m:oMathPara>
    </w:p>
    <w:bookmarkEnd w:id="13"/>
    <w:bookmarkStart w:id="14" w:name="формула-блэкашоулза"/>
    <w:p>
      <w:pPr>
        <w:pStyle w:val="Heading3"/>
      </w:pPr>
      <w:r>
        <w:t xml:space="preserve">Формула Блэка–Шоулза</w:t>
      </w:r>
    </w:p>
    <w:p>
      <w:pPr>
        <w:pStyle w:val="FirstParagraph"/>
      </w:pPr>
      <w:r>
        <w:t xml:space="preserve">Решение данного уравнения для европейского опциона на покупку имеет вид:</w:t>
      </w:r>
    </w:p>
    <w:p>
      <w:pPr>
        <w:pStyle w:val="BodyText"/>
      </w:pPr>
      <m:oMathPara>
        <m:oMathParaPr>
          <m:jc m:val="center"/>
        </m:oMathParaPr>
        <m:oMath>
          <m:r>
            <m:t>C</m:t>
          </m:r>
          <m:r>
            <m:rPr>
              <m:sty m:val="p"/>
            </m:rPr>
            <m:t>=</m:t>
          </m:r>
          <m:sSub>
            <m:e>
              <m:r>
                <m:t>S</m:t>
              </m:r>
            </m:e>
            <m:sub>
              <m:r>
                <m:t>0</m:t>
              </m:r>
            </m:sub>
          </m:sSub>
          <m:r>
            <m:t>N</m:t>
          </m:r>
          <m:r>
            <m:rPr>
              <m:sty m:val="p"/>
            </m:rPr>
            <m:t>(</m:t>
          </m:r>
          <m:sSub>
            <m:e>
              <m:r>
                <m:t>d</m:t>
              </m:r>
            </m:e>
            <m:sub>
              <m:r>
                <m:t>1</m:t>
              </m:r>
            </m:sub>
          </m:sSub>
          <m:r>
            <m:rPr>
              <m:sty m:val="p"/>
            </m:rPr>
            <m:t>)</m:t>
          </m:r>
          <m:r>
            <m:rPr>
              <m:sty m:val="p"/>
            </m:rPr>
            <m:t>−</m:t>
          </m:r>
          <m:r>
            <m:t>K</m:t>
          </m:r>
          <m:sSup>
            <m:e>
              <m:r>
                <m:t>e</m:t>
              </m:r>
            </m:e>
            <m:sup>
              <m:r>
                <m:rPr>
                  <m:sty m:val="p"/>
                </m:rPr>
                <m:t>−</m:t>
              </m:r>
              <m:r>
                <m:t>r</m:t>
              </m:r>
              <m:r>
                <m:t>T</m:t>
              </m:r>
            </m:sup>
          </m:sSup>
          <m:r>
            <m:t>N</m:t>
          </m:r>
          <m:r>
            <m:rPr>
              <m:sty m:val="p"/>
            </m:rPr>
            <m:t>(</m:t>
          </m:r>
          <m:sSub>
            <m:e>
              <m:r>
                <m:t>d</m:t>
              </m:r>
            </m:e>
            <m:sub>
              <m:r>
                <m:t>2</m:t>
              </m:r>
            </m:sub>
          </m:sSub>
          <m:r>
            <m:rPr>
              <m:sty m:val="p"/>
            </m:rPr>
            <m:t>)</m:t>
          </m:r>
          <m:r>
            <m:rPr>
              <m:sty m:val="p"/>
            </m:rPr>
            <m:t>,</m:t>
          </m:r>
        </m:oMath>
      </m:oMathPara>
    </w:p>
    <w:p>
      <w:pPr>
        <w:pStyle w:val="FirstParagraph"/>
      </w:pPr>
      <w:r>
        <w:t xml:space="preserve">где:</w:t>
      </w:r>
    </w:p>
    <w:p>
      <w:pPr>
        <w:pStyle w:val="BodyText"/>
      </w:pPr>
      <m:oMathPara>
        <m:oMathParaPr>
          <m:jc m:val="center"/>
        </m:oMathParaPr>
        <m:oMath>
          <m:sSub>
            <m:e>
              <m:r>
                <m:t>d</m:t>
              </m:r>
            </m:e>
            <m:sub>
              <m:r>
                <m:t>1</m:t>
              </m:r>
            </m:sub>
          </m:sSub>
          <m:r>
            <m:rPr>
              <m:sty m:val="p"/>
            </m:rPr>
            <m:t>=</m:t>
          </m:r>
          <m:f>
            <m:fPr>
              <m:type m:val="bar"/>
            </m:fPr>
            <m:num>
              <m:r>
                <m:rPr>
                  <m:sty m:val="p"/>
                </m:rPr>
                <m:t>ln</m:t>
              </m:r>
              <m:d>
                <m:dPr>
                  <m:begChr m:val="("/>
                  <m:sepChr m:val=""/>
                  <m:endChr m:val=")"/>
                  <m:grow/>
                </m:dPr>
                <m:e>
                  <m:f>
                    <m:fPr>
                      <m:type m:val="bar"/>
                    </m:fPr>
                    <m:num>
                      <m:sSub>
                        <m:e>
                          <m:r>
                            <m:t>S</m:t>
                          </m:r>
                        </m:e>
                        <m:sub>
                          <m:r>
                            <m:t>0</m:t>
                          </m:r>
                        </m:sub>
                      </m:sSub>
                    </m:num>
                    <m:den>
                      <m:r>
                        <m:t>K</m:t>
                      </m:r>
                    </m:den>
                  </m:f>
                </m:e>
              </m:d>
              <m:r>
                <m:rPr>
                  <m:sty m:val="p"/>
                </m:rPr>
                <m:t>+</m:t>
              </m:r>
              <m:d>
                <m:dPr>
                  <m:begChr m:val="("/>
                  <m:sepChr m:val=""/>
                  <m:endChr m:val=")"/>
                  <m:grow/>
                </m:dPr>
                <m:e>
                  <m:r>
                    <m:t>r</m:t>
                  </m:r>
                  <m:r>
                    <m:rPr>
                      <m:sty m:val="p"/>
                    </m:rPr>
                    <m:t>+</m:t>
                  </m:r>
                  <m:f>
                    <m:fPr>
                      <m:type m:val="bar"/>
                    </m:fPr>
                    <m:num>
                      <m:sSup>
                        <m:e>
                          <m:r>
                            <m:t>σ</m:t>
                          </m:r>
                        </m:e>
                        <m:sup>
                          <m:r>
                            <m:t>2</m:t>
                          </m:r>
                        </m:sup>
                      </m:sSup>
                    </m:num>
                    <m:den>
                      <m:r>
                        <m:t>2</m:t>
                      </m:r>
                    </m:den>
                  </m:f>
                </m:e>
              </m:d>
              <m:r>
                <m:t>T</m:t>
              </m:r>
            </m:num>
            <m:den>
              <m:r>
                <m:t>σ</m:t>
              </m:r>
              <m:rad>
                <m:radPr>
                  <m:degHide m:val="on"/>
                </m:radPr>
                <m:deg/>
                <m:e>
                  <m:r>
                    <m:t>T</m:t>
                  </m:r>
                </m:e>
              </m:rad>
            </m:den>
          </m:f>
          <m:r>
            <m:rPr>
              <m:sty m:val="p"/>
            </m:rPr>
            <m:t>,</m:t>
          </m:r>
        </m:oMath>
      </m:oMathPara>
    </w:p>
    <w:p>
      <w:pPr>
        <w:pStyle w:val="FirstParagraph"/>
      </w:pPr>
      <m:oMathPara>
        <m:oMathParaPr>
          <m:jc m:val="center"/>
        </m:oMathParaPr>
        <m:oMath>
          <m:sSub>
            <m:e>
              <m:r>
                <m:t>d</m:t>
              </m:r>
            </m:e>
            <m:sub>
              <m:r>
                <m:t>2</m:t>
              </m:r>
            </m:sub>
          </m:sSub>
          <m:r>
            <m:rPr>
              <m:sty m:val="p"/>
            </m:rPr>
            <m:t>=</m:t>
          </m:r>
          <m:sSub>
            <m:e>
              <m:r>
                <m:t>d</m:t>
              </m:r>
            </m:e>
            <m:sub>
              <m:r>
                <m:t>1</m:t>
              </m:r>
            </m:sub>
          </m:sSub>
          <m:r>
            <m:rPr>
              <m:sty m:val="p"/>
            </m:rPr>
            <m:t>−</m:t>
          </m:r>
          <m:r>
            <m:t>σ</m:t>
          </m:r>
          <m:rad>
            <m:radPr>
              <m:degHide m:val="on"/>
            </m:radPr>
            <m:deg/>
            <m:e>
              <m:r>
                <m:t>T</m:t>
              </m:r>
            </m:e>
          </m:rad>
          <m:r>
            <m:rPr>
              <m:sty m:val="p"/>
            </m:rPr>
            <m:t>,</m:t>
          </m:r>
        </m:oMath>
      </m:oMathPara>
    </w:p>
    <w:p>
      <w:pPr>
        <w:pStyle w:val="FirstParagraph"/>
      </w:pPr>
      <w:r>
        <w:t xml:space="preserve">а</w:t>
      </w:r>
      <w:r>
        <w:t xml:space="preserve"> </w:t>
      </w:r>
      <m:oMath>
        <m:r>
          <m:t>N</m:t>
        </m:r>
        <m:r>
          <m:rPr>
            <m:sty m:val="p"/>
          </m:rPr>
          <m:t>(</m:t>
        </m:r>
        <m:r>
          <m:rPr>
            <m:sty m:val="p"/>
          </m:rPr>
          <m:t>⋅</m:t>
        </m:r>
        <m:r>
          <m:rPr>
            <m:sty m:val="p"/>
          </m:rPr>
          <m:t>)</m:t>
        </m:r>
      </m:oMath>
      <w:r>
        <w:t xml:space="preserve"> </w:t>
      </w:r>
      <w:r>
        <w:t xml:space="preserve">— функция распределения стандартного нормального закона.</w:t>
      </w:r>
    </w:p>
    <w:p>
      <w:pPr>
        <w:pStyle w:val="BodyText"/>
      </w:pPr>
      <w:r>
        <w:t xml:space="preserve">Для европейского опциона на продажу используется формула:</w:t>
      </w:r>
    </w:p>
    <w:p>
      <w:pPr>
        <w:pStyle w:val="BodyText"/>
      </w:pPr>
      <m:oMathPara>
        <m:oMathParaPr>
          <m:jc m:val="center"/>
        </m:oMathParaPr>
        <m:oMath>
          <m:r>
            <m:t>P</m:t>
          </m:r>
          <m:r>
            <m:rPr>
              <m:sty m:val="p"/>
            </m:rPr>
            <m:t>=</m:t>
          </m:r>
          <m:r>
            <m:t>K</m:t>
          </m:r>
          <m:sSup>
            <m:e>
              <m:r>
                <m:t>e</m:t>
              </m:r>
            </m:e>
            <m:sup>
              <m:r>
                <m:rPr>
                  <m:sty m:val="p"/>
                </m:rPr>
                <m:t>−</m:t>
              </m:r>
              <m:r>
                <m:t>r</m:t>
              </m:r>
              <m:r>
                <m:t>T</m:t>
              </m:r>
            </m:sup>
          </m:sSup>
          <m:r>
            <m:t>N</m:t>
          </m:r>
          <m:r>
            <m:rPr>
              <m:sty m:val="p"/>
            </m:rPr>
            <m:t>(</m:t>
          </m:r>
          <m:r>
            <m:rPr>
              <m:sty m:val="p"/>
            </m:rPr>
            <m:t>−</m:t>
          </m:r>
          <m:sSub>
            <m:e>
              <m:r>
                <m:t>d</m:t>
              </m:r>
            </m:e>
            <m:sub>
              <m:r>
                <m:t>2</m:t>
              </m:r>
            </m:sub>
          </m:sSub>
          <m:r>
            <m:rPr>
              <m:sty m:val="p"/>
            </m:rPr>
            <m:t>)</m:t>
          </m:r>
          <m:r>
            <m:rPr>
              <m:sty m:val="p"/>
            </m:rPr>
            <m:t>−</m:t>
          </m:r>
          <m:sSub>
            <m:e>
              <m:r>
                <m:t>S</m:t>
              </m:r>
            </m:e>
            <m:sub>
              <m:r>
                <m:t>0</m:t>
              </m:r>
            </m:sub>
          </m:sSub>
          <m:r>
            <m:t>N</m:t>
          </m:r>
          <m:r>
            <m:rPr>
              <m:sty m:val="p"/>
            </m:rPr>
            <m:t>(</m:t>
          </m:r>
          <m:r>
            <m:rPr>
              <m:sty m:val="p"/>
            </m:rPr>
            <m:t>−</m:t>
          </m:r>
          <m:sSub>
            <m:e>
              <m:r>
                <m:t>d</m:t>
              </m:r>
            </m:e>
            <m:sub>
              <m:r>
                <m:t>1</m:t>
              </m:r>
            </m:sub>
          </m:sSub>
          <m:r>
            <m:rPr>
              <m:sty m:val="p"/>
            </m:rPr>
            <m:t>)</m:t>
          </m:r>
          <m:r>
            <m:rPr>
              <m:sty m:val="p"/>
            </m:rPr>
            <m:t>.</m:t>
          </m:r>
        </m:oMath>
      </m:oMathPara>
    </w:p>
    <w:bookmarkEnd w:id="14"/>
    <w:bookmarkStart w:id="15" w:name="интерпретация-формулы"/>
    <w:p>
      <w:pPr>
        <w:pStyle w:val="Heading3"/>
      </w:pPr>
      <w:r>
        <w:t xml:space="preserve">Интерпретация формулы</w:t>
      </w:r>
    </w:p>
    <w:p>
      <w:pPr>
        <w:pStyle w:val="FirstParagraph"/>
      </w:pPr>
      <w:r>
        <w:t xml:space="preserve">Формула Блэка–Шоулза имеет следующую экономическую интерпретацию:</w:t>
      </w:r>
    </w:p>
    <w:p>
      <w:pPr>
        <w:numPr>
          <w:ilvl w:val="0"/>
          <w:numId w:val="1005"/>
        </w:numPr>
      </w:pPr>
      <m:oMath>
        <m:sSub>
          <m:e>
            <m:r>
              <m:t>S</m:t>
            </m:r>
          </m:e>
          <m:sub>
            <m:r>
              <m:t>0</m:t>
            </m:r>
          </m:sub>
        </m:sSub>
        <m:r>
          <m:t>N</m:t>
        </m:r>
        <m:r>
          <m:rPr>
            <m:sty m:val="p"/>
          </m:rPr>
          <m:t>(</m:t>
        </m:r>
        <m:sSub>
          <m:e>
            <m:r>
              <m:t>d</m:t>
            </m:r>
          </m:e>
          <m:sub>
            <m:r>
              <m:t>1</m:t>
            </m:r>
          </m:sub>
        </m:sSub>
        <m:r>
          <m:rPr>
            <m:sty m:val="p"/>
          </m:rPr>
          <m:t>)</m:t>
        </m:r>
      </m:oMath>
      <w:r>
        <w:t xml:space="preserve"> </w:t>
      </w:r>
      <w:r>
        <w:t xml:space="preserve">отражает приведённую стоимость ожидаемой цены базового актива;</w:t>
      </w:r>
    </w:p>
    <w:p>
      <w:pPr>
        <w:numPr>
          <w:ilvl w:val="0"/>
          <w:numId w:val="1005"/>
        </w:numPr>
      </w:pPr>
      <m:oMath>
        <m:r>
          <m:t>K</m:t>
        </m:r>
        <m:sSup>
          <m:e>
            <m:r>
              <m:t>e</m:t>
            </m:r>
          </m:e>
          <m:sup>
            <m:r>
              <m:rPr>
                <m:sty m:val="p"/>
              </m:rPr>
              <m:t>−</m:t>
            </m:r>
            <m:r>
              <m:t>r</m:t>
            </m:r>
            <m:r>
              <m:t>T</m:t>
            </m:r>
          </m:sup>
        </m:sSup>
        <m:r>
          <m:t>N</m:t>
        </m:r>
        <m:r>
          <m:rPr>
            <m:sty m:val="p"/>
          </m:rPr>
          <m:t>(</m:t>
        </m:r>
        <m:sSub>
          <m:e>
            <m:r>
              <m:t>d</m:t>
            </m:r>
          </m:e>
          <m:sub>
            <m:r>
              <m:t>2</m:t>
            </m:r>
          </m:sub>
        </m:sSub>
        <m:r>
          <m:rPr>
            <m:sty m:val="p"/>
          </m:rPr>
          <m:t>)</m:t>
        </m:r>
      </m:oMath>
      <w:r>
        <w:t xml:space="preserve"> </w:t>
      </w:r>
      <w:r>
        <w:t xml:space="preserve">отражает приведённую стоимость выплаты по страйку;</w:t>
      </w:r>
    </w:p>
    <w:p>
      <w:pPr>
        <w:numPr>
          <w:ilvl w:val="0"/>
          <w:numId w:val="1005"/>
        </w:numPr>
      </w:pPr>
      <w:r>
        <w:t xml:space="preserve">разность этих величин определяет стоимость опциона как ожидаемую выгоду от исполнения контракта.</w:t>
      </w:r>
    </w:p>
    <w:p>
      <w:pPr>
        <w:pStyle w:val="FirstParagraph"/>
      </w:pPr>
      <w:r>
        <w:t xml:space="preserve">Также модель может быть интерпретирована в рамках риск-нейтрального подхода, где цена опциона равна дисконтированному математическому ожиданию его выплаты:</w:t>
      </w:r>
    </w:p>
    <w:p>
      <w:pPr>
        <w:pStyle w:val="BodyText"/>
      </w:pPr>
      <m:oMathPara>
        <m:oMathParaPr>
          <m:jc m:val="center"/>
        </m:oMathParaPr>
        <m:oMath>
          <m:r>
            <m:t>C</m:t>
          </m:r>
          <m:r>
            <m:rPr>
              <m:sty m:val="p"/>
            </m:rPr>
            <m:t>=</m:t>
          </m:r>
          <m:sSup>
            <m:e>
              <m:r>
                <m:t>e</m:t>
              </m:r>
            </m:e>
            <m:sup>
              <m:r>
                <m:rPr>
                  <m:sty m:val="p"/>
                </m:rPr>
                <m:t>−</m:t>
              </m:r>
              <m:r>
                <m:t>r</m:t>
              </m:r>
              <m:r>
                <m:t>T</m:t>
              </m:r>
            </m:sup>
          </m:sSup>
          <m:sSup>
            <m:e>
              <m:r>
                <m:rPr>
                  <m:scr m:val="double-struck"/>
                  <m:sty m:val="p"/>
                </m:rPr>
                <m:t>E</m:t>
              </m:r>
            </m:e>
            <m:sup>
              <m:r>
                <m:t>Q</m:t>
              </m:r>
            </m:sup>
          </m:sSup>
          <m:r>
            <m:rPr>
              <m:sty m:val="p"/>
            </m:rPr>
            <m:t>[</m:t>
          </m:r>
          <m:r>
            <m:rPr>
              <m:sty m:val="p"/>
            </m:rPr>
            <m:t>(</m:t>
          </m:r>
          <m:sSub>
            <m:e>
              <m:r>
                <m:t>S</m:t>
              </m:r>
            </m:e>
            <m:sub>
              <m:r>
                <m:t>T</m:t>
              </m:r>
            </m:sub>
          </m:sSub>
          <m:r>
            <m:rPr>
              <m:sty m:val="p"/>
            </m:rPr>
            <m:t>−</m:t>
          </m:r>
          <m:r>
            <m:t>K</m:t>
          </m:r>
          <m:sSup>
            <m:e>
              <m:r>
                <m:rPr>
                  <m:sty m:val="p"/>
                </m:rPr>
                <m:t>)</m:t>
              </m:r>
            </m:e>
            <m:sup>
              <m:r>
                <m:rPr>
                  <m:sty m:val="p"/>
                </m:rPr>
                <m:t>+</m:t>
              </m:r>
            </m:sup>
          </m:sSup>
          <m:r>
            <m:rPr>
              <m:sty m:val="p"/>
            </m:rPr>
            <m:t>]</m:t>
          </m:r>
          <m:r>
            <m:rPr>
              <m:sty m:val="p"/>
            </m:rPr>
            <m:t>.</m:t>
          </m:r>
        </m:oMath>
      </m:oMathPara>
    </w:p>
    <w:bookmarkEnd w:id="15"/>
    <w:bookmarkStart w:id="16" w:name="входные-параметры-модели"/>
    <w:p>
      <w:pPr>
        <w:pStyle w:val="Heading3"/>
      </w:pPr>
      <w:r>
        <w:t xml:space="preserve">Входные параметры модели</w:t>
      </w:r>
    </w:p>
    <w:p>
      <w:pPr>
        <w:pStyle w:val="FirstParagraph"/>
      </w:pPr>
      <w:r>
        <w:t xml:space="preserve">Модель принимает на вход следующие параметры:</w:t>
      </w:r>
    </w:p>
    <w:p>
      <w:pPr>
        <w:numPr>
          <w:ilvl w:val="0"/>
          <w:numId w:val="1006"/>
        </w:numPr>
      </w:pPr>
      <m:oMath>
        <m:sSub>
          <m:e>
            <m:r>
              <m:t>S</m:t>
            </m:r>
          </m:e>
          <m:sub>
            <m:r>
              <m:t>0</m:t>
            </m:r>
          </m:sub>
        </m:sSub>
      </m:oMath>
      <w:r>
        <w:t xml:space="preserve"> </w:t>
      </w:r>
      <w:r>
        <w:t xml:space="preserve">— текущая цена базового актива;</w:t>
      </w:r>
    </w:p>
    <w:p>
      <w:pPr>
        <w:numPr>
          <w:ilvl w:val="0"/>
          <w:numId w:val="1006"/>
        </w:numPr>
      </w:pPr>
      <m:oMath>
        <m:r>
          <m:t>K</m:t>
        </m:r>
      </m:oMath>
      <w:r>
        <w:t xml:space="preserve"> </w:t>
      </w:r>
      <w:r>
        <w:t xml:space="preserve">— страйк опциона;</w:t>
      </w:r>
    </w:p>
    <w:p>
      <w:pPr>
        <w:numPr>
          <w:ilvl w:val="0"/>
          <w:numId w:val="1006"/>
        </w:numPr>
      </w:pPr>
      <m:oMath>
        <m:r>
          <m:t>T</m:t>
        </m:r>
      </m:oMath>
      <w:r>
        <w:t xml:space="preserve"> </w:t>
      </w:r>
      <w:r>
        <w:t xml:space="preserve">— время до экспирации;</w:t>
      </w:r>
    </w:p>
    <w:p>
      <w:pPr>
        <w:numPr>
          <w:ilvl w:val="0"/>
          <w:numId w:val="1006"/>
        </w:numPr>
      </w:pPr>
      <m:oMath>
        <m:r>
          <m:t>r</m:t>
        </m:r>
      </m:oMath>
      <w:r>
        <w:t xml:space="preserve"> </w:t>
      </w:r>
      <w:r>
        <w:t xml:space="preserve">— безрисковая процентная ставка;</w:t>
      </w:r>
    </w:p>
    <w:p>
      <w:pPr>
        <w:numPr>
          <w:ilvl w:val="0"/>
          <w:numId w:val="1006"/>
        </w:numPr>
      </w:pPr>
      <m:oMath>
        <m:r>
          <m:t>σ</m:t>
        </m:r>
      </m:oMath>
      <w:r>
        <w:t xml:space="preserve"> </w:t>
      </w:r>
      <w:r>
        <w:t xml:space="preserve">— волатильность.</w:t>
      </w:r>
    </w:p>
    <w:bookmarkEnd w:id="16"/>
    <w:bookmarkStart w:id="17" w:name="выход-модели"/>
    <w:p>
      <w:pPr>
        <w:pStyle w:val="Heading3"/>
      </w:pPr>
      <w:r>
        <w:t xml:space="preserve">Выход модели</w:t>
      </w:r>
    </w:p>
    <w:p>
      <w:pPr>
        <w:pStyle w:val="FirstParagraph"/>
      </w:pPr>
      <w:r>
        <w:t xml:space="preserve">Результатом работы модели являются:</w:t>
      </w:r>
    </w:p>
    <w:p>
      <w:pPr>
        <w:numPr>
          <w:ilvl w:val="0"/>
          <w:numId w:val="1007"/>
        </w:numPr>
      </w:pPr>
      <w:r>
        <w:t xml:space="preserve">цена опциона;</w:t>
      </w:r>
    </w:p>
    <w:p>
      <w:pPr>
        <w:numPr>
          <w:ilvl w:val="0"/>
          <w:numId w:val="1007"/>
        </w:numPr>
      </w:pPr>
      <w:r>
        <w:t xml:space="preserve">чувствительности опциона (показатели чувствительности):</w:t>
      </w:r>
      <w:r>
        <w:t xml:space="preserve"> </w:t>
      </w:r>
      <m:oMath>
        <m:r>
          <m:rPr>
            <m:sty m:val="p"/>
          </m:rPr>
          <m:t>Δ</m:t>
        </m:r>
      </m:oMath>
      <w:r>
        <w:t xml:space="preserve">,</w:t>
      </w:r>
      <w:r>
        <w:t xml:space="preserve"> </w:t>
      </w:r>
      <m:oMath>
        <m:r>
          <m:rPr>
            <m:sty m:val="p"/>
          </m:rPr>
          <m:t>Γ</m:t>
        </m:r>
      </m:oMath>
      <w:r>
        <w:t xml:space="preserve">,</w:t>
      </w:r>
      <w:r>
        <w:t xml:space="preserve"> </w:t>
      </w:r>
      <m:oMath>
        <m:r>
          <m:rPr>
            <m:sty m:val="p"/>
          </m:rPr>
          <m:t>Θ</m:t>
        </m:r>
      </m:oMath>
      <w:r>
        <w:t xml:space="preserve">,</w:t>
      </w:r>
      <w:r>
        <w:t xml:space="preserve"> </w:t>
      </w:r>
      <m:oMath>
        <m:r>
          <m:t>ν</m:t>
        </m:r>
      </m:oMath>
      <w:r>
        <w:t xml:space="preserve">,</w:t>
      </w:r>
      <w:r>
        <w:t xml:space="preserve"> </w:t>
      </w:r>
      <m:oMath>
        <m:r>
          <m:t>ρ</m:t>
        </m:r>
      </m:oMath>
      <w:r>
        <w:t xml:space="preserve">.</w:t>
      </w:r>
    </w:p>
    <w:bookmarkEnd w:id="17"/>
    <w:bookmarkStart w:id="18" w:name="роль-волатильности"/>
    <w:p>
      <w:pPr>
        <w:pStyle w:val="Heading3"/>
      </w:pPr>
      <w:r>
        <w:t xml:space="preserve">Роль волатильности</w:t>
      </w:r>
    </w:p>
    <w:p>
      <w:pPr>
        <w:pStyle w:val="FirstParagraph"/>
      </w:pPr>
      <w:r>
        <w:t xml:space="preserve">Волатильность является ключевым параметром модели Блэка–Шоулза. Именно она определяет степень неопределённости будущей динамики базового актива и существенно влияет на стоимость опциона.</w:t>
      </w:r>
    </w:p>
    <w:p>
      <w:pPr>
        <w:pStyle w:val="BodyText"/>
      </w:pPr>
      <w:r>
        <w:t xml:space="preserve">На практике вместо исторической волатильности часто используется подразумеваемая волатильность, извлекаемая из наблюдаемых рыночных цен опционов.</w:t>
      </w:r>
    </w:p>
    <w:p>
      <w:pPr>
        <w:pStyle w:val="BodyText"/>
      </w:pPr>
      <w:r>
        <w:t xml:space="preserve">Таким образом, модель Блэка–Шоулза часто применяется в обратном направлении: не для вычисления цены опциона, а для определения подразумеваемой волатильности, которая отражает рыночные ожидания относительно будущей волатильности.</w:t>
      </w:r>
    </w:p>
    <w:bookmarkEnd w:id="18"/>
    <w:bookmarkStart w:id="26" w:name="ограничения-модели-блэкашоулза"/>
    <w:p>
      <w:pPr>
        <w:pStyle w:val="Heading3"/>
      </w:pPr>
      <w:r>
        <w:t xml:space="preserve">Ограничения модели Блэка–Шоулза</w:t>
      </w:r>
    </w:p>
    <w:p>
      <w:pPr>
        <w:pStyle w:val="FirstParagraph"/>
      </w:pPr>
      <w:r>
        <w:t xml:space="preserve">Несмотря на фундаментальную роль модели Блэка–Шоулза, её предположения существенно упрощают реальную динамику финансовых рынков. В результате модель демонстрирует систематические отклонения от наблюдаемых рыночных цен.</w:t>
      </w:r>
    </w:p>
    <w:bookmarkStart w:id="19" w:name="постоянство-волатильности"/>
    <w:p>
      <w:pPr>
        <w:pStyle w:val="Heading4"/>
      </w:pPr>
      <w:r>
        <w:t xml:space="preserve">Постоянство волатильности</w:t>
      </w:r>
    </w:p>
    <w:p>
      <w:pPr>
        <w:pStyle w:val="FirstParagraph"/>
      </w:pPr>
      <w:r>
        <w:t xml:space="preserve">Одним из ключевых предположений модели является постоянство волатильности</w:t>
      </w:r>
      <w:r>
        <w:t xml:space="preserve"> </w:t>
      </w:r>
      <m:oMath>
        <m:r>
          <m:t>σ</m:t>
        </m:r>
      </m:oMath>
      <w:r>
        <w:t xml:space="preserve">. Однако эмпирические данные показывают, что волатильность:</w:t>
      </w:r>
    </w:p>
    <w:p>
      <w:pPr>
        <w:numPr>
          <w:ilvl w:val="0"/>
          <w:numId w:val="1008"/>
        </w:numPr>
      </w:pPr>
      <w:r>
        <w:t xml:space="preserve">изменяется во времени;</w:t>
      </w:r>
    </w:p>
    <w:p>
      <w:pPr>
        <w:numPr>
          <w:ilvl w:val="0"/>
          <w:numId w:val="1008"/>
        </w:numPr>
      </w:pPr>
      <w:r>
        <w:t xml:space="preserve">демонстрирует кластеризацию;</w:t>
      </w:r>
    </w:p>
    <w:p>
      <w:pPr>
        <w:numPr>
          <w:ilvl w:val="0"/>
          <w:numId w:val="1008"/>
        </w:numPr>
      </w:pPr>
      <w:r>
        <w:t xml:space="preserve">зависит от состояния рынка.</w:t>
      </w:r>
    </w:p>
    <w:p>
      <w:pPr>
        <w:pStyle w:val="FirstParagraph"/>
      </w:pPr>
      <w:r>
        <w:t xml:space="preserve">Это приводит к тому, что одна фиксированная волатильность не может корректно описать цены опционов на разных страйках и сроках.</w:t>
      </w:r>
    </w:p>
    <w:bookmarkEnd w:id="19"/>
    <w:bookmarkStart w:id="20" w:name="улыбка-волатильности"/>
    <w:p>
      <w:pPr>
        <w:pStyle w:val="Heading4"/>
      </w:pPr>
      <w:r>
        <w:t xml:space="preserve">Улыбка волатильности</w:t>
      </w:r>
    </w:p>
    <w:p>
      <w:pPr>
        <w:pStyle w:val="FirstParagraph"/>
      </w:pPr>
      <w:r>
        <w:t xml:space="preserve">В реальных рыночных данных наблюдается зависимость подразумеваемой волатильности от страйка и срока до экспирации:</w:t>
      </w:r>
    </w:p>
    <w:p>
      <w:pPr>
        <w:pStyle w:val="BodyText"/>
      </w:pPr>
      <m:oMathPara>
        <m:oMathParaPr>
          <m:jc m:val="center"/>
        </m:oMathParaPr>
        <m:oMath>
          <m:sSub>
            <m:e>
              <m:r>
                <m:t>σ</m:t>
              </m:r>
            </m:e>
            <m:sub>
              <m:r>
                <m:rPr>
                  <m:nor/>
                  <m:sty m:val="p"/>
                </m:rPr>
                <m:t>подр</m:t>
              </m:r>
            </m:sub>
          </m:sSub>
          <m:r>
            <m:rPr>
              <m:sty m:val="p"/>
            </m:rPr>
            <m:t>=</m:t>
          </m:r>
          <m:r>
            <m:t>f</m:t>
          </m:r>
          <m:r>
            <m:rPr>
              <m:sty m:val="p"/>
            </m:rPr>
            <m:t>(</m:t>
          </m:r>
          <m:r>
            <m:t>K</m:t>
          </m:r>
          <m:r>
            <m:rPr>
              <m:sty m:val="p"/>
            </m:rPr>
            <m:t>,</m:t>
          </m:r>
          <m:r>
            <m:t>T</m:t>
          </m:r>
          <m:r>
            <m:rPr>
              <m:sty m:val="p"/>
            </m:rPr>
            <m:t>)</m:t>
          </m:r>
          <m:r>
            <m:rPr>
              <m:sty m:val="p"/>
            </m:rPr>
            <m:t>,</m:t>
          </m:r>
        </m:oMath>
      </m:oMathPara>
    </w:p>
    <w:p>
      <w:pPr>
        <w:pStyle w:val="FirstParagraph"/>
      </w:pPr>
      <w:r>
        <w:t xml:space="preserve">в то время как модель Блэка–Шоулза предполагает:</w:t>
      </w:r>
    </w:p>
    <w:p>
      <w:pPr>
        <w:pStyle w:val="BodyText"/>
      </w:pPr>
      <m:oMathPara>
        <m:oMathParaPr>
          <m:jc m:val="center"/>
        </m:oMathParaPr>
        <m:oMath>
          <m:r>
            <m:t>σ</m:t>
          </m:r>
          <m:r>
            <m:rPr>
              <m:sty m:val="p"/>
            </m:rPr>
            <m:t>=</m:t>
          </m:r>
          <m:r>
            <m:rPr>
              <m:nor/>
              <m:sty m:val="p"/>
            </m:rPr>
            <m:t>пост.</m:t>
          </m:r>
        </m:oMath>
      </m:oMathPara>
    </w:p>
    <w:p>
      <w:pPr>
        <w:pStyle w:val="FirstParagraph"/>
      </w:pPr>
      <w:r>
        <w:t xml:space="preserve">Эмпирически это проявляется в виде улыбки волатильности или перекоса волатильности, что означает систематическую ошибку модели при оценке опционов вне денег.</w:t>
      </w:r>
    </w:p>
    <w:bookmarkEnd w:id="20"/>
    <w:bookmarkStart w:id="21" w:name="нормальность-лог-доходностей"/>
    <w:p>
      <w:pPr>
        <w:pStyle w:val="Heading4"/>
      </w:pPr>
      <w:r>
        <w:t xml:space="preserve">Нормальность лог-доходностей</w:t>
      </w:r>
    </w:p>
    <w:p>
      <w:pPr>
        <w:pStyle w:val="FirstParagraph"/>
      </w:pPr>
      <w:r>
        <w:t xml:space="preserve">Модель предполагает нормальность логарифмических доходностей. Однако на практике наблюдаются:</w:t>
      </w:r>
    </w:p>
    <w:p>
      <w:pPr>
        <w:numPr>
          <w:ilvl w:val="0"/>
          <w:numId w:val="1009"/>
        </w:numPr>
      </w:pPr>
      <w:r>
        <w:t xml:space="preserve">тяжёлые хвосты;</w:t>
      </w:r>
    </w:p>
    <w:p>
      <w:pPr>
        <w:numPr>
          <w:ilvl w:val="0"/>
          <w:numId w:val="1009"/>
        </w:numPr>
      </w:pPr>
      <w:r>
        <w:t xml:space="preserve">асимметрия распределения;</w:t>
      </w:r>
    </w:p>
    <w:p>
      <w:pPr>
        <w:numPr>
          <w:ilvl w:val="0"/>
          <w:numId w:val="1009"/>
        </w:numPr>
      </w:pPr>
      <w:r>
        <w:t xml:space="preserve">повышенная вероятность экстремальных событий.</w:t>
      </w:r>
    </w:p>
    <w:p>
      <w:pPr>
        <w:pStyle w:val="FirstParagraph"/>
      </w:pPr>
      <w:r>
        <w:t xml:space="preserve">Это означает, что модель недооценивает риск сильных рыночных движений.</w:t>
      </w:r>
    </w:p>
    <w:bookmarkEnd w:id="21"/>
    <w:bookmarkStart w:id="22" w:name="отсутствие-скачков"/>
    <w:p>
      <w:pPr>
        <w:pStyle w:val="Heading4"/>
      </w:pPr>
      <w:r>
        <w:t xml:space="preserve">Отсутствие скачков</w:t>
      </w:r>
    </w:p>
    <w:p>
      <w:pPr>
        <w:pStyle w:val="FirstParagraph"/>
      </w:pPr>
      <w:r>
        <w:t xml:space="preserve">В модели предполагается непрерывная динамика цены:</w:t>
      </w:r>
    </w:p>
    <w:p>
      <w:pPr>
        <w:pStyle w:val="BodyText"/>
      </w:pPr>
      <m:oMathPara>
        <m:oMathParaPr>
          <m:jc m:val="center"/>
        </m:oMathParaPr>
        <m:oMath>
          <m:r>
            <m:t>d</m:t>
          </m:r>
          <m:sSub>
            <m:e>
              <m:r>
                <m:t>S</m:t>
              </m:r>
            </m:e>
            <m:sub>
              <m:r>
                <m:t>t</m:t>
              </m:r>
            </m:sub>
          </m:sSub>
          <m:r>
            <m:rPr>
              <m:sty m:val="p"/>
            </m:rPr>
            <m:t>=</m:t>
          </m:r>
          <m:r>
            <m:t>μ</m:t>
          </m:r>
          <m:sSub>
            <m:e>
              <m:r>
                <m:t>S</m:t>
              </m:r>
            </m:e>
            <m:sub>
              <m:r>
                <m:t>t</m:t>
              </m:r>
            </m:sub>
          </m:sSub>
          <m:r>
            <m:t>d</m:t>
          </m:r>
          <m:r>
            <m:t>t</m:t>
          </m:r>
          <m:r>
            <m:rPr>
              <m:sty m:val="p"/>
            </m:rPr>
            <m:t>+</m:t>
          </m:r>
          <m:r>
            <m:t>σ</m:t>
          </m:r>
          <m:sSub>
            <m:e>
              <m:r>
                <m:t>S</m:t>
              </m:r>
            </m:e>
            <m:sub>
              <m:r>
                <m:t>t</m:t>
              </m:r>
            </m:sub>
          </m:sSub>
          <m:r>
            <m:t>d</m:t>
          </m:r>
          <m:sSub>
            <m:e>
              <m:r>
                <m:t>W</m:t>
              </m:r>
            </m:e>
            <m:sub>
              <m:r>
                <m:t>t</m:t>
              </m:r>
            </m:sub>
          </m:sSub>
          <m:r>
            <m:rPr>
              <m:sty m:val="p"/>
            </m:rPr>
            <m:t>,</m:t>
          </m:r>
        </m:oMath>
      </m:oMathPara>
    </w:p>
    <w:p>
      <w:pPr>
        <w:pStyle w:val="FirstParagraph"/>
      </w:pPr>
      <w:r>
        <w:t xml:space="preserve">что исключает резкие скачки цен. В реальности финансовые рынки подвержены:</w:t>
      </w:r>
    </w:p>
    <w:p>
      <w:pPr>
        <w:numPr>
          <w:ilvl w:val="0"/>
          <w:numId w:val="1010"/>
        </w:numPr>
      </w:pPr>
      <w:r>
        <w:t xml:space="preserve">новостным шокам;</w:t>
      </w:r>
    </w:p>
    <w:p>
      <w:pPr>
        <w:numPr>
          <w:ilvl w:val="0"/>
          <w:numId w:val="1010"/>
        </w:numPr>
      </w:pPr>
      <w:r>
        <w:t xml:space="preserve">гэпам;</w:t>
      </w:r>
    </w:p>
    <w:p>
      <w:pPr>
        <w:numPr>
          <w:ilvl w:val="0"/>
          <w:numId w:val="1010"/>
        </w:numPr>
      </w:pPr>
      <w:r>
        <w:t xml:space="preserve">кризисным движениям.</w:t>
      </w:r>
    </w:p>
    <w:p>
      <w:pPr>
        <w:pStyle w:val="FirstParagraph"/>
      </w:pPr>
      <w:r>
        <w:t xml:space="preserve">Это приводит к недооценке стоимости опционов, чувствительных к экстремальным событиям.</w:t>
      </w:r>
    </w:p>
    <w:bookmarkEnd w:id="22"/>
    <w:bookmarkStart w:id="23" w:name="постоянство-процентной-ставки"/>
    <w:p>
      <w:pPr>
        <w:pStyle w:val="Heading4"/>
      </w:pPr>
      <w:r>
        <w:t xml:space="preserve">Постоянство процентной ставки</w:t>
      </w:r>
    </w:p>
    <w:p>
      <w:pPr>
        <w:pStyle w:val="FirstParagraph"/>
      </w:pPr>
      <w:r>
        <w:t xml:space="preserve">Модель предполагает фиксированную безрисковую ставку</w:t>
      </w:r>
      <w:r>
        <w:t xml:space="preserve"> </w:t>
      </w:r>
      <m:oMath>
        <m:r>
          <m:t>r</m:t>
        </m:r>
      </m:oMath>
      <w:r>
        <w:t xml:space="preserve">, тогда как в реальности процентные ставки изменяются во времени и обладают собственной временной структурой.</w:t>
      </w:r>
    </w:p>
    <w:bookmarkEnd w:id="23"/>
    <w:bookmarkStart w:id="24" w:name="совершенность-рынка"/>
    <w:p>
      <w:pPr>
        <w:pStyle w:val="Heading4"/>
      </w:pPr>
      <w:r>
        <w:t xml:space="preserve">Совершенность рынка</w:t>
      </w:r>
    </w:p>
    <w:p>
      <w:pPr>
        <w:pStyle w:val="FirstParagraph"/>
      </w:pPr>
      <w:r>
        <w:t xml:space="preserve">Предполагается отсутствие:</w:t>
      </w:r>
    </w:p>
    <w:p>
      <w:pPr>
        <w:numPr>
          <w:ilvl w:val="0"/>
          <w:numId w:val="1011"/>
        </w:numPr>
      </w:pPr>
      <w:r>
        <w:t xml:space="preserve">транзакционных издержек;</w:t>
      </w:r>
    </w:p>
    <w:p>
      <w:pPr>
        <w:numPr>
          <w:ilvl w:val="0"/>
          <w:numId w:val="1011"/>
        </w:numPr>
      </w:pPr>
      <w:r>
        <w:t xml:space="preserve">ограничений на короткие продажи;</w:t>
      </w:r>
    </w:p>
    <w:p>
      <w:pPr>
        <w:numPr>
          <w:ilvl w:val="0"/>
          <w:numId w:val="1011"/>
        </w:numPr>
      </w:pPr>
      <w:r>
        <w:t xml:space="preserve">ликвидностных ограничений.</w:t>
      </w:r>
    </w:p>
    <w:p>
      <w:pPr>
        <w:pStyle w:val="FirstParagraph"/>
      </w:pPr>
      <w:r>
        <w:t xml:space="preserve">Кроме того, модель требует непрерывного хеджирования, что невозможно реализовать на практике.</w:t>
      </w:r>
    </w:p>
    <w:bookmarkEnd w:id="24"/>
    <w:bookmarkStart w:id="25" w:name="последствия-для-практического-применения"/>
    <w:p>
      <w:pPr>
        <w:pStyle w:val="Heading4"/>
      </w:pPr>
      <w:r>
        <w:t xml:space="preserve">Последствия для практического применения</w:t>
      </w:r>
    </w:p>
    <w:p>
      <w:pPr>
        <w:pStyle w:val="FirstParagraph"/>
      </w:pPr>
      <w:r>
        <w:t xml:space="preserve">В результате перечисленных ограничений:</w:t>
      </w:r>
    </w:p>
    <w:p>
      <w:pPr>
        <w:numPr>
          <w:ilvl w:val="0"/>
          <w:numId w:val="1012"/>
        </w:numPr>
      </w:pPr>
      <w:r>
        <w:t xml:space="preserve">модель систематически ошибается в оценке опционов;</w:t>
      </w:r>
    </w:p>
    <w:p>
      <w:pPr>
        <w:numPr>
          <w:ilvl w:val="0"/>
          <w:numId w:val="1012"/>
        </w:numPr>
      </w:pPr>
      <w:r>
        <w:t xml:space="preserve">ошибка зависит от страйка, срока и рыночного режима;</w:t>
      </w:r>
    </w:p>
    <w:p>
      <w:pPr>
        <w:numPr>
          <w:ilvl w:val="0"/>
          <w:numId w:val="1012"/>
        </w:numPr>
      </w:pPr>
      <w:r>
        <w:t xml:space="preserve">качество модели снижается в стрессовых рыночных условиях.</w:t>
      </w:r>
    </w:p>
    <w:p>
      <w:pPr>
        <w:pStyle w:val="FirstParagraph"/>
      </w:pPr>
      <w:r>
        <w:t xml:space="preserve">Это делает необходимым использование более сложных моделей, а также мотивирует эмпирическую проверку устойчивости модели в различных рыночных режимах.</w:t>
      </w:r>
    </w:p>
    <w:bookmarkEnd w:id="25"/>
    <w:bookmarkEnd w:id="26"/>
    <w:bookmarkEnd w:id="27"/>
    <w:bookmarkStart w:id="33" w:name="волатильность-в-ценообразовании-опционов"/>
    <w:p>
      <w:pPr>
        <w:pStyle w:val="Heading2"/>
      </w:pPr>
      <w:r>
        <w:t xml:space="preserve">Волатильность в ценообразовании опционов</w:t>
      </w:r>
    </w:p>
    <w:p>
      <w:pPr>
        <w:pStyle w:val="FirstParagraph"/>
      </w:pPr>
      <w:r>
        <w:t xml:space="preserve">Волатильность является одним из ключевых параметров моделей ценообразования опционов. Она характеризует степень изменчивости цены базового актива и напрямую влияет на стоимость опциона. Чем выше ожидаемая волатильность, тем выше вероятность значительных ценовых движений, а следовательно — тем выше стоимость опциона.</w:t>
      </w:r>
    </w:p>
    <w:p>
      <w:pPr>
        <w:pStyle w:val="BodyText"/>
      </w:pPr>
      <w:r>
        <w:t xml:space="preserve">В рамках моделей типа Блэка–Шоулза волатильность выступает в качестве параметра, определяющего распределение возможных будущих значений цены базового актива. На практике корректная оценка волатильности является одной из центральных задач количественных финансов.</w:t>
      </w:r>
    </w:p>
    <w:bookmarkStart w:id="28" w:name="историческая-волатильность"/>
    <w:p>
      <w:pPr>
        <w:pStyle w:val="Heading3"/>
      </w:pPr>
      <w:r>
        <w:t xml:space="preserve">Историческая волатильность</w:t>
      </w:r>
    </w:p>
    <w:p>
      <w:pPr>
        <w:pStyle w:val="FirstParagraph"/>
      </w:pPr>
      <w:r>
        <w:t xml:space="preserve">Историческая волатильность представляет собой оценку волатильности, рассчитанную на основе исторических данных о доходностях базового актива.</w:t>
      </w:r>
    </w:p>
    <w:p>
      <w:pPr>
        <w:pStyle w:val="BodyText"/>
      </w:pPr>
      <w:r>
        <w:t xml:space="preserve">Как правило, историческая волатильность рассчитывается как стандартное отклонение логарифмических доходностей:</w:t>
      </w:r>
    </w:p>
    <w:p>
      <w:pPr>
        <w:pStyle w:val="BodyText"/>
      </w:pPr>
      <m:oMathPara>
        <m:oMathParaPr>
          <m:jc m:val="center"/>
        </m:oMathParaPr>
        <m:oMath>
          <m:sSub>
            <m:e>
              <m:r>
                <m:t>r</m:t>
              </m:r>
            </m:e>
            <m:sub>
              <m:r>
                <m:t>t</m:t>
              </m:r>
            </m:sub>
          </m:sSub>
          <m:r>
            <m:rPr>
              <m:sty m:val="p"/>
            </m:rPr>
            <m:t>=</m:t>
          </m:r>
          <m:r>
            <m:rPr>
              <m:sty m:val="p"/>
            </m:rPr>
            <m:t>ln</m:t>
          </m:r>
          <m:d>
            <m:dPr>
              <m:begChr m:val="("/>
              <m:sepChr m:val=""/>
              <m:endChr m:val=")"/>
              <m:grow/>
            </m:dPr>
            <m:e>
              <m:f>
                <m:fPr>
                  <m:type m:val="bar"/>
                </m:fPr>
                <m:num>
                  <m:sSub>
                    <m:e>
                      <m:r>
                        <m:t>S</m:t>
                      </m:r>
                    </m:e>
                    <m:sub>
                      <m:r>
                        <m:t>t</m:t>
                      </m:r>
                    </m:sub>
                  </m:sSub>
                </m:num>
                <m:den>
                  <m:sSub>
                    <m:e>
                      <m:r>
                        <m:t>S</m:t>
                      </m:r>
                    </m:e>
                    <m:sub>
                      <m:r>
                        <m:t>t</m:t>
                      </m:r>
                      <m:r>
                        <m:rPr>
                          <m:sty m:val="p"/>
                        </m:rPr>
                        <m:t>−</m:t>
                      </m:r>
                      <m:r>
                        <m:t>1</m:t>
                      </m:r>
                    </m:sub>
                  </m:sSub>
                </m:den>
              </m:f>
            </m:e>
          </m:d>
          <m:r>
            <m:rPr>
              <m:sty m:val="p"/>
            </m:rPr>
            <m:t>,</m:t>
          </m:r>
        </m:oMath>
      </m:oMathPara>
    </w:p>
    <w:p>
      <w:pPr>
        <w:pStyle w:val="FirstParagraph"/>
      </w:pPr>
      <m:oMathPara>
        <m:oMathParaPr>
          <m:jc m:val="center"/>
        </m:oMathParaPr>
        <m:oMath>
          <m:r>
            <m:t>H</m:t>
          </m:r>
          <m:r>
            <m:t>V</m:t>
          </m:r>
          <m:r>
            <m:rPr>
              <m:sty m:val="p"/>
            </m:rPr>
            <m:t>=</m:t>
          </m:r>
          <m:rad>
            <m:radPr>
              <m:degHide m:val="on"/>
            </m:radPr>
            <m:deg/>
            <m:e>
              <m:r>
                <m:t>252</m:t>
              </m:r>
            </m:e>
          </m:rad>
          <m:r>
            <m:rPr>
              <m:sty m:val="p"/>
            </m:rPr>
            <m:t>⋅</m:t>
          </m:r>
          <m:r>
            <m:rPr>
              <m:sty m:val="p"/>
            </m:rPr>
            <m:t>s</m:t>
          </m:r>
          <m:r>
            <m:rPr>
              <m:sty m:val="p"/>
            </m:rPr>
            <m:t>t</m:t>
          </m:r>
          <m:r>
            <m:rPr>
              <m:sty m:val="p"/>
            </m:rPr>
            <m:t>d</m:t>
          </m:r>
          <m:r>
            <m:rPr>
              <m:sty m:val="p"/>
            </m:rPr>
            <m:t>(</m:t>
          </m:r>
          <m:sSub>
            <m:e>
              <m:r>
                <m:t>r</m:t>
              </m:r>
            </m:e>
            <m:sub>
              <m:r>
                <m:t>t</m:t>
              </m:r>
            </m:sub>
          </m:sSub>
          <m:r>
            <m:rPr>
              <m:sty m:val="p"/>
            </m:rPr>
            <m:t>)</m:t>
          </m:r>
          <m:r>
            <m:rPr>
              <m:sty m:val="p"/>
            </m:rPr>
            <m:t>,</m:t>
          </m:r>
        </m:oMath>
      </m:oMathPara>
    </w:p>
    <w:p>
      <w:pPr>
        <w:pStyle w:val="FirstParagraph"/>
      </w:pPr>
      <w:r>
        <w:t xml:space="preserve">где:</w:t>
      </w:r>
    </w:p>
    <w:p>
      <w:pPr>
        <w:numPr>
          <w:ilvl w:val="0"/>
          <w:numId w:val="1013"/>
        </w:numPr>
      </w:pPr>
      <m:oMath>
        <m:sSub>
          <m:e>
            <m:r>
              <m:t>r</m:t>
            </m:r>
          </m:e>
          <m:sub>
            <m:r>
              <m:t>t</m:t>
            </m:r>
          </m:sub>
        </m:sSub>
      </m:oMath>
      <w:r>
        <w:t xml:space="preserve"> </w:t>
      </w:r>
      <w:r>
        <w:t xml:space="preserve">— логарифмическая доходность;</w:t>
      </w:r>
    </w:p>
    <w:p>
      <w:pPr>
        <w:numPr>
          <w:ilvl w:val="0"/>
          <w:numId w:val="1013"/>
        </w:numPr>
      </w:pPr>
      <m:oMath>
        <m:r>
          <m:rPr>
            <m:sty m:val="p"/>
          </m:rPr>
          <m:t>s</m:t>
        </m:r>
        <m:r>
          <m:rPr>
            <m:sty m:val="p"/>
          </m:rPr>
          <m:t>t</m:t>
        </m:r>
        <m:r>
          <m:rPr>
            <m:sty m:val="p"/>
          </m:rPr>
          <m:t>d</m:t>
        </m:r>
        <m:r>
          <m:rPr>
            <m:sty m:val="p"/>
          </m:rPr>
          <m:t>(</m:t>
        </m:r>
        <m:sSub>
          <m:e>
            <m:r>
              <m:t>r</m:t>
            </m:r>
          </m:e>
          <m:sub>
            <m:r>
              <m:t>t</m:t>
            </m:r>
          </m:sub>
        </m:sSub>
        <m:r>
          <m:rPr>
            <m:sty m:val="p"/>
          </m:rPr>
          <m:t>)</m:t>
        </m:r>
      </m:oMath>
      <w:r>
        <w:t xml:space="preserve"> </w:t>
      </w:r>
      <w:r>
        <w:t xml:space="preserve">— стандартное отклонение доходностей;</w:t>
      </w:r>
    </w:p>
    <w:p>
      <w:pPr>
        <w:numPr>
          <w:ilvl w:val="0"/>
          <w:numId w:val="1013"/>
        </w:numPr>
      </w:pPr>
      <w:r>
        <w:t xml:space="preserve">множитель</w:t>
      </w:r>
      <w:r>
        <w:t xml:space="preserve"> </w:t>
      </w:r>
      <m:oMath>
        <m:rad>
          <m:radPr>
            <m:degHide m:val="on"/>
          </m:radPr>
          <m:deg/>
          <m:e>
            <m:r>
              <m:t>252</m:t>
            </m:r>
          </m:e>
        </m:rad>
      </m:oMath>
      <w:r>
        <w:t xml:space="preserve"> </w:t>
      </w:r>
      <w:r>
        <w:t xml:space="preserve">используется для годового приведения волатильности.</w:t>
      </w:r>
    </w:p>
    <w:p>
      <w:pPr>
        <w:pStyle w:val="FirstParagraph"/>
      </w:pPr>
      <w:r>
        <w:t xml:space="preserve">На практике историческая волатильность может рассчитываться на различных временных окнах, например 21 или 63 торговых дня. Различные окна позволяют учитывать краткосрочную или более долгосрочную динамику рынка.</w:t>
      </w:r>
    </w:p>
    <w:p>
      <w:pPr>
        <w:pStyle w:val="BodyText"/>
      </w:pPr>
      <w:r>
        <w:t xml:space="preserve">Основным преимуществом исторической волатильности является простота расчёта. Однако данный подход использует исключительно прошлые данные и не учитывает рыночные ожидания относительно будущей волатильности.</w:t>
      </w:r>
    </w:p>
    <w:bookmarkEnd w:id="28"/>
    <w:bookmarkStart w:id="29" w:name="реализованная-волатильность"/>
    <w:p>
      <w:pPr>
        <w:pStyle w:val="Heading3"/>
      </w:pPr>
      <w:r>
        <w:t xml:space="preserve">Реализованная волатильность</w:t>
      </w:r>
    </w:p>
    <w:p>
      <w:pPr>
        <w:pStyle w:val="FirstParagraph"/>
      </w:pPr>
      <w:r>
        <w:t xml:space="preserve">Реализованная волатильность характеризует фактически реализованную волатильность за некоторый период времени. В отличие от исторической волатильности, которая используется как оценка будущей волатильности, реализованная волатильность представляет собой последующую характеристику уже произошедшей динамики рынка.</w:t>
      </w:r>
    </w:p>
    <w:p>
      <w:pPr>
        <w:pStyle w:val="BodyText"/>
      </w:pPr>
      <w:r>
        <w:t xml:space="preserve">В современных исследованиях реализованная волатильность часто используется как эталон при анализе качества прогнозов волатильности и моделей прогнозирования волатильности.</w:t>
      </w:r>
    </w:p>
    <w:bookmarkEnd w:id="29"/>
    <w:bookmarkStart w:id="30" w:name="подразумеваемая-волатильность"/>
    <w:p>
      <w:pPr>
        <w:pStyle w:val="Heading3"/>
      </w:pPr>
      <w:r>
        <w:t xml:space="preserve">Подразумеваемая волатильность</w:t>
      </w:r>
    </w:p>
    <w:p>
      <w:pPr>
        <w:pStyle w:val="FirstParagraph"/>
      </w:pPr>
      <w:r>
        <w:t xml:space="preserve">Подразумеваемая волатильность представляет собой значение волатильности, при котором модельная цена опциона совпадает с наблюдаемой рыночной ценой.</w:t>
      </w:r>
    </w:p>
    <w:p>
      <w:pPr>
        <w:pStyle w:val="BodyText"/>
      </w:pPr>
      <w:r>
        <w:t xml:space="preserve">Формально подразумеваемая волатильность определяется как решение уравнения:</w:t>
      </w:r>
    </w:p>
    <w:p>
      <w:pPr>
        <w:pStyle w:val="BodyText"/>
      </w:pPr>
      <m:oMathPara>
        <m:oMathParaPr>
          <m:jc m:val="center"/>
        </m:oMathParaPr>
        <m:oMath>
          <m:sSup>
            <m:e>
              <m:r>
                <m:t>C</m:t>
              </m:r>
            </m:e>
            <m:sup>
              <m:r>
                <m:rPr>
                  <m:nor/>
                  <m:sty m:val="p"/>
                </m:rPr>
                <m:t>рын</m:t>
              </m:r>
            </m:sup>
          </m:sSup>
          <m:r>
            <m:rPr>
              <m:sty m:val="p"/>
            </m:rPr>
            <m:t>=</m:t>
          </m:r>
          <m:sSup>
            <m:e>
              <m:r>
                <m:t>C</m:t>
              </m:r>
            </m:e>
            <m:sup>
              <m:r>
                <m:rPr>
                  <m:nor/>
                  <m:sty m:val="p"/>
                </m:rPr>
                <m:t>мод</m:t>
              </m:r>
            </m:sup>
          </m:sSup>
          <m:r>
            <m:rPr>
              <m:sty m:val="p"/>
            </m:rPr>
            <m:t>(</m:t>
          </m:r>
          <m:sSub>
            <m:e>
              <m:r>
                <m:t>σ</m:t>
              </m:r>
            </m:e>
            <m:sub>
              <m:r>
                <m:rPr>
                  <m:nor/>
                  <m:sty m:val="p"/>
                </m:rPr>
                <m:t>подр</m:t>
              </m:r>
            </m:sub>
          </m:sSub>
          <m:r>
            <m:rPr>
              <m:sty m:val="p"/>
            </m:rPr>
            <m:t>)</m:t>
          </m:r>
          <m:r>
            <m:rPr>
              <m:sty m:val="p"/>
            </m:rPr>
            <m:t>,</m:t>
          </m:r>
        </m:oMath>
      </m:oMathPara>
    </w:p>
    <w:p>
      <w:pPr>
        <w:pStyle w:val="FirstParagraph"/>
      </w:pPr>
      <w:r>
        <w:t xml:space="preserve">где:</w:t>
      </w:r>
    </w:p>
    <w:p>
      <w:pPr>
        <w:numPr>
          <w:ilvl w:val="0"/>
          <w:numId w:val="1014"/>
        </w:numPr>
      </w:pPr>
      <m:oMath>
        <m:sSup>
          <m:e>
            <m:r>
              <m:t>C</m:t>
            </m:r>
          </m:e>
          <m:sup>
            <m:r>
              <m:rPr>
                <m:nor/>
                <m:sty m:val="p"/>
              </m:rPr>
              <m:t>рын</m:t>
            </m:r>
          </m:sup>
        </m:sSup>
      </m:oMath>
      <w:r>
        <w:t xml:space="preserve"> </w:t>
      </w:r>
      <w:r>
        <w:t xml:space="preserve">— наблюдаемая рыночная цена опциона;</w:t>
      </w:r>
    </w:p>
    <w:p>
      <w:pPr>
        <w:numPr>
          <w:ilvl w:val="0"/>
          <w:numId w:val="1014"/>
        </w:numPr>
      </w:pPr>
      <m:oMath>
        <m:sSup>
          <m:e>
            <m:r>
              <m:t>C</m:t>
            </m:r>
          </m:e>
          <m:sup>
            <m:r>
              <m:rPr>
                <m:nor/>
                <m:sty m:val="p"/>
              </m:rPr>
              <m:t>мод</m:t>
            </m:r>
          </m:sup>
        </m:sSup>
      </m:oMath>
      <w:r>
        <w:t xml:space="preserve"> </w:t>
      </w:r>
      <w:r>
        <w:t xml:space="preserve">— модельная цена опциона;</w:t>
      </w:r>
    </w:p>
    <w:p>
      <w:pPr>
        <w:numPr>
          <w:ilvl w:val="0"/>
          <w:numId w:val="1014"/>
        </w:numPr>
      </w:pPr>
      <m:oMath>
        <m:sSub>
          <m:e>
            <m:r>
              <m:t>σ</m:t>
            </m:r>
          </m:e>
          <m:sub>
            <m:r>
              <m:rPr>
                <m:nor/>
                <m:sty m:val="p"/>
              </m:rPr>
              <m:t>подр</m:t>
            </m:r>
          </m:sub>
        </m:sSub>
      </m:oMath>
      <w:r>
        <w:t xml:space="preserve"> </w:t>
      </w:r>
      <w:r>
        <w:t xml:space="preserve">— подразумеваемая волатильность.</w:t>
      </w:r>
    </w:p>
    <w:p>
      <w:pPr>
        <w:pStyle w:val="FirstParagraph"/>
      </w:pPr>
      <w:r>
        <w:t xml:space="preserve">Таким образом, подразумеваемая волатильность позволяет выразить рыночную цену опциона через единый параметр волатильности. На практике подразумеваемая волатильность широко используется как универсальный язык рынка опционов и позволяет сравнивать опционы с различными страйками и сроками до экспирации.</w:t>
      </w:r>
    </w:p>
    <w:p>
      <w:pPr>
        <w:pStyle w:val="BodyText"/>
      </w:pPr>
      <w:r>
        <w:t xml:space="preserve">В отличие от исторической волатильности, подразумеваемая волатильность отражает ожидания участников рынка относительно будущей неопределённости и потенциальных ценовых движений.</w:t>
      </w:r>
    </w:p>
    <w:bookmarkEnd w:id="30"/>
    <w:bookmarkStart w:id="31" w:name="X45d095e7356fd4863846ae3972995159043c9cd"/>
    <w:p>
      <w:pPr>
        <w:pStyle w:val="Heading3"/>
      </w:pPr>
      <w:r>
        <w:t xml:space="preserve">Улыбка волатильности и перекос волатильности</w:t>
      </w:r>
    </w:p>
    <w:p>
      <w:pPr>
        <w:pStyle w:val="FirstParagraph"/>
      </w:pPr>
      <w:r>
        <w:t xml:space="preserve">Одним из наиболее известных эмпирических эффектов на рынке опционов является улыбка волатильности — зависимость подразумеваемой волатильности от страйка опциона.</w:t>
      </w:r>
    </w:p>
    <w:p>
      <w:pPr>
        <w:pStyle w:val="BodyText"/>
      </w:pPr>
      <w:r>
        <w:t xml:space="preserve">Модель Блэка–Шоулза предполагает постоянную волатильность:</w:t>
      </w:r>
    </w:p>
    <w:p>
      <w:pPr>
        <w:pStyle w:val="BodyText"/>
      </w:pPr>
      <m:oMathPara>
        <m:oMathParaPr>
          <m:jc m:val="center"/>
        </m:oMathParaPr>
        <m:oMath>
          <m:r>
            <m:t>σ</m:t>
          </m:r>
          <m:r>
            <m:rPr>
              <m:sty m:val="p"/>
            </m:rPr>
            <m:t>=</m:t>
          </m:r>
          <m:r>
            <m:rPr>
              <m:nor/>
              <m:sty m:val="p"/>
            </m:rPr>
            <m:t>пост.</m:t>
          </m:r>
          <m:r>
            <m:rPr>
              <m:sty m:val="p"/>
            </m:rPr>
            <m:t>,</m:t>
          </m:r>
        </m:oMath>
      </m:oMathPara>
    </w:p>
    <w:p>
      <w:pPr>
        <w:pStyle w:val="FirstParagraph"/>
      </w:pPr>
      <w:r>
        <w:t xml:space="preserve">однако в реальных рыночных данных подразумеваемая волатильность зависит как от страйка, так и от срока до экспирации:</w:t>
      </w:r>
    </w:p>
    <w:p>
      <w:pPr>
        <w:pStyle w:val="BodyText"/>
      </w:pPr>
      <m:oMathPara>
        <m:oMathParaPr>
          <m:jc m:val="center"/>
        </m:oMathParaPr>
        <m:oMath>
          <m:sSub>
            <m:e>
              <m:r>
                <m:t>σ</m:t>
              </m:r>
            </m:e>
            <m:sub>
              <m:r>
                <m:rPr>
                  <m:nor/>
                  <m:sty m:val="p"/>
                </m:rPr>
                <m:t>подр</m:t>
              </m:r>
            </m:sub>
          </m:sSub>
          <m:r>
            <m:rPr>
              <m:sty m:val="p"/>
            </m:rPr>
            <m:t>=</m:t>
          </m:r>
          <m:r>
            <m:t>f</m:t>
          </m:r>
          <m:r>
            <m:rPr>
              <m:sty m:val="p"/>
            </m:rPr>
            <m:t>(</m:t>
          </m:r>
          <m:r>
            <m:t>K</m:t>
          </m:r>
          <m:r>
            <m:rPr>
              <m:sty m:val="p"/>
            </m:rPr>
            <m:t>,</m:t>
          </m:r>
          <m:r>
            <m:t>T</m:t>
          </m:r>
          <m:r>
            <m:rPr>
              <m:sty m:val="p"/>
            </m:rPr>
            <m:t>)</m:t>
          </m:r>
          <m:r>
            <m:rPr>
              <m:sty m:val="p"/>
            </m:rPr>
            <m:t>.</m:t>
          </m:r>
        </m:oMath>
      </m:oMathPara>
    </w:p>
    <w:p>
      <w:pPr>
        <w:pStyle w:val="FirstParagraph"/>
      </w:pPr>
      <w:r>
        <w:t xml:space="preserve">Для многих рынков характерна ситуация, при которой опционы далеко вне денег обладают более высокой подразумеваемой волатильностью, чем опционы около денег. На фондовых рынках часто наблюдается асимметричная структура перекоса волатильности, связанная с повышенным спросом на защитные опционы на продажу.</w:t>
      </w:r>
    </w:p>
    <w:p>
      <w:pPr>
        <w:pStyle w:val="BodyText"/>
      </w:pPr>
      <w:r>
        <w:t xml:space="preserve">Наличие улыбки волатильности и перекоса волатильности свидетельствует о том, что предположения модели Блэка–Шоулза не полностью соответствуют реальной динамике финансовых рынков.</w:t>
      </w:r>
    </w:p>
    <w:bookmarkEnd w:id="31"/>
    <w:bookmarkStart w:id="32" w:name="временная-структура-волатильности"/>
    <w:p>
      <w:pPr>
        <w:pStyle w:val="Heading3"/>
      </w:pPr>
      <w:r>
        <w:t xml:space="preserve">Временная структура волатильности</w:t>
      </w:r>
    </w:p>
    <w:p>
      <w:pPr>
        <w:pStyle w:val="FirstParagraph"/>
      </w:pPr>
      <w:r>
        <w:t xml:space="preserve">Подразумеваемая волатильность зависит не только от страйка, но и от срока до экспирации опциона. Зависимость подразумеваемой волатильности от времени до погашения называется временной структурой волатильности.</w:t>
      </w:r>
    </w:p>
    <w:p>
      <w:pPr>
        <w:pStyle w:val="BodyText"/>
      </w:pPr>
      <w:r>
        <w:t xml:space="preserve">Структура волатильности может принимать различные формы в зависимости от состояния рынка и ожиданий участников. В периоды стрессовых состояний краткосрочная подразумеваемая волатильность часто существенно возрастает, отражая повышенную неопределённость на коротком горизонте.</w:t>
      </w:r>
    </w:p>
    <w:p>
      <w:pPr>
        <w:pStyle w:val="BodyText"/>
      </w:pPr>
      <w:r>
        <w:t xml:space="preserve">Анализ временной структуры волатильности играет важную роль при построении поверхностей волатильности и моделировании цен опционов.</w:t>
      </w:r>
    </w:p>
    <w:bookmarkEnd w:id="32"/>
    <w:bookmarkEnd w:id="33"/>
    <w:bookmarkStart w:id="37" w:name="модели-гарч"/>
    <w:p>
      <w:pPr>
        <w:pStyle w:val="Heading2"/>
      </w:pPr>
      <w:r>
        <w:t xml:space="preserve">Модели ГАРЧ</w:t>
      </w:r>
    </w:p>
    <w:p>
      <w:pPr>
        <w:pStyle w:val="FirstParagraph"/>
      </w:pPr>
      <w:r>
        <w:t xml:space="preserve">Одним из ключевых ограничений модели Блэка–Шоулза является предположение о постоянстве волатильности. Эмпирические данные показывают, что волатильность финансовых активов изменяется во времени и обладает свойством кластеризации волатильности: периоды высокой волатильности часто следуют за периодами высокой волатильности, а спокойные периоды — за спокойными.</w:t>
      </w:r>
    </w:p>
    <w:p>
      <w:pPr>
        <w:pStyle w:val="BodyText"/>
      </w:pPr>
      <w:r>
        <w:t xml:space="preserve">Для моделирования подобных эффектов используются модели условной гетероскедастичности, наиболее известной из которых является модель ГАРЧ.</w:t>
      </w:r>
    </w:p>
    <w:bookmarkStart w:id="34" w:name="кластеризация-волатильности"/>
    <w:p>
      <w:pPr>
        <w:pStyle w:val="Heading3"/>
      </w:pPr>
      <w:r>
        <w:t xml:space="preserve">Кластеризация волатильности</w:t>
      </w:r>
    </w:p>
    <w:p>
      <w:pPr>
        <w:pStyle w:val="FirstParagraph"/>
      </w:pPr>
      <w:r>
        <w:t xml:space="preserve">Одной из характерных особенностей финансовых временных рядов является наличие кластеризации волатильности. Несмотря на то, что сами доходности часто обладают слабой автокорреляцией, величины абсолютных или квадратов доходностей демонстрируют устойчивую зависимость во времени.</w:t>
      </w:r>
    </w:p>
    <w:p>
      <w:pPr>
        <w:pStyle w:val="BodyText"/>
      </w:pPr>
      <w:r>
        <w:t xml:space="preserve">Это означает, что большие ценовые движения имеют тенденцию группироваться во времени, формируя периоды повышенной рыночной турбулентности.</w:t>
      </w:r>
    </w:p>
    <w:bookmarkEnd w:id="34"/>
    <w:bookmarkStart w:id="35" w:name="модель-гарч11"/>
    <w:p>
      <w:pPr>
        <w:pStyle w:val="Heading3"/>
      </w:pPr>
      <w:r>
        <w:t xml:space="preserve">Модель ГАРЧ(1,1)</w:t>
      </w:r>
    </w:p>
    <w:p>
      <w:pPr>
        <w:pStyle w:val="FirstParagraph"/>
      </w:pPr>
      <w:r>
        <w:t xml:space="preserve">Модель ГАРЧ, то есть обобщённая авторегрессионная условная гетероскедастичность описывает условную дисперсию доходностей как функцию прошлых шоков и прошлых значений волатильности.</w:t>
      </w:r>
    </w:p>
    <w:p>
      <w:pPr>
        <w:pStyle w:val="BodyText"/>
      </w:pPr>
      <w:r>
        <w:t xml:space="preserve">Базовая модель ГАРЧ(1,1) имеет вид:</w:t>
      </w:r>
    </w:p>
    <w:p>
      <w:pPr>
        <w:pStyle w:val="BodyText"/>
      </w:pPr>
      <m:oMathPara>
        <m:oMathParaPr>
          <m:jc m:val="center"/>
        </m:oMathParaPr>
        <m:oMath>
          <m:sSub>
            <m:e>
              <m:r>
                <m:t>r</m:t>
              </m:r>
            </m:e>
            <m:sub>
              <m:r>
                <m:t>t</m:t>
              </m:r>
            </m:sub>
          </m:sSub>
          <m:r>
            <m:rPr>
              <m:sty m:val="p"/>
            </m:rPr>
            <m:t>=</m:t>
          </m:r>
          <m:r>
            <m:t>μ</m:t>
          </m:r>
          <m:r>
            <m:rPr>
              <m:sty m:val="p"/>
            </m:rPr>
            <m:t>+</m:t>
          </m:r>
          <m:sSub>
            <m:e>
              <m:r>
                <m:t>ε</m:t>
              </m:r>
            </m:e>
            <m:sub>
              <m:r>
                <m:t>t</m:t>
              </m:r>
            </m:sub>
          </m:sSub>
          <m:r>
            <m:rPr>
              <m:sty m:val="p"/>
            </m:rPr>
            <m:t>,</m:t>
          </m:r>
        </m:oMath>
      </m:oMathPara>
    </w:p>
    <w:p>
      <w:pPr>
        <w:pStyle w:val="FirstParagraph"/>
      </w:pPr>
      <m:oMathPara>
        <m:oMathParaPr>
          <m:jc m:val="center"/>
        </m:oMathParaPr>
        <m:oMath>
          <m:sSub>
            <m:e>
              <m:r>
                <m:t>ε</m:t>
              </m:r>
            </m:e>
            <m:sub>
              <m:r>
                <m:t>t</m:t>
              </m:r>
            </m:sub>
          </m:sSub>
          <m:r>
            <m:rPr>
              <m:sty m:val="p"/>
            </m:rPr>
            <m:t>=</m:t>
          </m:r>
          <m:sSub>
            <m:e>
              <m:r>
                <m:t>σ</m:t>
              </m:r>
            </m:e>
            <m:sub>
              <m:r>
                <m:t>t</m:t>
              </m:r>
            </m:sub>
          </m:sSub>
          <m:sSub>
            <m:e>
              <m:r>
                <m:t>z</m:t>
              </m:r>
            </m:e>
            <m:sub>
              <m:r>
                <m:t>t</m:t>
              </m:r>
            </m:sub>
          </m:sSub>
          <m:r>
            <m:rPr>
              <m:sty m:val="p"/>
            </m:rPr>
            <m:t>,</m:t>
          </m:r>
        </m:oMath>
      </m:oMathPara>
    </w:p>
    <w:p>
      <w:pPr>
        <w:pStyle w:val="FirstParagraph"/>
      </w:pPr>
      <m:oMathPara>
        <m:oMathParaPr>
          <m:jc m:val="center"/>
        </m:oMathParaPr>
        <m:oMath>
          <m:sSubSup>
            <m:e>
              <m:r>
                <m:t>σ</m:t>
              </m:r>
            </m:e>
            <m:sub>
              <m:r>
                <m:t>t</m:t>
              </m:r>
            </m:sub>
            <m:sup>
              <m:r>
                <m:t>2</m:t>
              </m:r>
            </m:sup>
          </m:sSubSup>
          <m:r>
            <m:rPr>
              <m:sty m:val="p"/>
            </m:rPr>
            <m:t>=</m:t>
          </m:r>
          <m:r>
            <m:t>ω</m:t>
          </m:r>
          <m:r>
            <m:rPr>
              <m:sty m:val="p"/>
            </m:rPr>
            <m:t>+</m:t>
          </m:r>
          <m:r>
            <m:t>α</m:t>
          </m:r>
          <m:sSubSup>
            <m:e>
              <m:r>
                <m:t>ε</m:t>
              </m:r>
            </m:e>
            <m:sub>
              <m:r>
                <m:t>t</m:t>
              </m:r>
              <m:r>
                <m:rPr>
                  <m:sty m:val="p"/>
                </m:rPr>
                <m:t>−</m:t>
              </m:r>
              <m:r>
                <m:t>1</m:t>
              </m:r>
            </m:sub>
            <m:sup>
              <m:r>
                <m:t>2</m:t>
              </m:r>
            </m:sup>
          </m:sSubSup>
          <m:r>
            <m:rPr>
              <m:sty m:val="p"/>
            </m:rPr>
            <m:t>+</m:t>
          </m:r>
          <m:r>
            <m:t>β</m:t>
          </m:r>
          <m:sSubSup>
            <m:e>
              <m:r>
                <m:t>σ</m:t>
              </m:r>
            </m:e>
            <m:sub>
              <m:r>
                <m:t>t</m:t>
              </m:r>
              <m:r>
                <m:rPr>
                  <m:sty m:val="p"/>
                </m:rPr>
                <m:t>−</m:t>
              </m:r>
              <m:r>
                <m:t>1</m:t>
              </m:r>
            </m:sub>
            <m:sup>
              <m:r>
                <m:t>2</m:t>
              </m:r>
            </m:sup>
          </m:sSubSup>
          <m:r>
            <m:rPr>
              <m:sty m:val="p"/>
            </m:rPr>
            <m:t>,</m:t>
          </m:r>
        </m:oMath>
      </m:oMathPara>
    </w:p>
    <w:p>
      <w:pPr>
        <w:pStyle w:val="FirstParagraph"/>
      </w:pPr>
      <w:r>
        <w:t xml:space="preserve">где:</w:t>
      </w:r>
    </w:p>
    <w:p>
      <w:pPr>
        <w:numPr>
          <w:ilvl w:val="0"/>
          <w:numId w:val="1015"/>
        </w:numPr>
      </w:pPr>
      <m:oMath>
        <m:sSubSup>
          <m:e>
            <m:r>
              <m:t>σ</m:t>
            </m:r>
          </m:e>
          <m:sub>
            <m:r>
              <m:t>t</m:t>
            </m:r>
          </m:sub>
          <m:sup>
            <m:r>
              <m:t>2</m:t>
            </m:r>
          </m:sup>
        </m:sSubSup>
      </m:oMath>
      <w:r>
        <w:t xml:space="preserve"> </w:t>
      </w:r>
      <w:r>
        <w:t xml:space="preserve">— условная дисперсия;</w:t>
      </w:r>
    </w:p>
    <w:p>
      <w:pPr>
        <w:numPr>
          <w:ilvl w:val="0"/>
          <w:numId w:val="1015"/>
        </w:numPr>
      </w:pPr>
      <m:oMath>
        <m:r>
          <m:t>ω</m:t>
        </m:r>
      </m:oMath>
      <w:r>
        <w:t xml:space="preserve"> </w:t>
      </w:r>
      <w:r>
        <w:t xml:space="preserve">— долгосрочный уровень волатильности;</w:t>
      </w:r>
    </w:p>
    <w:p>
      <w:pPr>
        <w:numPr>
          <w:ilvl w:val="0"/>
          <w:numId w:val="1015"/>
        </w:numPr>
      </w:pPr>
      <m:oMath>
        <m:r>
          <m:t>α</m:t>
        </m:r>
      </m:oMath>
      <w:r>
        <w:t xml:space="preserve"> </w:t>
      </w:r>
      <w:r>
        <w:t xml:space="preserve">— чувствительность к новым рыночным шокам;</w:t>
      </w:r>
    </w:p>
    <w:p>
      <w:pPr>
        <w:numPr>
          <w:ilvl w:val="0"/>
          <w:numId w:val="1015"/>
        </w:numPr>
      </w:pPr>
      <m:oMath>
        <m:r>
          <m:t>β</m:t>
        </m:r>
      </m:oMath>
      <w:r>
        <w:t xml:space="preserve"> </w:t>
      </w:r>
      <w:r>
        <w:t xml:space="preserve">— влияние прошлой волатильности;</w:t>
      </w:r>
    </w:p>
    <w:p>
      <w:pPr>
        <w:numPr>
          <w:ilvl w:val="0"/>
          <w:numId w:val="1015"/>
        </w:numPr>
      </w:pPr>
      <m:oMath>
        <m:sSub>
          <m:e>
            <m:r>
              <m:t>z</m:t>
            </m:r>
          </m:e>
          <m:sub>
            <m:r>
              <m:t>t</m:t>
            </m:r>
          </m:sub>
        </m:sSub>
      </m:oMath>
      <w:r>
        <w:t xml:space="preserve"> </w:t>
      </w:r>
      <w:r>
        <w:t xml:space="preserve">— случайная величина со стандартным нормальным распределением.</w:t>
      </w:r>
    </w:p>
    <w:p>
      <w:pPr>
        <w:pStyle w:val="FirstParagraph"/>
      </w:pPr>
      <w:r>
        <w:t xml:space="preserve">Модель ГАРЧ позволяет учитывать изменчивость волатильности во времени и широко применяется в задачах управления рисками, прогнозирования волатильности и количественных финансов.</w:t>
      </w:r>
    </w:p>
    <w:bookmarkEnd w:id="35"/>
    <w:bookmarkStart w:id="36" w:name="X8b82ef4989f63a57665052464af8ca3b2a2de9f"/>
    <w:p>
      <w:pPr>
        <w:pStyle w:val="Heading3"/>
      </w:pPr>
      <w:r>
        <w:t xml:space="preserve">Использование модели ГАРЧ в задачах ценообразования опционов</w:t>
      </w:r>
    </w:p>
    <w:p>
      <w:pPr>
        <w:pStyle w:val="FirstParagraph"/>
      </w:pPr>
      <w:r>
        <w:t xml:space="preserve">Модель ГАРЧ не используется напрямую для расчёта цены опциона. Вместо этого она применяется для прогнозирования будущей волатильности базового актива.</w:t>
      </w:r>
    </w:p>
    <w:p>
      <w:pPr>
        <w:pStyle w:val="BodyText"/>
      </w:pPr>
      <w:r>
        <w:t xml:space="preserve">Полученный прогноз волатильности может быть использован как входной параметр в модели ценообразования опционов, например в Блэка–Шоулза или Блэка 1976 года.</w:t>
      </w:r>
    </w:p>
    <w:p>
      <w:pPr>
        <w:pStyle w:val="BodyText"/>
      </w:pPr>
      <w:r>
        <w:t xml:space="preserve">В рамках данного исследования ГАРЧ-модель используется для построения прогноза волатильности, который затем подставляется в модель Блэка 1976 года при расчёте модельных цен опционов. Это позволяет сравнить качество различных подходов к оценке волатильности и исследовать их влияние на точность аппроксимации рыночных цен.</w:t>
      </w:r>
    </w:p>
    <w:bookmarkEnd w:id="36"/>
    <w:bookmarkEnd w:id="37"/>
    <w:bookmarkEnd w:id="38"/>
    <w:bookmarkStart w:id="48" w:name="методология-исследования"/>
    <w:p>
      <w:pPr>
        <w:pStyle w:val="Heading1"/>
      </w:pPr>
      <w:r>
        <w:t xml:space="preserve">Методология исследования</w:t>
      </w:r>
    </w:p>
    <w:bookmarkStart w:id="39" w:name="постановка-исследовательской-задачи"/>
    <w:p>
      <w:pPr>
        <w:pStyle w:val="Heading2"/>
      </w:pPr>
      <w:r>
        <w:t xml:space="preserve">Постановка исследовательской задачи</w:t>
      </w:r>
    </w:p>
    <w:p>
      <w:pPr>
        <w:pStyle w:val="FirstParagraph"/>
      </w:pPr>
      <w:r>
        <w:t xml:space="preserve">Эмпирическая часть работы направлена на проверку того, насколько модели ценообразования способны воспроизводить наблюдаемые расчётные цены фьючерсных опционов в разных состояниях рынка. Рыночная цена рассматривается как наблюдаемое значение, сформированное участниками торгов, а модельная цена — как теоретическая оценка, полученная при заданных предпосылках о динамике базового фьючерса, процентной ставке, волатильности и праве раннего исполнения.</w:t>
      </w:r>
    </w:p>
    <w:p>
      <w:pPr>
        <w:pStyle w:val="BodyText"/>
      </w:pPr>
      <w:r>
        <w:t xml:space="preserve">Ключевое методологическое уточнение состоит в том, что рассматриваемые контракты являются опционами на фьючерсы и допускают американский стиль исполнения. Поэтому основное сравнение проводится между американскими биномиальными моделями Кокса–Росса–Рубинштейна с разными способами задания волатильности. Европейская модель Блэка 1976 года используется отдельно как эталонная нижняя оценка без раннего исполнения, а не как полноценная конкурирующая модель для основного ранжирования.</w:t>
      </w:r>
    </w:p>
    <w:bookmarkEnd w:id="39"/>
    <w:bookmarkStart w:id="40" w:name="подготовка-данных-и-рабочей-выборки"/>
    <w:p>
      <w:pPr>
        <w:pStyle w:val="Heading2"/>
      </w:pPr>
      <w:r>
        <w:t xml:space="preserve">Подготовка данных и рабочей выборки</w:t>
      </w:r>
    </w:p>
    <w:p>
      <w:pPr>
        <w:pStyle w:val="FirstParagraph"/>
      </w:pPr>
      <w:r>
        <w:t xml:space="preserve">В качестве исходной базы используется очищенный набор дневных наблюдений по опционам серии ММ и соответствующим фьючерсам МХИ за период с 3 января 2024 года по 19 мая 2026 года. В датасете содержится 19 574 строки, 92 уникальных опционных инструмента и 5 базовых фьючерсных контрактов. Даты экспирации находятся в диапазоне с 16 апреля 2026 года по 17 июня 2027 года.</w:t>
      </w:r>
    </w:p>
    <w:p>
      <w:pPr>
        <w:pStyle w:val="BodyText"/>
      </w:pPr>
      <w:r>
        <w:t xml:space="preserve">Рыночная цена опциона задаётся расчётной ценой биржи. В качестве цены базового актива используется расчётная цена соответствующего фьючерса, а не значение фондового индекса. Это важно, поскольку для фьючерсных опционов модель должна строиться относительно фьючерсной цены. Для каждого наблюдения рассчитываются срок до экспирации в календарных днях, время до экспирации в годах, денежность как отношение цены фьючерса к страйку и логарифмическая денежность.</w:t>
      </w:r>
    </w:p>
    <w:p>
      <w:pPr>
        <w:pStyle w:val="BodyText"/>
      </w:pPr>
      <w:r>
        <w:t xml:space="preserve">В рабочую выборку включаются только наблюдения с корректными датами, положительной рыночной ценой, положительной ценой фьючерса, положительным страйком, положительным сроком до экспирации, распознанным типом опциона и непустым идентификатором базового фьючерса. После фильтрации остаётся 19 565 наблюдений, то есть 99,954% исходной базы. Общая сопоставимая выборка для сравнения трёх американских моделей содержит 18 058 наблюдений: именно для них одновременно доступны все три оценки волатильности.</w:t>
      </w:r>
    </w:p>
    <w:bookmarkEnd w:id="40"/>
    <w:bookmarkStart w:id="41" w:name="оценка-волатильности"/>
    <w:p>
      <w:pPr>
        <w:pStyle w:val="Heading2"/>
      </w:pPr>
      <w:r>
        <w:t xml:space="preserve">Оценка волатильности</w:t>
      </w:r>
    </w:p>
    <w:p>
      <w:pPr>
        <w:pStyle w:val="FirstParagraph"/>
      </w:pPr>
      <w:r>
        <w:t xml:space="preserve">Для каждого базового фьючерса строится временной ряд дневных логарифмических доходностей:</w:t>
      </w:r>
    </w:p>
    <w:p>
      <w:pPr>
        <w:pStyle w:val="BodyText"/>
      </w:pPr>
      <m:oMathPara>
        <m:oMathParaPr>
          <m:jc m:val="center"/>
        </m:oMathParaPr>
        <m:oMath>
          <m:sSub>
            <m:e>
              <m:r>
                <m:t>r</m:t>
              </m:r>
            </m:e>
            <m:sub>
              <m:r>
                <m:t>t</m:t>
              </m:r>
            </m:sub>
          </m:sSub>
          <m:r>
            <m:rPr>
              <m:sty m:val="p"/>
            </m:rPr>
            <m:t>=</m:t>
          </m:r>
          <m:r>
            <m:rPr>
              <m:sty m:val="p"/>
            </m:rPr>
            <m:t>ln</m:t>
          </m:r>
          <m:d>
            <m:dPr>
              <m:begChr m:val="("/>
              <m:sepChr m:val=""/>
              <m:endChr m:val=")"/>
              <m:grow/>
            </m:dPr>
            <m:e>
              <m:f>
                <m:fPr>
                  <m:type m:val="bar"/>
                </m:fPr>
                <m:num>
                  <m:sSub>
                    <m:e>
                      <m:r>
                        <m:t>F</m:t>
                      </m:r>
                    </m:e>
                    <m:sub>
                      <m:r>
                        <m:t>t</m:t>
                      </m:r>
                    </m:sub>
                  </m:sSub>
                </m:num>
                <m:den>
                  <m:sSub>
                    <m:e>
                      <m:r>
                        <m:t>F</m:t>
                      </m:r>
                    </m:e>
                    <m:sub>
                      <m:r>
                        <m:t>t</m:t>
                      </m:r>
                      <m:r>
                        <m:rPr>
                          <m:sty m:val="p"/>
                        </m:rPr>
                        <m:t>−</m:t>
                      </m:r>
                      <m:r>
                        <m:t>1</m:t>
                      </m:r>
                    </m:sub>
                  </m:sSub>
                </m:den>
              </m:f>
            </m:e>
          </m:d>
          <m:r>
            <m:rPr>
              <m:sty m:val="p"/>
            </m:rPr>
            <m:t>,</m:t>
          </m:r>
        </m:oMath>
      </m:oMathPara>
    </w:p>
    <w:p>
      <w:pPr>
        <w:pStyle w:val="FirstParagraph"/>
      </w:pPr>
      <w:r>
        <w:t xml:space="preserve">где</w:t>
      </w:r>
      <w:r>
        <w:t xml:space="preserve"> </w:t>
      </w:r>
      <m:oMath>
        <m:sSub>
          <m:e>
            <m:r>
              <m:t>F</m:t>
            </m:r>
          </m:e>
          <m:sub>
            <m:r>
              <m:t>t</m:t>
            </m:r>
          </m:sub>
        </m:sSub>
      </m:oMath>
      <w:r>
        <w:t xml:space="preserve"> </w:t>
      </w:r>
      <w:r>
        <w:t xml:space="preserve">— расчётная цена фьючерса в день</w:t>
      </w:r>
      <w:r>
        <w:t xml:space="preserve"> </w:t>
      </w:r>
      <m:oMath>
        <m:r>
          <m:t>t</m:t>
        </m:r>
      </m:oMath>
      <w:r>
        <w:t xml:space="preserve">. На этой основе рассчитываются три входных показателя волатильности.</w:t>
      </w:r>
    </w:p>
    <w:p>
      <w:pPr>
        <w:pStyle w:val="BodyText"/>
      </w:pPr>
      <w:r>
        <w:t xml:space="preserve">Первый показатель — историческая волатильность за 21 торговый день. Она рассчитывается как скользящее стандартное отклонение дневных доходностей с приведением к годовому масштабу:</w:t>
      </w:r>
    </w:p>
    <w:p>
      <w:pPr>
        <w:pStyle w:val="BodyText"/>
      </w:pPr>
      <m:oMathPara>
        <m:oMathParaPr>
          <m:jc m:val="center"/>
        </m:oMathParaPr>
        <m:oMath>
          <m:sSub>
            <m:e>
              <m:r>
                <m:t>σ</m:t>
              </m:r>
            </m:e>
            <m:sub>
              <m:r>
                <m:t>21</m:t>
              </m:r>
              <m:r>
                <m:rPr>
                  <m:sty m:val="p"/>
                </m:rPr>
                <m:t>,</m:t>
              </m:r>
              <m:r>
                <m:t>t</m:t>
              </m:r>
            </m:sub>
          </m:sSub>
          <m:r>
            <m:rPr>
              <m:sty m:val="p"/>
            </m:rPr>
            <m:t>=</m:t>
          </m:r>
          <m:rad>
            <m:radPr>
              <m:degHide m:val="on"/>
            </m:radPr>
            <m:deg/>
            <m:e>
              <m:r>
                <m:t>252</m:t>
              </m:r>
            </m:e>
          </m:rad>
          <m:r>
            <m:t> </m:t>
          </m:r>
          <m:r>
            <m:rPr>
              <m:sty m:val="p"/>
            </m:rPr>
            <m:t>sd</m:t>
          </m:r>
          <m:r>
            <m:rPr>
              <m:sty m:val="p"/>
            </m:rPr>
            <m:t>(</m:t>
          </m:r>
          <m:sSub>
            <m:e>
              <m:r>
                <m:t>r</m:t>
              </m:r>
            </m:e>
            <m:sub>
              <m:r>
                <m:t>t</m:t>
              </m:r>
              <m:r>
                <m:rPr>
                  <m:sty m:val="p"/>
                </m:rPr>
                <m:t>−</m:t>
              </m:r>
              <m:r>
                <m:t>20</m:t>
              </m:r>
            </m:sub>
          </m:sSub>
          <m:r>
            <m:rPr>
              <m:sty m:val="p"/>
            </m:rPr>
            <m:t>,</m:t>
          </m:r>
          <m:r>
            <m:rPr>
              <m:sty m:val="p"/>
            </m:rPr>
            <m:t>…</m:t>
          </m:r>
          <m:r>
            <m:rPr>
              <m:sty m:val="p"/>
            </m:rPr>
            <m:t>,</m:t>
          </m:r>
          <m:sSub>
            <m:e>
              <m:r>
                <m:t>r</m:t>
              </m:r>
            </m:e>
            <m:sub>
              <m:r>
                <m:t>t</m:t>
              </m:r>
            </m:sub>
          </m:sSub>
          <m:r>
            <m:rPr>
              <m:sty m:val="p"/>
            </m:rPr>
            <m:t>)</m:t>
          </m:r>
          <m:r>
            <m:rPr>
              <m:sty m:val="p"/>
            </m:rPr>
            <m:t>.</m:t>
          </m:r>
        </m:oMath>
      </m:oMathPara>
    </w:p>
    <w:p>
      <w:pPr>
        <w:pStyle w:val="FirstParagraph"/>
      </w:pPr>
      <w:r>
        <w:t xml:space="preserve">Экономически эта оценка отражает краткосрочную динамику рынка и быстрее реагирует на недавние изменения цен. Её слабая сторона состоит в повышенной шумности, особенно для длинных опционов.</w:t>
      </w:r>
    </w:p>
    <w:p>
      <w:pPr>
        <w:pStyle w:val="BodyText"/>
      </w:pPr>
      <w:r>
        <w:t xml:space="preserve">Второй показатель — историческая волатильность за 63 торговых дня:</w:t>
      </w:r>
    </w:p>
    <w:p>
      <w:pPr>
        <w:pStyle w:val="BodyText"/>
      </w:pPr>
      <m:oMathPara>
        <m:oMathParaPr>
          <m:jc m:val="center"/>
        </m:oMathParaPr>
        <m:oMath>
          <m:sSub>
            <m:e>
              <m:r>
                <m:t>σ</m:t>
              </m:r>
            </m:e>
            <m:sub>
              <m:r>
                <m:t>63</m:t>
              </m:r>
              <m:r>
                <m:rPr>
                  <m:sty m:val="p"/>
                </m:rPr>
                <m:t>,</m:t>
              </m:r>
              <m:r>
                <m:t>t</m:t>
              </m:r>
            </m:sub>
          </m:sSub>
          <m:r>
            <m:rPr>
              <m:sty m:val="p"/>
            </m:rPr>
            <m:t>=</m:t>
          </m:r>
          <m:rad>
            <m:radPr>
              <m:degHide m:val="on"/>
            </m:radPr>
            <m:deg/>
            <m:e>
              <m:r>
                <m:t>252</m:t>
              </m:r>
            </m:e>
          </m:rad>
          <m:r>
            <m:t> </m:t>
          </m:r>
          <m:r>
            <m:rPr>
              <m:sty m:val="p"/>
            </m:rPr>
            <m:t>sd</m:t>
          </m:r>
          <m:r>
            <m:rPr>
              <m:sty m:val="p"/>
            </m:rPr>
            <m:t>(</m:t>
          </m:r>
          <m:sSub>
            <m:e>
              <m:r>
                <m:t>r</m:t>
              </m:r>
            </m:e>
            <m:sub>
              <m:r>
                <m:t>t</m:t>
              </m:r>
              <m:r>
                <m:rPr>
                  <m:sty m:val="p"/>
                </m:rPr>
                <m:t>−</m:t>
              </m:r>
              <m:r>
                <m:t>62</m:t>
              </m:r>
            </m:sub>
          </m:sSub>
          <m:r>
            <m:rPr>
              <m:sty m:val="p"/>
            </m:rPr>
            <m:t>,</m:t>
          </m:r>
          <m:r>
            <m:rPr>
              <m:sty m:val="p"/>
            </m:rPr>
            <m:t>…</m:t>
          </m:r>
          <m:r>
            <m:rPr>
              <m:sty m:val="p"/>
            </m:rPr>
            <m:t>,</m:t>
          </m:r>
          <m:sSub>
            <m:e>
              <m:r>
                <m:t>r</m:t>
              </m:r>
            </m:e>
            <m:sub>
              <m:r>
                <m:t>t</m:t>
              </m:r>
            </m:sub>
          </m:sSub>
          <m:r>
            <m:rPr>
              <m:sty m:val="p"/>
            </m:rPr>
            <m:t>)</m:t>
          </m:r>
          <m:r>
            <m:rPr>
              <m:sty m:val="p"/>
            </m:rPr>
            <m:t>.</m:t>
          </m:r>
        </m:oMath>
      </m:oMathPara>
    </w:p>
    <w:p>
      <w:pPr>
        <w:pStyle w:val="FirstParagraph"/>
      </w:pPr>
      <w:r>
        <w:t xml:space="preserve">Эта оценка соответствует более длинному горизонту и является более устойчивой. Она менее чувствительна к краткосрочным выбросам, что особенно важно для выборки, где преобладают опционы с большим сроком до экспирации.</w:t>
      </w:r>
    </w:p>
    <w:p>
      <w:pPr>
        <w:pStyle w:val="BodyText"/>
      </w:pPr>
      <w:r>
        <w:t xml:space="preserve">Третий показатель — прогнозная условная волатильность по модели ГАРЧ(1,1). Для каждого базового фьючерса оценивается модель с нулевым условным средним и нормальным распределением стандартизованных шоков:</w:t>
      </w:r>
    </w:p>
    <w:p>
      <w:pPr>
        <w:pStyle w:val="BodyText"/>
      </w:pPr>
      <m:oMathPara>
        <m:oMathParaPr>
          <m:jc m:val="center"/>
        </m:oMathParaPr>
        <m:oMath>
          <m:sSub>
            <m:e>
              <m:r>
                <m:t>r</m:t>
              </m:r>
            </m:e>
            <m:sub>
              <m:r>
                <m:t>t</m:t>
              </m:r>
            </m:sub>
          </m:sSub>
          <m:r>
            <m:rPr>
              <m:sty m:val="p"/>
            </m:rPr>
            <m:t>=</m:t>
          </m:r>
          <m:sSub>
            <m:e>
              <m:r>
                <m:t>ε</m:t>
              </m:r>
            </m:e>
            <m:sub>
              <m:r>
                <m:t>t</m:t>
              </m:r>
            </m:sub>
          </m:sSub>
          <m:r>
            <m:rPr>
              <m:sty m:val="p"/>
            </m:rPr>
            <m:t>,</m:t>
          </m:r>
          <m:r>
            <m:t>  </m:t>
          </m:r>
          <m:sSub>
            <m:e>
              <m:r>
                <m:t>ε</m:t>
              </m:r>
            </m:e>
            <m:sub>
              <m:r>
                <m:t>t</m:t>
              </m:r>
            </m:sub>
          </m:sSub>
          <m:r>
            <m:rPr>
              <m:sty m:val="p"/>
            </m:rPr>
            <m:t>=</m:t>
          </m:r>
          <m:sSub>
            <m:e>
              <m:r>
                <m:t>σ</m:t>
              </m:r>
            </m:e>
            <m:sub>
              <m:r>
                <m:t>t</m:t>
              </m:r>
            </m:sub>
          </m:sSub>
          <m:sSub>
            <m:e>
              <m:r>
                <m:t>z</m:t>
              </m:r>
            </m:e>
            <m:sub>
              <m:r>
                <m:t>t</m:t>
              </m:r>
            </m:sub>
          </m:sSub>
          <m:r>
            <m:rPr>
              <m:sty m:val="p"/>
            </m:rPr>
            <m:t>,</m:t>
          </m:r>
        </m:oMath>
      </m:oMathPara>
    </w:p>
    <w:p>
      <w:pPr>
        <w:pStyle w:val="FirstParagraph"/>
      </w:pPr>
      <m:oMathPara>
        <m:oMathParaPr>
          <m:jc m:val="center"/>
        </m:oMathParaPr>
        <m:oMath>
          <m:sSubSup>
            <m:e>
              <m:r>
                <m:t>σ</m:t>
              </m:r>
            </m:e>
            <m:sub>
              <m:r>
                <m:t>t</m:t>
              </m:r>
            </m:sub>
            <m:sup>
              <m:r>
                <m:t>2</m:t>
              </m:r>
            </m:sup>
          </m:sSubSup>
          <m:r>
            <m:rPr>
              <m:sty m:val="p"/>
            </m:rPr>
            <m:t>=</m:t>
          </m:r>
          <m:r>
            <m:t>ω</m:t>
          </m:r>
          <m:r>
            <m:rPr>
              <m:sty m:val="p"/>
            </m:rPr>
            <m:t>+</m:t>
          </m:r>
          <m:r>
            <m:t>α</m:t>
          </m:r>
          <m:sSubSup>
            <m:e>
              <m:r>
                <m:t>ε</m:t>
              </m:r>
            </m:e>
            <m:sub>
              <m:r>
                <m:t>t</m:t>
              </m:r>
              <m:r>
                <m:rPr>
                  <m:sty m:val="p"/>
                </m:rPr>
                <m:t>−</m:t>
              </m:r>
              <m:r>
                <m:t>1</m:t>
              </m:r>
            </m:sub>
            <m:sup>
              <m:r>
                <m:t>2</m:t>
              </m:r>
            </m:sup>
          </m:sSubSup>
          <m:r>
            <m:rPr>
              <m:sty m:val="p"/>
            </m:rPr>
            <m:t>+</m:t>
          </m:r>
          <m:r>
            <m:t>β</m:t>
          </m:r>
          <m:sSubSup>
            <m:e>
              <m:r>
                <m:t>σ</m:t>
              </m:r>
            </m:e>
            <m:sub>
              <m:r>
                <m:t>t</m:t>
              </m:r>
              <m:r>
                <m:rPr>
                  <m:sty m:val="p"/>
                </m:rPr>
                <m:t>−</m:t>
              </m:r>
              <m:r>
                <m:t>1</m:t>
              </m:r>
            </m:sub>
            <m:sup>
              <m:r>
                <m:t>2</m:t>
              </m:r>
            </m:sup>
          </m:sSubSup>
          <m:r>
            <m:rPr>
              <m:sty m:val="p"/>
            </m:rPr>
            <m:t>.</m:t>
          </m:r>
        </m:oMath>
      </m:oMathPara>
    </w:p>
    <w:p>
      <w:pPr>
        <w:pStyle w:val="FirstParagraph"/>
      </w:pPr>
      <w:r>
        <w:t xml:space="preserve">Модель оценивается на расширяющемся окне после накопления не менее 63 наблюдений. Параметры переоцениваются через 21 торговый день, а между переоценками условная дисперсия обновляется рекурсивно с использованием новых доходностей. Полученный однодневный прогноз дисперсии переводится в годовую волатильность умножением на</w:t>
      </w:r>
      <w:r>
        <w:t xml:space="preserve"> </w:t>
      </w:r>
      <m:oMath>
        <m:rad>
          <m:radPr>
            <m:degHide m:val="on"/>
          </m:radPr>
          <m:deg/>
          <m:e>
            <m:r>
              <m:t>252</m:t>
            </m:r>
          </m:e>
        </m:rad>
      </m:oMath>
      <w:r>
        <w:t xml:space="preserve">.</w:t>
      </w:r>
    </w:p>
    <w:bookmarkEnd w:id="41"/>
    <w:bookmarkStart w:id="42" w:name="рыночные-режимы-и-группировка-наблюдений"/>
    <w:p>
      <w:pPr>
        <w:pStyle w:val="Heading2"/>
      </w:pPr>
      <w:r>
        <w:t xml:space="preserve">Рыночные режимы и группировка наблюдений</w:t>
      </w:r>
    </w:p>
    <w:p>
      <w:pPr>
        <w:pStyle w:val="FirstParagraph"/>
      </w:pPr>
      <w:r>
        <w:t xml:space="preserve">Режимы волатильности строятся по распределению 21-дневной исторической волатильности базовых фьючерсов. Наблюдения делятся на три группы: низкая, средняя и высокая волатильность. Границы задаются первым и вторым терцилями распределения. Дополнительно рассчитывается 21-дневная доходность базового фьючерса; по её знаку формируется направление рынка. Этот признак используется как вспомогательная характеристика режима.</w:t>
      </w:r>
    </w:p>
    <w:p>
      <w:pPr>
        <w:pStyle w:val="BodyText"/>
      </w:pPr>
      <w:r>
        <w:t xml:space="preserve">Для анализа структуры ошибок также используются группы по сроку до экспирации и денежности. По сроку выделяются интервалы 0–7 дней, 8–30 дней, 31–90 дней и более 91 дня. По денежности выделяются глубоко вне денег, вне денег, около денег, в деньгах и глубоко в деньгах. Такая группировка позволяет проверить, связаны ли ошибки не только с общим режимом рынка, но и с положением контракта на опционной поверхности.</w:t>
      </w:r>
    </w:p>
    <w:bookmarkEnd w:id="42"/>
    <w:bookmarkStart w:id="45" w:name="модели-ценообразования"/>
    <w:p>
      <w:pPr>
        <w:pStyle w:val="Heading2"/>
      </w:pPr>
      <w:r>
        <w:t xml:space="preserve">Модели ценообразования</w:t>
      </w:r>
    </w:p>
    <w:bookmarkStart w:id="43" w:name="Xa984a98b9e287cc9b161df3afb46efe32612d34"/>
    <w:p>
      <w:pPr>
        <w:pStyle w:val="Heading3"/>
      </w:pPr>
      <w:r>
        <w:t xml:space="preserve">Американская биномиальная модель Кокса–Росса–Рубинштейна</w:t>
      </w:r>
    </w:p>
    <w:p>
      <w:pPr>
        <w:pStyle w:val="FirstParagraph"/>
      </w:pPr>
      <w:r>
        <w:t xml:space="preserve">Основной моделью ценообразования является биномиальная модель Кокса–Росса–Рубинштейна для американского опциона на фьючерс. Фьючерсная цена в каждом узле дерева может измениться вверх или вниз:</w:t>
      </w:r>
    </w:p>
    <w:p>
      <w:pPr>
        <w:pStyle w:val="BodyText"/>
      </w:pPr>
      <m:oMathPara>
        <m:oMathParaPr>
          <m:jc m:val="center"/>
        </m:oMathParaPr>
        <m:oMath>
          <m:r>
            <m:t>u</m:t>
          </m:r>
          <m:r>
            <m:rPr>
              <m:sty m:val="p"/>
            </m:rPr>
            <m:t>=</m:t>
          </m:r>
          <m:r>
            <m:rPr>
              <m:sty m:val="p"/>
            </m:rPr>
            <m:t>exp</m:t>
          </m:r>
          <m:r>
            <m:rPr>
              <m:sty m:val="p"/>
            </m:rPr>
            <m:t>(</m:t>
          </m:r>
          <m:r>
            <m:t>σ</m:t>
          </m:r>
          <m:rad>
            <m:radPr>
              <m:degHide m:val="on"/>
            </m:radPr>
            <m:deg/>
            <m:e>
              <m:r>
                <m:rPr>
                  <m:sty m:val="p"/>
                </m:rPr>
                <m:t>Δ</m:t>
              </m:r>
              <m:r>
                <m:t>t</m:t>
              </m:r>
            </m:e>
          </m:rad>
          <m:r>
            <m:rPr>
              <m:sty m:val="p"/>
            </m:rPr>
            <m:t>)</m:t>
          </m:r>
          <m:r>
            <m:rPr>
              <m:sty m:val="p"/>
            </m:rPr>
            <m:t>,</m:t>
          </m:r>
          <m:r>
            <m:t>  </m:t>
          </m:r>
          <m:r>
            <m:t>d</m:t>
          </m:r>
          <m:r>
            <m:rPr>
              <m:sty m:val="p"/>
            </m:rPr>
            <m:t>=</m:t>
          </m:r>
          <m:f>
            <m:fPr>
              <m:type m:val="bar"/>
            </m:fPr>
            <m:num>
              <m:r>
                <m:t>1</m:t>
              </m:r>
            </m:num>
            <m:den>
              <m:r>
                <m:t>u</m:t>
              </m:r>
            </m:den>
          </m:f>
          <m:r>
            <m:rPr>
              <m:sty m:val="p"/>
            </m:rPr>
            <m:t>.</m:t>
          </m:r>
        </m:oMath>
      </m:oMathPara>
    </w:p>
    <w:p>
      <w:pPr>
        <w:pStyle w:val="FirstParagraph"/>
      </w:pPr>
      <w:r>
        <w:t xml:space="preserve">Так как базовым активом является фьючерс, риск-нейтральная вероятность выбирается из условия мартингальности фьючерсной цены:</w:t>
      </w:r>
    </w:p>
    <w:p>
      <w:pPr>
        <w:pStyle w:val="BodyText"/>
      </w:pPr>
      <m:oMathPara>
        <m:oMathParaPr>
          <m:jc m:val="center"/>
        </m:oMathParaPr>
        <m:oMath>
          <m:r>
            <m:t>q</m:t>
          </m:r>
          <m:r>
            <m:rPr>
              <m:sty m:val="p"/>
            </m:rPr>
            <m:t>=</m:t>
          </m:r>
          <m:f>
            <m:fPr>
              <m:type m:val="bar"/>
            </m:fPr>
            <m:num>
              <m:r>
                <m:t>1</m:t>
              </m:r>
              <m:r>
                <m:rPr>
                  <m:sty m:val="p"/>
                </m:rPr>
                <m:t>−</m:t>
              </m:r>
              <m:r>
                <m:t>d</m:t>
              </m:r>
            </m:num>
            <m:den>
              <m:r>
                <m:t>u</m:t>
              </m:r>
              <m:r>
                <m:rPr>
                  <m:sty m:val="p"/>
                </m:rPr>
                <m:t>−</m:t>
              </m:r>
              <m:r>
                <m:t>d</m:t>
              </m:r>
            </m:den>
          </m:f>
          <m:r>
            <m:rPr>
              <m:sty m:val="p"/>
            </m:rPr>
            <m:t>.</m:t>
          </m:r>
        </m:oMath>
      </m:oMathPara>
    </w:p>
    <w:p>
      <w:pPr>
        <w:pStyle w:val="FirstParagraph"/>
      </w:pPr>
      <w:r>
        <w:t xml:space="preserve">На последнем шаге дерева стоимость опциона равна внутренней стоимости. Далее применяется обратная индукция. В каждом узле сравниваются стоимость продолжения и стоимость немедленного исполнения:</w:t>
      </w:r>
    </w:p>
    <w:p>
      <w:pPr>
        <w:pStyle w:val="BodyText"/>
      </w:pPr>
      <m:oMathPara>
        <m:oMathParaPr>
          <m:jc m:val="center"/>
        </m:oMathParaPr>
        <m:oMath>
          <m:r>
            <m:t>V</m:t>
          </m:r>
          <m:r>
            <m:rPr>
              <m:sty m:val="p"/>
            </m:rPr>
            <m:t>=</m:t>
          </m:r>
          <m:r>
            <m:rPr>
              <m:sty m:val="p"/>
            </m:rPr>
            <m:t>max</m:t>
          </m:r>
          <m:d>
            <m:dPr>
              <m:begChr m:val="("/>
              <m:sepChr m:val=""/>
              <m:endChr m:val=")"/>
              <m:grow/>
            </m:dPr>
            <m:e>
              <m:sSup>
                <m:e>
                  <m:r>
                    <m:t>e</m:t>
                  </m:r>
                </m:e>
                <m:sup>
                  <m:r>
                    <m:rPr>
                      <m:sty m:val="p"/>
                    </m:rPr>
                    <m:t>−</m:t>
                  </m:r>
                  <m:r>
                    <m:t>r</m:t>
                  </m:r>
                  <m:r>
                    <m:rPr>
                      <m:sty m:val="p"/>
                    </m:rPr>
                    <m:t>Δ</m:t>
                  </m:r>
                  <m:r>
                    <m:t>t</m:t>
                  </m:r>
                </m:sup>
              </m:sSup>
              <m:d>
                <m:dPr>
                  <m:begChr m:val="("/>
                  <m:sepChr m:val=""/>
                  <m:endChr m:val=")"/>
                  <m:grow/>
                </m:dPr>
                <m:e>
                  <m:r>
                    <m:t>q</m:t>
                  </m:r>
                  <m:sSup>
                    <m:e>
                      <m:r>
                        <m:t>V</m:t>
                      </m:r>
                    </m:e>
                    <m:sup>
                      <m:r>
                        <m:rPr>
                          <m:sty m:val="p"/>
                        </m:rPr>
                        <m:t>↑</m:t>
                      </m:r>
                    </m:sup>
                  </m:sSup>
                  <m:r>
                    <m:rPr>
                      <m:sty m:val="p"/>
                    </m:rPr>
                    <m:t>+</m:t>
                  </m:r>
                  <m:r>
                    <m:rPr>
                      <m:sty m:val="p"/>
                    </m:rPr>
                    <m:t>(</m:t>
                  </m:r>
                  <m:r>
                    <m:t>1</m:t>
                  </m:r>
                  <m:r>
                    <m:rPr>
                      <m:sty m:val="p"/>
                    </m:rPr>
                    <m:t>−</m:t>
                  </m:r>
                  <m:r>
                    <m:t>q</m:t>
                  </m:r>
                  <m:r>
                    <m:rPr>
                      <m:sty m:val="p"/>
                    </m:rPr>
                    <m:t>)</m:t>
                  </m:r>
                  <m:sSup>
                    <m:e>
                      <m:r>
                        <m:t>V</m:t>
                      </m:r>
                    </m:e>
                    <m:sup>
                      <m:r>
                        <m:rPr>
                          <m:sty m:val="p"/>
                        </m:rPr>
                        <m:t>↓</m:t>
                      </m:r>
                    </m:sup>
                  </m:sSup>
                </m:e>
              </m:d>
              <m:r>
                <m:rPr>
                  <m:sty m:val="p"/>
                </m:rPr>
                <m:t>,</m:t>
              </m:r>
              <m:r>
                <m:t> </m:t>
              </m:r>
              <m:r>
                <m:t>H</m:t>
              </m:r>
              <m:r>
                <m:rPr>
                  <m:sty m:val="p"/>
                </m:rPr>
                <m:t>(</m:t>
              </m:r>
              <m:r>
                <m:t>F</m:t>
              </m:r>
              <m:r>
                <m:rPr>
                  <m:sty m:val="p"/>
                </m:rPr>
                <m:t>,</m:t>
              </m:r>
              <m:r>
                <m:t>K</m:t>
              </m:r>
              <m:r>
                <m:rPr>
                  <m:sty m:val="p"/>
                </m:rPr>
                <m:t>)</m:t>
              </m:r>
            </m:e>
          </m:d>
          <m:r>
            <m:rPr>
              <m:sty m:val="p"/>
            </m:rPr>
            <m:t>,</m:t>
          </m:r>
        </m:oMath>
      </m:oMathPara>
    </w:p>
    <w:p>
      <w:pPr>
        <w:pStyle w:val="FirstParagraph"/>
      </w:pPr>
      <w:r>
        <w:t xml:space="preserve">где</w:t>
      </w:r>
      <w:r>
        <w:t xml:space="preserve"> </w:t>
      </w:r>
      <m:oMath>
        <m:r>
          <m:t>H</m:t>
        </m:r>
        <m:r>
          <m:rPr>
            <m:sty m:val="p"/>
          </m:rPr>
          <m:t>(</m:t>
        </m:r>
        <m:r>
          <m:t>F</m:t>
        </m:r>
        <m:r>
          <m:rPr>
            <m:sty m:val="p"/>
          </m:rPr>
          <m:t>,</m:t>
        </m:r>
        <m:r>
          <m:t>K</m:t>
        </m:r>
        <m:r>
          <m:rPr>
            <m:sty m:val="p"/>
          </m:rPr>
          <m:t>)</m:t>
        </m:r>
      </m:oMath>
      <w:r>
        <w:t xml:space="preserve"> </w:t>
      </w:r>
      <w:r>
        <w:t xml:space="preserve">— внутренняя стоимость опциона на покупку или опциона на продажу. В расчётах используется 100 шагов дерева. Процентная ставка в базовой спецификации фиксируется на уровне 16% годовых.</w:t>
      </w:r>
    </w:p>
    <w:p>
      <w:pPr>
        <w:pStyle w:val="BodyText"/>
      </w:pPr>
      <w:r>
        <w:t xml:space="preserve">В работе оцениваются три американские спецификации:</w:t>
      </w:r>
    </w:p>
    <w:p>
      <w:pPr>
        <w:numPr>
          <w:ilvl w:val="0"/>
          <w:numId w:val="1016"/>
        </w:numPr>
      </w:pPr>
      <w:r>
        <w:t xml:space="preserve">модель Кокса–Росса–Рубинштейна с 21-дневной исторической волатильностью;</w:t>
      </w:r>
    </w:p>
    <w:p>
      <w:pPr>
        <w:numPr>
          <w:ilvl w:val="0"/>
          <w:numId w:val="1016"/>
        </w:numPr>
      </w:pPr>
      <w:r>
        <w:t xml:space="preserve">модель Кокса–Росса–Рубинштейна с 63-дневной исторической волатильностью;</w:t>
      </w:r>
    </w:p>
    <w:p>
      <w:pPr>
        <w:numPr>
          <w:ilvl w:val="0"/>
          <w:numId w:val="1016"/>
        </w:numPr>
      </w:pPr>
      <w:r>
        <w:t xml:space="preserve">модель Кокса–Росса–Рубинштейна с прогнозной волатильностью ГАРЧ.</w:t>
      </w:r>
    </w:p>
    <w:p>
      <w:pPr>
        <w:pStyle w:val="FirstParagraph"/>
      </w:pPr>
      <w:r>
        <w:t xml:space="preserve">Предпосылки этих спецификаций заключаются в отсутствии арбитража, фиксированной ставке на горизонте расчёта, заданной волатильности для каждого контракта и дискретном биномиальном описании будущей фьючерсной цены. Главное преимущество модели состоит в том, что она учитывает возможность досрочного исполнения.</w:t>
      </w:r>
    </w:p>
    <w:bookmarkEnd w:id="43"/>
    <w:bookmarkStart w:id="44" w:name="европейская-модель-блэка-1976-года"/>
    <w:p>
      <w:pPr>
        <w:pStyle w:val="Heading3"/>
      </w:pPr>
      <w:r>
        <w:t xml:space="preserve">Европейская модель Блэка 1976 года</w:t>
      </w:r>
    </w:p>
    <w:p>
      <w:pPr>
        <w:pStyle w:val="FirstParagraph"/>
      </w:pPr>
      <w:r>
        <w:t xml:space="preserve">Европейская модель Блэка 1976 года используется как отдельный эталон для опционов на фьючерсы. Она предполагает логнормальную динамику фьючерсной цены, постоянную волатильность, постоянную процентную ставку и отсутствие досрочного исполнения. В работе эта модель рассчитывается только с 63-дневной исторической волатильностью.</w:t>
      </w:r>
    </w:p>
    <w:p>
      <w:pPr>
        <w:pStyle w:val="BodyText"/>
      </w:pPr>
      <w:r>
        <w:t xml:space="preserve">Такое разделение необходимо для корректной интерпретации результатов. Если европейская модель даёт большую ошибку, это может отражать не только качество оценки волатильности, но и отсутствие права раннего исполнения. Поэтому она не включается в основное ранжирование американских моделей, а используется для оценки премии раннего исполнения:</w:t>
      </w:r>
    </w:p>
    <w:p>
      <w:pPr>
        <w:pStyle w:val="BodyText"/>
      </w:pPr>
      <m:oMathPara>
        <m:oMathParaPr>
          <m:jc m:val="center"/>
        </m:oMathParaPr>
        <m:oMath>
          <m:sSup>
            <m:e>
              <m:r>
                <m:rPr>
                  <m:sty m:val="p"/>
                </m:rPr>
                <m:t>Π</m:t>
              </m:r>
            </m:e>
            <m:sup>
              <m:r>
                <m:t>R</m:t>
              </m:r>
            </m:sup>
          </m:sSup>
          <m:r>
            <m:rPr>
              <m:sty m:val="p"/>
            </m:rPr>
            <m:t>=</m:t>
          </m:r>
          <m:sSubSup>
            <m:e>
              <m:r>
                <m:t>V</m:t>
              </m:r>
            </m:e>
            <m:sub>
              <m:r>
                <m:t>63</m:t>
              </m:r>
            </m:sub>
            <m:sup>
              <m:r>
                <m:rPr>
                  <m:nor/>
                  <m:sty m:val="p"/>
                </m:rPr>
                <m:t>КРР</m:t>
              </m:r>
            </m:sup>
          </m:sSubSup>
          <m:r>
            <m:rPr>
              <m:sty m:val="p"/>
            </m:rPr>
            <m:t>−</m:t>
          </m:r>
          <m:sSubSup>
            <m:e>
              <m:r>
                <m:t>V</m:t>
              </m:r>
            </m:e>
            <m:sub>
              <m:r>
                <m:t>63</m:t>
              </m:r>
            </m:sub>
            <m:sup>
              <m:r>
                <m:rPr>
                  <m:nor/>
                  <m:sty m:val="p"/>
                </m:rPr>
                <m:t>Блэк</m:t>
              </m:r>
            </m:sup>
          </m:sSubSup>
          <m:r>
            <m:rPr>
              <m:sty m:val="p"/>
            </m:rPr>
            <m:t>.</m:t>
          </m:r>
        </m:oMath>
      </m:oMathPara>
    </w:p>
    <w:bookmarkEnd w:id="44"/>
    <w:bookmarkEnd w:id="45"/>
    <w:bookmarkStart w:id="46" w:name="расчёт-ошибок-и-критерии-качества"/>
    <w:p>
      <w:pPr>
        <w:pStyle w:val="Heading2"/>
      </w:pPr>
      <w:r>
        <w:t xml:space="preserve">Расчёт ошибок и критерии качества</w:t>
      </w:r>
    </w:p>
    <w:p>
      <w:pPr>
        <w:pStyle w:val="FirstParagraph"/>
      </w:pPr>
      <w:r>
        <w:t xml:space="preserve">Для каждого наблюдения рассчитывается знаковая ошибка:</w:t>
      </w:r>
    </w:p>
    <w:p>
      <w:pPr>
        <w:pStyle w:val="BodyText"/>
      </w:pPr>
      <m:oMathPara>
        <m:oMathParaPr>
          <m:jc m:val="center"/>
        </m:oMathParaPr>
        <m:oMath>
          <m:sSub>
            <m:e>
              <m:r>
                <m:t>e</m:t>
              </m:r>
            </m:e>
            <m:sub>
              <m:r>
                <m:t>i</m:t>
              </m:r>
            </m:sub>
          </m:sSub>
          <m:r>
            <m:rPr>
              <m:sty m:val="p"/>
            </m:rPr>
            <m:t>=</m:t>
          </m:r>
          <m:sSub>
            <m:e>
              <m:acc>
                <m:accPr>
                  <m:chr m:val="̂"/>
                </m:accPr>
                <m:e>
                  <m:r>
                    <m:t>P</m:t>
                  </m:r>
                </m:e>
              </m:acc>
            </m:e>
            <m:sub>
              <m:r>
                <m:t>i</m:t>
              </m:r>
            </m:sub>
          </m:sSub>
          <m:r>
            <m:rPr>
              <m:sty m:val="p"/>
            </m:rPr>
            <m:t>−</m:t>
          </m:r>
          <m:sSub>
            <m:e>
              <m:r>
                <m:t>P</m:t>
              </m:r>
            </m:e>
            <m:sub>
              <m:r>
                <m:t>i</m:t>
              </m:r>
            </m:sub>
          </m:sSub>
          <m:r>
            <m:rPr>
              <m:sty m:val="p"/>
            </m:rPr>
            <m:t>,</m:t>
          </m:r>
        </m:oMath>
      </m:oMathPara>
    </w:p>
    <w:p>
      <w:pPr>
        <w:pStyle w:val="FirstParagraph"/>
      </w:pPr>
      <w:r>
        <w:t xml:space="preserve">где</w:t>
      </w:r>
      <w:r>
        <w:t xml:space="preserve"> </w:t>
      </w:r>
      <m:oMath>
        <m:sSub>
          <m:e>
            <m:acc>
              <m:accPr>
                <m:chr m:val="̂"/>
              </m:accPr>
              <m:e>
                <m:r>
                  <m:t>P</m:t>
                </m:r>
              </m:e>
            </m:acc>
          </m:e>
          <m:sub>
            <m:r>
              <m:t>i</m:t>
            </m:r>
          </m:sub>
        </m:sSub>
      </m:oMath>
      <w:r>
        <w:t xml:space="preserve"> </w:t>
      </w:r>
      <w:r>
        <w:t xml:space="preserve">— модельная цена, а</w:t>
      </w:r>
      <w:r>
        <w:t xml:space="preserve"> </w:t>
      </w:r>
      <m:oMath>
        <m:sSub>
          <m:e>
            <m:r>
              <m:t>P</m:t>
            </m:r>
          </m:e>
          <m:sub>
            <m:r>
              <m:t>i</m:t>
            </m:r>
          </m:sub>
        </m:sSub>
      </m:oMath>
      <w:r>
        <w:t xml:space="preserve"> </w:t>
      </w:r>
      <w:r>
        <w:t xml:space="preserve">— рыночная расчётная цена. Положительная ошибка означает переоценку опциона моделью, отрицательная — недооценку.</w:t>
      </w:r>
    </w:p>
    <w:p>
      <w:pPr>
        <w:pStyle w:val="BodyText"/>
      </w:pPr>
      <w:r>
        <w:t xml:space="preserve">Далее строятся абсолютная, квадратичная и относительная ошибки. В итоговых таблицах используются средняя абсолютная ошибка, корень из средней квадратичной ошибки, средняя знаковая ошибка, медианная абсолютная ошибка и средняя абсолютная относительная ошибка. Средняя абсолютная ошибка показывает средний масштаб отклонения в пунктах цены, корень из средней квадратичной ошибки сильнее штрафует крупные промахи, а средняя знаковая ошибка позволяет выявить систематическое смещение.</w:t>
      </w:r>
    </w:p>
    <w:p>
      <w:pPr>
        <w:pStyle w:val="BodyText"/>
      </w:pPr>
      <w:r>
        <w:t xml:space="preserve">Все основные сравнения проводятся на общей выборке, где доступны цены всех трёх американских спецификаций. Это исключает ситуацию, при которой различия в качестве объясняются не моделью, а разным составом наблюдений.</w:t>
      </w:r>
    </w:p>
    <w:bookmarkEnd w:id="46"/>
    <w:bookmarkStart w:id="47" w:name="эконометрическая-проверка-ошибок"/>
    <w:p>
      <w:pPr>
        <w:pStyle w:val="Heading2"/>
      </w:pPr>
      <w:r>
        <w:t xml:space="preserve">Эконометрическая проверка ошибок</w:t>
      </w:r>
    </w:p>
    <w:p>
      <w:pPr>
        <w:pStyle w:val="FirstParagraph"/>
      </w:pPr>
      <w:r>
        <w:t xml:space="preserve">Формальная проверка проводится в три этапа. Сначала для каждой американской модели оценивается средняя ошибка и проверяется гипотеза о её равенстве нулю. Для этого используется регрессия ошибки на константу со стандартными ошибками, кластеризованными по торговой дате. Кластеризация нужна, потому что ошибки контрактов в один и тот же день могут быть зависимыми из-за общих рыночных условий.</w:t>
      </w:r>
    </w:p>
    <w:p>
      <w:pPr>
        <w:pStyle w:val="BodyText"/>
      </w:pPr>
      <w:r>
        <w:t xml:space="preserve">Затем выполняются парные проверки различий между функциями потерь. Для каждой пары моделей сначала строится дневная средняя разница квадратичных ошибок и дневная средняя разница абсолютных ошибок. После этого оценивается регрессия дневной разницы на константу со стандартными ошибками, устойчивыми к автокорреляции с пятью лагами. Такой тест показывает, являются ли различия в ошибках статистически заметными во времени.</w:t>
      </w:r>
    </w:p>
    <w:p>
      <w:pPr>
        <w:pStyle w:val="BodyText"/>
      </w:pPr>
      <w:r>
        <w:t xml:space="preserve">На третьем этапе оценивается описательная регрессия абсолютной ошибки модели Кокса–Росса–Рубинштейна с 63-дневной волатильностью на индикатор высокой волатильности, срок до экспирации, абсолютную логарифмическую денежность и тип опциона. Стандартные ошибки также кластеризуются по торговой дате. Эта регрессия не является моделью цены опциона; её задача — описать, какие характеристики связаны с величиной ошибки.</w:t>
      </w:r>
    </w:p>
    <w:p>
      <w:pPr>
        <w:pStyle w:val="BodyText"/>
      </w:pPr>
      <w:r>
        <w:t xml:space="preserve">Дополнительно проводится проверка чувствительности к процентной ставке: базовая ставка 16% сравнивается со значениями 12% и 20%. Также выполняются проверки устойчивости на подвыборках: без крайних хвостов денежности, только для краткосрочных контрактов, только для длинных контрактов и без режима высокой волатильности.</w:t>
      </w:r>
    </w:p>
    <w:bookmarkEnd w:id="47"/>
    <w:bookmarkEnd w:id="48"/>
    <w:bookmarkStart w:id="61" w:name="X1ad34decc02de360d10a281eacef8ff8ab3e2cb"/>
    <w:p>
      <w:pPr>
        <w:pStyle w:val="Heading1"/>
      </w:pPr>
      <w:r>
        <w:t xml:space="preserve">Эмпирическое исследование устойчивости моделей</w:t>
      </w:r>
    </w:p>
    <w:bookmarkStart w:id="49" w:name="описание-данных"/>
    <w:p>
      <w:pPr>
        <w:pStyle w:val="Heading2"/>
      </w:pPr>
      <w:r>
        <w:t xml:space="preserve">Описание данных</w:t>
      </w:r>
    </w:p>
    <w:p>
      <w:pPr>
        <w:pStyle w:val="FirstParagraph"/>
      </w:pPr>
      <w:r>
        <w:t xml:space="preserve">Исходная база содержит 19 574 наблюдения. В ней представлены 13 217 опционов на покупку и 6 357 опционов на продажу. Наиболее многочисленным базовым контрактом является фьючерс МХИ с экспирацией в июне 2026 года: на него приходится 11 709 строк. Остальные наблюдения распределены между более дальними фьючерсами с экспирациями в декабре 2026 года, сентябре 2026 года, марте 2027 года и июне 2027 года.</w:t>
      </w:r>
    </w:p>
    <w:p>
      <w:pPr>
        <w:pStyle w:val="BodyText"/>
      </w:pPr>
      <w:r>
        <w:t xml:space="preserve">Критически важные для моделирования поля заполнены полностью: дата торгов, дата экспирации, тип опциона, страйк, расчётная цена опциона, идентификатор базового фьючерса и расчётная цена фьючерса. Основные пропуски сосредоточены в торговых полях открытия, максимума, минимума, закрытия и объёма, поэтому они не используются в модели ценообразования. Такой выбор делает исследование основанным на расчётных ценах, а не на внутридневных сделках.</w:t>
      </w:r>
    </w:p>
    <w:p>
      <w:pPr>
        <w:pStyle w:val="BodyText"/>
      </w:pPr>
      <w:r>
        <w:t xml:space="preserve">Средний срок до экспирации в полной базе равен примерно 480 календарным дням, медианный срок — 475 дней. Это означает, что выборка существенно смещена в сторону длинных опционов. Средняя денежность, определяемая как отношение цены фьючерса к страйку, равна 1,2045, а медианная — 1,1623. Следовательно, значительная часть наблюдений находится в зоне опционов в деньгах и глубоко в деньгах.</w:t>
      </w:r>
    </w:p>
    <w:bookmarkEnd w:id="49"/>
    <w:bookmarkStart w:id="55" w:name="сравнение-американских-моделей"/>
    <w:p>
      <w:pPr>
        <w:pStyle w:val="Heading2"/>
      </w:pPr>
      <w:r>
        <w:t xml:space="preserve">Сравнение американских моделей</w:t>
      </w:r>
    </w:p>
    <w:p>
      <w:pPr>
        <w:pStyle w:val="FirstParagraph"/>
      </w:pPr>
      <w:r>
        <w:t xml:space="preserve">Основное сравнение проводится между тремя американскими спецификациями на общей выборке из 18 058 наблюдений. Результаты приведены в таблице</w:t>
      </w:r>
      <w:r>
        <w:t xml:space="preserve"> </w:t>
      </w:r>
      <w:hyperlink w:anchor="tab:american-models">
        <w:r>
          <w:rPr>
            <w:rStyle w:val="Hyperlink"/>
          </w:rPr>
          <w:t xml:space="preserve">5</w:t>
        </w:r>
      </w:hyperlink>
      <w:r>
        <w:t xml:space="preserve">.</w:t>
      </w:r>
    </w:p>
    <w:bookmarkStart w:id="54" w:name="tab:american-models"/>
    <w:p>
      <w:pPr>
        <w:pStyle w:val="TableCaption"/>
      </w:pPr>
      <w:r>
        <w:t xml:space="preserve">Ошибки американских моделей на общей выборке</w:t>
      </w:r>
    </w:p>
    <w:tbl>
      <w:tblPr>
        <w:tblStyle w:val="Table"/>
        <w:tblW w:type="auto" w:w="0"/>
        <w:tblLook w:firstRow="1" w:lastRow="0" w:firstColumn="0" w:lastColumn="0" w:noHBand="0" w:noVBand="0" w:val="0020"/>
        <w:tblCaption w:val="Ошибки американских моделей на общей выборке"/>
      </w:tblPr>
      <w:tblGrid>
        <w:gridCol w:w="1320"/>
        <w:gridCol w:w="1320"/>
        <w:gridCol w:w="1320"/>
        <w:gridCol w:w="1320"/>
        <w:gridCol w:w="1320"/>
        <w:gridCol w:w="1320"/>
      </w:tblGrid>
      <w:tr>
        <w:trPr>
          <w:tblHeader w:val="on"/>
        </w:trPr>
        <w:tc>
          <w:tcPr/>
          <w:p>
            <w:pPr>
              <w:pStyle w:val="Compact"/>
              <w:jc w:val="left"/>
            </w:pPr>
            <w:r>
              <w:t xml:space="preserve">Модель</w:t>
            </w:r>
          </w:p>
        </w:tc>
        <w:tc>
          <w:tcPr/>
          <w:p>
            <w:pPr>
              <w:pStyle w:val="Compact"/>
              <w:jc w:val="right"/>
            </w:pPr>
            <m:oMath>
              <m:r>
                <m:t>N</m:t>
              </m:r>
            </m:oMath>
          </w:p>
        </w:tc>
        <w:tc>
          <w:tcPr/>
          <w:bookmarkStart w:id="50" w:name="tab:american-models"/>
          <w:p>
            <w:pPr>
              <w:pStyle w:val="Compact"/>
              <w:jc w:val="right"/>
            </w:pPr>
            <w:r>
              <w:t xml:space="preserve">Ошибки американских моделей на общей выборке</w:t>
            </w:r>
          </w:p>
          <w:tbl>
            <w:tblPr>
              <w:tblStyle w:val="Table"/>
              <w:tblW w:type="auto" w:w="0"/>
              <w:tblLook w:firstRow="0" w:lastRow="0" w:firstColumn="0" w:lastColumn="0" w:noHBand="0" w:noVBand="0" w:val="0000"/>
              <w:tblCaption w:val="Ошибки американских моделей на общей выборке"/>
            </w:tblPr>
            <w:tblGrid>
              <w:gridCol w:w="7920"/>
            </w:tblGrid>
            <w:tr>
              <w:tc>
                <w:tcPr/>
                <w:p>
                  <w:pPr>
                    <w:pStyle w:val="Compact"/>
                    <w:jc w:val="center"/>
                    <w:jc w:val="right"/>
                  </w:pPr>
                  <w:r>
                    <w:t xml:space="preserve">Средняя</w:t>
                  </w:r>
                </w:p>
              </w:tc>
            </w:tr>
            <w:tr>
              <w:tc>
                <w:tcPr/>
                <w:p>
                  <w:pPr>
                    <w:pStyle w:val="Compact"/>
                    <w:jc w:val="center"/>
                    <w:jc w:val="right"/>
                  </w:pPr>
                  <w:r>
                    <w:t xml:space="preserve">абс. ошибка</w:t>
                  </w:r>
                </w:p>
              </w:tc>
            </w:tr>
          </w:tbl>
          <w:bookmarkEnd w:id="50"/>
          <w:p/>
        </w:tc>
        <w:tc>
          <w:tcPr/>
          <w:bookmarkStart w:id="51" w:name="tab:american-models"/>
          <w:p>
            <w:pPr>
              <w:pStyle w:val="TableCaption"/>
              <w:jc w:val="right"/>
            </w:pPr>
            <w:r>
              <w:t xml:space="preserve">Ошибки американских моделей на общей выборке</w:t>
            </w:r>
          </w:p>
          <w:tbl>
            <w:tblPr>
              <w:tblStyle w:val="Table"/>
              <w:tblW w:type="auto" w:w="0"/>
              <w:tblLook w:firstRow="0" w:lastRow="0" w:firstColumn="0" w:lastColumn="0" w:noHBand="0" w:noVBand="0" w:val="0000"/>
              <w:tblCaption w:val="Ошибки американских моделей на общей выборке"/>
            </w:tblPr>
            <w:tblGrid>
              <w:gridCol w:w="7920"/>
            </w:tblGrid>
            <w:tr>
              <w:tc>
                <w:tcPr/>
                <w:p>
                  <w:pPr>
                    <w:pStyle w:val="Compact"/>
                    <w:jc w:val="center"/>
                    <w:jc w:val="right"/>
                  </w:pPr>
                  <w:r>
                    <w:t xml:space="preserve">Корень</w:t>
                  </w:r>
                </w:p>
              </w:tc>
            </w:tr>
            <w:tr>
              <w:tc>
                <w:tcPr/>
                <w:p>
                  <w:pPr>
                    <w:pStyle w:val="Compact"/>
                    <w:jc w:val="center"/>
                    <w:jc w:val="right"/>
                  </w:pPr>
                  <w:r>
                    <w:t xml:space="preserve">ср. кв. ошибки</w:t>
                  </w:r>
                </w:p>
              </w:tc>
            </w:tr>
          </w:tbl>
          <w:bookmarkEnd w:id="51"/>
          <w:p/>
        </w:tc>
        <w:tc>
          <w:tcPr/>
          <w:bookmarkStart w:id="52" w:name="tab:american-models"/>
          <w:p>
            <w:pPr>
              <w:pStyle w:val="TableCaption"/>
              <w:jc w:val="right"/>
            </w:pPr>
            <w:r>
              <w:t xml:space="preserve">Ошибки американских моделей на общей выборке</w:t>
            </w:r>
          </w:p>
          <w:tbl>
            <w:tblPr>
              <w:tblStyle w:val="Table"/>
              <w:tblW w:type="auto" w:w="0"/>
              <w:tblLook w:firstRow="0" w:lastRow="0" w:firstColumn="0" w:lastColumn="0" w:noHBand="0" w:noVBand="0" w:val="0000"/>
              <w:tblCaption w:val="Ошибки американских моделей на общей выборке"/>
            </w:tblPr>
            <w:tblGrid>
              <w:gridCol w:w="7920"/>
            </w:tblGrid>
            <w:tr>
              <w:tc>
                <w:tcPr/>
                <w:p>
                  <w:pPr>
                    <w:pStyle w:val="Compact"/>
                    <w:jc w:val="center"/>
                    <w:jc w:val="right"/>
                  </w:pPr>
                  <w:r>
                    <w:t xml:space="preserve">Средняя</w:t>
                  </w:r>
                </w:p>
              </w:tc>
            </w:tr>
            <w:tr>
              <w:tc>
                <w:tcPr/>
                <w:p>
                  <w:pPr>
                    <w:pStyle w:val="Compact"/>
                    <w:jc w:val="center"/>
                    <w:jc w:val="right"/>
                  </w:pPr>
                  <w:r>
                    <w:t xml:space="preserve">ошибка</w:t>
                  </w:r>
                </w:p>
              </w:tc>
            </w:tr>
          </w:tbl>
          <w:bookmarkEnd w:id="52"/>
          <w:p/>
        </w:tc>
        <w:tc>
          <w:tcPr/>
          <w:bookmarkStart w:id="53" w:name="tab:american-models"/>
          <w:p>
            <w:pPr>
              <w:pStyle w:val="TableCaption"/>
              <w:jc w:val="right"/>
            </w:pPr>
            <w:r>
              <w:t xml:space="preserve">Ошибки американских моделей на общей выборке</w:t>
            </w:r>
          </w:p>
          <w:tbl>
            <w:tblPr>
              <w:tblStyle w:val="Table"/>
              <w:tblW w:type="auto" w:w="0"/>
              <w:tblLook w:firstRow="0" w:lastRow="0" w:firstColumn="0" w:lastColumn="0" w:noHBand="0" w:noVBand="0" w:val="0000"/>
              <w:tblCaption w:val="Ошибки американских моделей на общей выборке"/>
            </w:tblPr>
            <w:tblGrid>
              <w:gridCol w:w="7920"/>
            </w:tblGrid>
            <w:tr>
              <w:tc>
                <w:tcPr/>
                <w:p>
                  <w:pPr>
                    <w:pStyle w:val="Compact"/>
                    <w:jc w:val="center"/>
                    <w:jc w:val="right"/>
                  </w:pPr>
                  <w:r>
                    <w:t xml:space="preserve">Медианная</w:t>
                  </w:r>
                </w:p>
              </w:tc>
            </w:tr>
            <w:tr>
              <w:tc>
                <w:tcPr/>
                <w:p>
                  <w:pPr>
                    <w:pStyle w:val="Compact"/>
                    <w:jc w:val="center"/>
                    <w:jc w:val="right"/>
                  </w:pPr>
                  <w:r>
                    <w:t xml:space="preserve">абс. ошибка</w:t>
                  </w:r>
                </w:p>
              </w:tc>
            </w:tr>
          </w:tbl>
          <w:bookmarkEnd w:id="53"/>
          <w:p/>
        </w:tc>
      </w:tr>
      <w:tr>
        <w:tc>
          <w:tcPr/>
          <w:p>
            <w:pPr>
              <w:jc w:val="left"/>
            </w:pPr>
            <w:r>
              <w:t xml:space="preserve">КРР, волатильность ГАРЧ</w:t>
            </w:r>
          </w:p>
        </w:tc>
        <w:tc>
          <w:tcPr/>
          <w:p>
            <w:pPr>
              <w:jc w:val="right"/>
            </w:pPr>
            <w:r>
              <w:t xml:space="preserve">18 058</w:t>
            </w:r>
          </w:p>
        </w:tc>
        <w:tc>
          <w:tcPr/>
          <w:p>
            <w:pPr>
              <w:jc w:val="right"/>
            </w:pPr>
            <w:r>
              <w:t xml:space="preserve">107,01</w:t>
            </w:r>
          </w:p>
        </w:tc>
        <w:tc>
          <w:tcPr/>
          <w:p>
            <w:pPr>
              <w:jc w:val="right"/>
            </w:pPr>
            <w:r>
              <w:t xml:space="preserve">145,76</w:t>
            </w:r>
          </w:p>
        </w:tc>
        <w:tc>
          <w:tcPr/>
          <w:p>
            <w:pPr>
              <w:jc w:val="right"/>
            </w:pPr>
            <w:r>
              <w:t xml:space="preserve">-78,14</w:t>
            </w:r>
          </w:p>
        </w:tc>
        <w:tc>
          <w:tcPr/>
          <w:p>
            <w:pPr>
              <w:jc w:val="right"/>
            </w:pPr>
            <w:r>
              <w:t xml:space="preserve">82,88</w:t>
            </w:r>
          </w:p>
        </w:tc>
      </w:tr>
      <w:tr>
        <w:tc>
          <w:tcPr/>
          <w:p>
            <w:pPr>
              <w:jc w:val="left"/>
            </w:pPr>
            <w:r>
              <w:t xml:space="preserve">КРР, волатильность 63 дня</w:t>
            </w:r>
          </w:p>
        </w:tc>
        <w:tc>
          <w:tcPr/>
          <w:p>
            <w:pPr>
              <w:jc w:val="right"/>
            </w:pPr>
            <w:r>
              <w:t xml:space="preserve">18 058</w:t>
            </w:r>
          </w:p>
        </w:tc>
        <w:tc>
          <w:tcPr/>
          <w:p>
            <w:pPr>
              <w:jc w:val="right"/>
            </w:pPr>
            <w:r>
              <w:t xml:space="preserve">107,15</w:t>
            </w:r>
          </w:p>
        </w:tc>
        <w:tc>
          <w:tcPr/>
          <w:p>
            <w:pPr>
              <w:jc w:val="right"/>
            </w:pPr>
            <w:r>
              <w:t xml:space="preserve">140,63</w:t>
            </w:r>
          </w:p>
        </w:tc>
        <w:tc>
          <w:tcPr/>
          <w:p>
            <w:pPr>
              <w:jc w:val="right"/>
            </w:pPr>
            <w:r>
              <w:t xml:space="preserve">-89,72</w:t>
            </w:r>
          </w:p>
        </w:tc>
        <w:tc>
          <w:tcPr/>
          <w:p>
            <w:pPr>
              <w:jc w:val="right"/>
            </w:pPr>
            <w:r>
              <w:t xml:space="preserve">84,45</w:t>
            </w:r>
          </w:p>
        </w:tc>
      </w:tr>
      <w:tr>
        <w:tc>
          <w:tcPr/>
          <w:p>
            <w:pPr>
              <w:jc w:val="left"/>
            </w:pPr>
            <w:r>
              <w:t xml:space="preserve">КРР, волатильность 21 день</w:t>
            </w:r>
          </w:p>
        </w:tc>
        <w:tc>
          <w:tcPr/>
          <w:p>
            <w:pPr>
              <w:jc w:val="right"/>
            </w:pPr>
            <w:r>
              <w:t xml:space="preserve">18 058</w:t>
            </w:r>
          </w:p>
        </w:tc>
        <w:tc>
          <w:tcPr/>
          <w:p>
            <w:pPr>
              <w:jc w:val="right"/>
            </w:pPr>
            <w:r>
              <w:t xml:space="preserve">119,31</w:t>
            </w:r>
          </w:p>
        </w:tc>
        <w:tc>
          <w:tcPr/>
          <w:p>
            <w:pPr>
              <w:jc w:val="right"/>
            </w:pPr>
            <w:r>
              <w:t xml:space="preserve">156,41</w:t>
            </w:r>
          </w:p>
        </w:tc>
        <w:tc>
          <w:tcPr/>
          <w:p>
            <w:pPr>
              <w:jc w:val="right"/>
            </w:pPr>
            <w:r>
              <w:t xml:space="preserve">-95,26</w:t>
            </w:r>
          </w:p>
        </w:tc>
        <w:tc>
          <w:tcPr/>
          <w:p>
            <w:pPr>
              <w:jc w:val="right"/>
            </w:pPr>
            <w:r>
              <w:t xml:space="preserve">96,84</w:t>
            </w:r>
          </w:p>
        </w:tc>
      </w:tr>
    </w:tbl>
    <w:bookmarkEnd w:id="54"/>
    <w:p>
      <w:pPr>
        <w:pStyle w:val="BodyText"/>
      </w:pPr>
      <w:r>
        <w:t xml:space="preserve">По средней абсолютной ошибке наилучшей оказывается модель с прогнозной волатильностью ГАРЧ: её ошибка равна 107,01 пункта. Однако преимущество над моделью с 63-дневной исторической волатильностью минимально: разница составляет около 0,14 пункта. При этом по корню из средней квадратичной ошибки лучше выглядит 63-дневная историческая волатильность: 140,63 против 145,76. Следовательно, модель ГАРЧ немного снижает средний абсолютный промах, но 63-дневная историческая волатильность устойчивее к крупным ошибкам.</w:t>
      </w:r>
    </w:p>
    <w:p>
      <w:pPr>
        <w:pStyle w:val="BodyText"/>
      </w:pPr>
      <w:r>
        <w:t xml:space="preserve">Модель с 21-дневной исторической волатильностью уступает обеим альтернативам: её средняя абсолютная ошибка равна 119,31, а корень из средней квадратичной ошибки — 156,41. Это согласуется со структурой выборки: для длинных опционов краткосрочная волатильность оказывается слишком шумной и хуже отражает горизонт контракта.</w:t>
      </w:r>
    </w:p>
    <w:p>
      <w:pPr>
        <w:pStyle w:val="BodyText"/>
      </w:pPr>
      <w:r>
        <w:t xml:space="preserve">Все три модели имеют отрицательную среднюю ошибку. Это означает систематическую недооценку рыночных расчётных цен. Наименьшее по модулю смещение наблюдается у спецификации с ГАРЧ-волатильностью, но полностью проблема смещения не устраняется.</w:t>
      </w:r>
    </w:p>
    <w:bookmarkEnd w:id="55"/>
    <w:bookmarkStart w:id="56" w:name="X3b7aa088111cad00420809b8acd29faf1b15435"/>
    <w:p>
      <w:pPr>
        <w:pStyle w:val="Heading2"/>
      </w:pPr>
      <w:r>
        <w:t xml:space="preserve">Европейский эталон и премия раннего исполнения</w:t>
      </w:r>
    </w:p>
    <w:p>
      <w:pPr>
        <w:pStyle w:val="FirstParagraph"/>
      </w:pPr>
      <w:r>
        <w:t xml:space="preserve">При добавлении европейской модели Блэка 1976 года с 63-дневной волатильностью средняя абсолютная ошибка возрастает до 156,16, а корень из средней квадратичной ошибки — до 211,64. Средняя ошибка составляет -149,00, что указывает на более сильную систематическую недооценку по сравнению с американскими моделями.</w:t>
      </w:r>
    </w:p>
    <w:p>
      <w:pPr>
        <w:pStyle w:val="BodyText"/>
      </w:pPr>
      <w:r>
        <w:t xml:space="preserve">Этот результат не следует интерпретировать как простое поражение европейской формулы по качеству волатильности. Более существенная причина состоит в отсутствии раннего исполнения. В исследуемой выборке много длинных и глубоких опционов в деньгах, для которых возможность досрочного исполнения имеет экономическую ценность.</w:t>
      </w:r>
    </w:p>
    <w:p>
      <w:pPr>
        <w:pStyle w:val="BodyText"/>
      </w:pPr>
      <w:r>
        <w:t xml:space="preserve">Средняя премия раннего исполнения рассчитывается как разность между ценой КРР с 63-дневной волатильностью и ценой европейской модели Блэка с той же волатильностью. На коротких сроках эта премия почти нулевая: в интервале 0–7 дней её среднее значение около 0,05 пункта. Для сроков 31–90 дней она остаётся небольшой: от 2,13 до 2,81 пункта в низком и среднем режимах волатильности. Для длинных контрактов премия становится значимой: 40,66 пункта в режиме низкой волатильности, 64,83 пункта в среднем режиме и 105,94 пункта в режиме высокой волатильности. Это подтверждает необходимость использовать американскую модель как основную.</w:t>
      </w:r>
    </w:p>
    <w:bookmarkEnd w:id="56"/>
    <w:bookmarkStart w:id="57" w:name="ошибки-по-режимам-волатильности"/>
    <w:p>
      <w:pPr>
        <w:pStyle w:val="Heading2"/>
      </w:pPr>
      <w:r>
        <w:t xml:space="preserve">Ошибки по режимам волатильности</w:t>
      </w:r>
    </w:p>
    <w:p>
      <w:pPr>
        <w:pStyle w:val="FirstParagraph"/>
      </w:pPr>
      <w:r>
        <w:t xml:space="preserve">Разложение ошибок по режимам показывает, что качество моделей неоднородно. В режиме низкой волатильности лучшей является спецификация с ГАРЧ-волатильностью: средняя абсолютная ошибка равна 77,49. Модель с 63-дневной исторической волатильностью даёт 82,08, а модель с 21-дневной волатильностью — 104,12.</w:t>
      </w:r>
    </w:p>
    <w:p>
      <w:pPr>
        <w:pStyle w:val="BodyText"/>
      </w:pPr>
      <w:r>
        <w:t xml:space="preserve">В режиме средней волатильности картина сохраняется: ГАРЧ-спецификация даёт 118,20, 63-дневная волатильность — 128,26, а 21-дневная — 141,81. В режиме высокой волатильности ГАРЧ-модель ухудшается: её средняя абсолютная ошибка возрастает до 141,00. В этом режиме лучше работает 21-дневная историческая волатильность по средней абсолютной ошибке, но 63-дневная историческая волатильность показывает меньший корень из средней квадратичной ошибки, чем ГАРЧ. Следовательно, прогнозная условная волатильность полезна в спокойных и средних режимах, но менее устойчива в наиболее напряжённом сегменте.</w:t>
      </w:r>
    </w:p>
    <w:bookmarkEnd w:id="57"/>
    <w:bookmarkStart w:id="58" w:name="X1b5dcc1a2c02d9195c557712bdd1d009440334e"/>
    <w:p>
      <w:pPr>
        <w:pStyle w:val="Heading2"/>
      </w:pPr>
      <w:r>
        <w:t xml:space="preserve">Ошибки по сроку до экспирации и денежности</w:t>
      </w:r>
    </w:p>
    <w:p>
      <w:pPr>
        <w:pStyle w:val="FirstParagraph"/>
      </w:pPr>
      <w:r>
        <w:t xml:space="preserve">По срокам до экспирации наблюдается сильная нелинейность. Для контрактов со сроком до 7 дней средняя абсолютная ошибка всех моделей мала: от 1,88 до 3,53 пункта. Для интервала 8–30 дней лучшей также является ГАРЧ-спецификация со средней абсолютной ошибкой 4,87. В интервале 31–90 дней её ошибка равна 24,64, тогда как у 63-дневной исторической волатильности она составляет 35,39.</w:t>
      </w:r>
    </w:p>
    <w:p>
      <w:pPr>
        <w:pStyle w:val="BodyText"/>
      </w:pPr>
      <w:r>
        <w:t xml:space="preserve">Основная масса ошибок возникает на длинных контрактах со сроком более 91 дня. В этом сегменте средняя абсолютная ошибка равна 122,53 для ГАРЧ-спецификации, 121,04 для 63-дневной исторической волатильности и 135,28 для 21-дневной волатильности. Значит, для длинных опционов более стабильная историческая оценка почти догоняет, а по средней абсолютной ошибке слегка превосходит прогнозную условную волатильность.</w:t>
      </w:r>
    </w:p>
    <w:p>
      <w:pPr>
        <w:pStyle w:val="BodyText"/>
      </w:pPr>
      <w:r>
        <w:t xml:space="preserve">По денежности наименьшие ошибки наблюдаются у опционов глубоко вне денег и около денег, а наиболее крупные абсолютные ошибки связаны с опционами в деньгах и глубоко в деньгах. Для глубоко в деньгах контрактов средняя абсолютная ошибка составляет 116,80 у ГАРЧ-спецификации, 111,48 у 63-дневной исторической волатильности и 125,30 у 21-дневной волатильности. Это связано не только с денежностью как таковой, но и с тем, что именно в этой зоне сосредоточено много длинных контрактов с большой внутренней стоимостью.</w:t>
      </w:r>
    </w:p>
    <w:bookmarkEnd w:id="58"/>
    <w:bookmarkStart w:id="59" w:name="формальные-тесты-ошибок"/>
    <w:p>
      <w:pPr>
        <w:pStyle w:val="Heading2"/>
      </w:pPr>
      <w:r>
        <w:t xml:space="preserve">Формальные тесты ошибок</w:t>
      </w:r>
    </w:p>
    <w:p>
      <w:pPr>
        <w:pStyle w:val="FirstParagraph"/>
      </w:pPr>
      <w:r>
        <w:t xml:space="preserve">Тесты средней ошибки показывают, что все три американские модели статистически значимо недооценивают рыночные цены. Для модели с 63-дневной исторической волатильностью средняя ошибка равна -89,72 при кластеризованной стандартной ошибке 3,62. Для 21-дневной волатильности средняя ошибка составляет -95,26, для ГАРЧ-спецификации — -78,14. Во всех случаях гипотеза о нулевой средней ошибке отвергается.</w:t>
      </w:r>
    </w:p>
    <w:p>
      <w:pPr>
        <w:pStyle w:val="BodyText"/>
      </w:pPr>
      <w:r>
        <w:t xml:space="preserve">Парные проверки функций потерь уточняют этот вывод. Разница между 21-дневной и 63-дневной исторической волатильностью статистически значима как по квадратичной, так и по абсолютной функции потерь: 21-дневная оценка хуже. Разница между 63-дневной исторической волатильностью и ГАРЧ-спецификацией статистически незначима: по средней абсолютной потере значение вероятности равно 0,770, по квадратичной — 0,370. Это означает, что их итоговое качество на общей выборке практически неразличимо статистически, несмотря на небольшое преимущество ГАРЧ по средней абсолютной ошибке.</w:t>
      </w:r>
    </w:p>
    <w:p>
      <w:pPr>
        <w:pStyle w:val="BodyText"/>
      </w:pPr>
      <w:r>
        <w:t xml:space="preserve">Описательная регрессия абсолютной ошибки модели КРР с 63-дневной волатильностью показывает более тонкую структуру. В однофакторной спецификации индикатор высокой волатильности имеет положительный коэффициент 21,45 и статистически значим, то есть без дополнительных контролей ошибки действительно выше в высоком режиме. После добавления срока до экспирации и денежности знак индикатора высокой волатильности становится отрицательным. Это означает, что первоначальный эффект высокой волатильности частично объясняется составом наблюдений: в высоком режиме сосредоточены длинные и специфические по денежности контракты. Срок до экспирации остаётся положительно связанным с ошибкой: в расширенной спецификации дополнительный календарный день увеличивает абсолютную ошибку примерно на 0,16 пункта. Коэффициент при абсолютной логарифмической денежности отрицателен, что отражает особенности данной выборки: значительная часть глубоких контрактов находится в зоне, где внутренняя стоимость и структура сроков объясняют ошибку лучше, чем сама удалённость от состояния около денег.</w:t>
      </w:r>
    </w:p>
    <w:bookmarkEnd w:id="59"/>
    <w:bookmarkStart w:id="60" w:name="проверки-устойчивости"/>
    <w:p>
      <w:pPr>
        <w:pStyle w:val="Heading2"/>
      </w:pPr>
      <w:r>
        <w:t xml:space="preserve">Проверки устойчивости</w:t>
      </w:r>
    </w:p>
    <w:p>
      <w:pPr>
        <w:pStyle w:val="FirstParagraph"/>
      </w:pPr>
      <w:r>
        <w:t xml:space="preserve">Проверки устойчивости подтверждают, что основной вывод не сводится к одной узкой подвыборке. На полной выборке ГАРЧ-спецификация имеет минимальную среднюю абсолютную ошибку, а 63-дневная историческая волатильность — минимальный корень из средней квадратичной ошибки. После исключения глубоких хвостов денежности ГАРЧ-спецификация сохраняет преимущество по средней абсолютной ошибке: 92,76 против 101,64 у 63-дневной волатильности. На краткосрочной подвыборке со сроком до 91 дня преимущество ГАРЧ становится более выраженным: 20,69 против 29,92.</w:t>
      </w:r>
    </w:p>
    <w:p>
      <w:pPr>
        <w:pStyle w:val="BodyText"/>
      </w:pPr>
      <w:r>
        <w:t xml:space="preserve">Для длинных контрактов картина меняется: 63-дневная историческая волатильность даёт среднюю абсолютную ошибку 121,20, а ГАРЧ — 122,71. В подвыборке без режима высокой волатильности ГАРЧ вновь показывает меньшую среднюю абсолютную ошибку: 94,51 против 101,38. Следовательно, прогнозная условная волатильность особенно полезна для коротких и умеренных сегментов, но на длинных сроках её преимущество исчезает.</w:t>
      </w:r>
    </w:p>
    <w:p>
      <w:pPr>
        <w:pStyle w:val="BodyText"/>
      </w:pPr>
      <w:r>
        <w:t xml:space="preserve">Проверка чувствительности к ставке проводится для модели КРР с 63-дневной исторической волатильностью. При ставке 12% средняя абсолютная ошибка равна 104,57, при базовой ставке 16% — 107,15, при ставке 20% — 109,84. Более низкая ставка в этих данных уменьшает абсолютную ошибку и ослабляет недооценку, однако не меняет качественный вывод о важности американской модели и устойчивой оценки волатильности.</w:t>
      </w:r>
    </w:p>
    <w:bookmarkEnd w:id="60"/>
    <w:bookmarkEnd w:id="61"/>
    <w:bookmarkStart w:id="62" w:name="заключение"/>
    <w:p>
      <w:pPr>
        <w:pStyle w:val="Heading1"/>
      </w:pPr>
      <w:r>
        <w:t xml:space="preserve">Заключение</w:t>
      </w:r>
    </w:p>
    <w:p>
      <w:pPr>
        <w:pStyle w:val="FirstParagraph"/>
      </w:pPr>
      <w:r>
        <w:t xml:space="preserve">В работе проведено эмпирическое исследование устойчивости моделей ценообразования фьючерсных опционов в различных рыночных режимах. В отличие от первоначальной постановки, фактическая практическая часть использует не европейскую модель как основную, а американскую биномиальную модель Кокса–Росса–Рубинштейна, что соответствует природе рассматриваемых контрактов. Европейская модель Блэка 1976 года сохранена как отдельный эталон без досрочного исполнения.</w:t>
      </w:r>
    </w:p>
    <w:p>
      <w:pPr>
        <w:pStyle w:val="BodyText"/>
      </w:pPr>
      <w:r>
        <w:t xml:space="preserve">Полученные результаты показывают, что качество ценообразования существенно зависит от способа задания волатильности и структуры выборки. На полной сопоставимой выборке прогнозная волатильность ГАРЧ даёт минимальную среднюю абсолютную ошибку 107,01, однако её преимущество над 63-дневной исторической волатильностью практически исчезающе мало и статистически не подтверждается в парных проверках. По корню из средней квадратичной ошибки лучшей является 63-дневная историческая волатильность. Краткосрочная 21-дневная волатильность систематически уступает двум другим подходам.</w:t>
      </w:r>
    </w:p>
    <w:p>
      <w:pPr>
        <w:pStyle w:val="BodyText"/>
      </w:pPr>
      <w:r>
        <w:t xml:space="preserve">Все американские модели в среднем недооценивают рыночные расчётные цены. Это указывает на наличие факторов, не полностью учтённых простой постановкой с одной волатильностью на контракт: возможную структуру подразумеваемой волатильности, ликвидность, особенности расчётных цен и срочную структуру ставок. При этом европейская модель Блэка 1976 года показывает существенно большую ошибку, что объясняется отсутствием механизма раннего исполнения. Рассчитанная премия раннего исполнения мала на коротких сроках, но становится экономически значимой для длинных контрактов, особенно в режиме высокой волатильности.</w:t>
      </w:r>
    </w:p>
    <w:p>
      <w:pPr>
        <w:pStyle w:val="BodyText"/>
      </w:pPr>
      <w:r>
        <w:t xml:space="preserve">Гипотеза о зависимости ошибок от рыночного режима получила частичное подтверждение. В простом разрезе высокая волатильность связана с более крупными ошибками, однако регрессионный анализ показывает, что значительная часть этого эффекта объясняется сроком до экспирации и составом контрактов. Наиболее устойчивый вывод состоит в том, что длинные опционы являются главной зоной роста ошибок. Это согласуется с тем, что одна оценка волатильности хуже описывает длинный горизонт и сложную временную структуру опционных цен.</w:t>
      </w:r>
    </w:p>
    <w:p>
      <w:pPr>
        <w:pStyle w:val="BodyText"/>
      </w:pPr>
      <w:r>
        <w:t xml:space="preserve">Практический результат исследования состоит в следующем: для рассматриваемой выборки корректнее использовать американскую модель Кокса–Росса–Рубинштейна; 63-дневная историческая волатильность является сильной и устойчивой базовой оценкой; прогнозная волатильность ГАРЧ улучшает среднюю абсолютную ошибку в ряде сегментов, но не даёт статистически надёжного превосходства на полной выборке. Дальнейшее развитие работы может быть связано с построением поверхности подразумеваемой волатильности, использованием временной структуры процентных ставок и расширением модели за счёт факторов ликвидности и различий между сериями контрактов.</w:t>
      </w:r>
    </w:p>
    <w:p>
      <w:pPr>
        <w:pStyle w:val="BodyText"/>
      </w:pPr>
      <w:r>
        <w:t xml:space="preserve">99</w:t>
      </w:r>
    </w:p>
    <w:p>
      <w:pPr>
        <w:pStyle w:val="BodyText"/>
      </w:pPr>
      <w:r>
        <w:t xml:space="preserve">Hull J. C. Options, Futures, and Other Derivatives. — 10th ed. — Pearson, 2018.</w:t>
      </w:r>
    </w:p>
    <w:p>
      <w:pPr>
        <w:pStyle w:val="BodyText"/>
      </w:pPr>
      <w:r>
        <w:t xml:space="preserve">Black F. The Pricing of Commodity Contracts // Journal of Financial Economics. — 1976. — Vol. 3. — P. 167–179.</w:t>
      </w:r>
    </w:p>
    <w:p>
      <w:pPr>
        <w:pStyle w:val="BodyText"/>
      </w:pPr>
      <w:r>
        <w:t xml:space="preserve">Black F., Scholes M. The Pricing of Options and Corporate Liabilities // Journal of Political Economy. — 1973. — Vol. 81, No. 3. — P. 637–654.</w:t>
      </w:r>
    </w:p>
    <w:p>
      <w:pPr>
        <w:pStyle w:val="BodyText"/>
      </w:pPr>
      <w:r>
        <w:t xml:space="preserve">Merton R. Theory of Rational Option Pricing // Bell Journal of Economics and Management Science. — 1973. — Vol. 4, No. 1. — P. 141–183.</w:t>
      </w:r>
    </w:p>
    <w:p>
      <w:pPr>
        <w:pStyle w:val="BodyText"/>
      </w:pPr>
      <w:r>
        <w:t xml:space="preserve">Bollerslev T. Generalized Autoregressive Conditional Heteroskedasticity // Journal of Econometrics. — 1986. — Vol. 31. — P. 307–327.</w:t>
      </w:r>
    </w:p>
    <w:p>
      <w:pPr>
        <w:pStyle w:val="BodyText"/>
      </w:pPr>
      <w:r>
        <w:t xml:space="preserve">Bakshi G., Cao C., Chen Z. Empirical Performance of Alternative Option Pricing Models // Journal of Finance. — 1997. — Vol. 52, No. 5. — P. 2003–2049.</w:t>
      </w:r>
    </w:p>
    <w:p>
      <w:pPr>
        <w:pStyle w:val="BodyText"/>
      </w:pPr>
      <w:r>
        <w:t xml:space="preserve">Dumas B., Fleming J., Whaley R. Implied Volatility Functions: Empirical Tests // Journal of Finance. — 1998. — Vol. 53, No. 6. — P. 2059–2106.</w:t>
      </w:r>
    </w:p>
    <w:p>
      <w:pPr>
        <w:pStyle w:val="BodyText"/>
      </w:pPr>
      <w:r>
        <w:t xml:space="preserve">Christoffersen P., Jacobs K. The Importance of the Loss Function in Option Valuation // Journal of Financial Economics. — 2004. — Vol. 72. — P. 291–318.</w:t>
      </w:r>
    </w:p>
    <w:p>
      <w:pPr>
        <w:pStyle w:val="BodyText"/>
      </w:pPr>
      <w:r>
        <w:t xml:space="preserve">Cont R. Empirical Properties of Asset Returns: Stylized Facts and Statistical Issues // Quantitative Finance. — 2001. — Vol. 1, No. 2. — P. 223–236.</w:t>
      </w:r>
    </w:p>
    <w:p>
      <w:pPr>
        <w:pStyle w:val="BodyText"/>
      </w:pPr>
      <w:r>
        <w:t xml:space="preserve">Tsay R. Analysis of Financial Time Series. — 3rd ed. — Wiley, 2010.</w:t>
      </w:r>
    </w:p>
    <w:p>
      <w:pPr>
        <w:pStyle w:val="BodyText"/>
      </w:pPr>
      <w:r>
        <w:t xml:space="preserve">Shreve S. Stochastic Calculus for Finance II: Continuous-Time Models. — Springer, 2004.</w:t>
      </w:r>
    </w:p>
    <w:p>
      <w:pPr>
        <w:pStyle w:val="BodyText"/>
      </w:pPr>
      <w:r>
        <w:t xml:space="preserve">Haug E. G. The Complete Guide to Option Pricing Formulas. — McGraw-Hill, 2007.</w:t>
      </w:r>
    </w:p>
    <w:p>
      <w:pPr>
        <w:pStyle w:val="BodyText"/>
      </w:pPr>
      <w:r>
        <w:t xml:space="preserve">Weithers T. Quantitative Finance. — Wiley, 2007.</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2026-06-09T19:53:01Z</dcterms:created>
  <dcterms:modified xsi:type="dcterms:W3CDTF">2026-06-09T19:53:01Z</dcterms:modified>
</cp:coreProperties>
</file>

<file path=docProps/custom.xml><?xml version="1.0" encoding="utf-8"?>
<Properties xmlns="http://schemas.openxmlformats.org/officeDocument/2006/custom-properties" xmlns:vt="http://schemas.openxmlformats.org/officeDocument/2006/docPropsVTypes"/>
</file>