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Национальный исследовательский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«Высшая школа экономики»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Факультет экономических наук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Эконометрика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Эмпирическая оценка влияния загрязнения воздуха на ожидаемую продолжительность жизни в регионах Российской Федерации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Выполнили: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Ковалёва Мария Сергеевна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Кутузов Иван Владимирович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Николюк Татьяна Николаевна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Преподаватель семинаров: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Бывальцева-Станкевич Анастасия Александровна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Москва, 2026</w:t>
      </w:r>
    </w:p>
    <w:p>
      <w:r>
        <w:br w:type="page"/>
      </w:r>
    </w:p>
    <w:p>
      <w:pPr>
        <w:pStyle w:val="Heading1"/>
      </w:pPr>
      <w:r>
        <w:t>Использование генеративных ИИ-моделей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При подготовке работы генеративные ИИ-инструменты использовались как вспомогательное средство: для проверки логики спецификаций, редактуры формулировок, написания и отладки кода в ноутбуке, а также для технической подготовки LaTeX-таблиц. Содержательная постановка темы, выбор данных и финальная интерпретация результатов были проверены авторами работы.</w:t>
      </w:r>
    </w:p>
    <w:p>
      <w:pPr>
        <w:pStyle w:val="Heading1"/>
      </w:pPr>
      <w:r>
        <w:t>Введение и исследовательский вопрос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Загрязнение атмосферного воздуха является важным фактором риска для здоровья населения. В медицинской и экономической литературе оно связывается с ростом сердечно-сосудистой, респираторной и онкологической смертности, а значит, потенциально влияет и на ожидаемую продолжительность жизни. Для России этот вопрос особенно актуален из-за высокой региональной неоднородности: субъекты РФ заметно различаются по промышленной структуре, уровню добычи полезных ископаемых, энергетике, плотности населения и социально-экономическим условиям.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Цель работы — оценить, связаны ли выбросы загрязняющих веществ от стационарных источников на душу населения с ожидаемой продолжительностью жизни в регионах РФ. Основная эмпирическая сложность состоит в потенциальной эндогенности загрязнения: оно может быть связано с ненаблюдаемыми характеристиками регионов, качеством инфраструктуры, отраслевой структурой и ошибками измерения. Поэтому наряду с OLS используется метод инструментальных переменных.</w:t>
      </w:r>
    </w:p>
    <w:p>
      <w:pPr>
        <w:pStyle w:val="Heading1"/>
      </w:pPr>
      <w:r>
        <w:t>Гипотезы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соответствии с proposal проверяются три содержательные гипотезы.</w:t>
      </w:r>
    </w:p>
    <w:p>
      <w:r>
        <w:rPr>
          <w:rFonts w:ascii="Times New Roman" w:hAnsi="Times New Roman" w:eastAsia="Times New Roman"/>
          <w:b/>
          <w:i w:val="0"/>
          <w:sz w:val="22"/>
        </w:rPr>
        <w:t>H1. Рост выбросов загрязняющих веществ на душу населения связан со снижением ожидаемой продолжительности жизни.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H0: β1 = 0; H1: β1 &lt; 0.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Ожидаемый знак коэффициента при ln_emissions_h1_pc отрицательный. Эта гипотеза согласуется с результатами Pope et al. (2002), Chen et al. (2013), Ebenstein et al. (2017), а также с российскими работами о связи загрязнения воздуха и смертности.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H2. Доход на душу населения положительно связан с ожидаемой продолжительностью жизни после контроля загрязнения и базовых региональных характеристик.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H0: βgrp = 0; H1: βgrp &gt; 0.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proposal гипотеза была сформулирована с контролем на возрастную структуру. В финальной baseline-спецификации age_struct_share не включается как основной контроль: демографическая структура может частично отражать уже накопленные различия в смертности и миграции, поэтому её использование как полностью экзогенного контроля было бы слишком сильным допущением. Переменная оставлена только как проверка робастности.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H3. Занятость в добыче полезных ископаемых на душу населения положительно связана с загрязнением воздуха.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H0: π1 = 0; H1: π1 &gt; 0.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Эта гипотеза является проверкой релевантности основного инструмента ln_emp_mining_pc. Добывающие регионы в среднем должны иметь более высокие стационарные выбросы, однако сила инструмента должна проверяться эмпирически.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Во всех таблицах ниже используются стандартные двусторонние p-value, хотя содержательные гипотезы имеют направленный характер. Это стандартный формат отчётности для регрессионных таблиц и диагностических тестов.</w:t>
      </w:r>
    </w:p>
    <w:p>
      <w:pPr>
        <w:pStyle w:val="Heading1"/>
      </w:pPr>
      <w:r>
        <w:t>Данные и изменения после proposal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Используются кросс-секционные данные по 85 субъектам РФ за 2015 год. Основной источник данных — Росстат/Fedstat. Зависимая переменная life_expectancy измеряет ожидаемую продолжительность жизни в годах. Основная объясняющая переменная ln_emissions_h1_pc — логарифм выбросов загрязняющих веществ от стационарных источников на душу населения. В качестве основного инструмента используется ln_emp_mining_pc — логарифм занятости в добыче полезных ископаемых на душу населения.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финальной версии были внесены три важных уточнения относительно proposal.</w:t>
      </w:r>
    </w:p>
    <w:p>
      <w:pPr>
        <w:pStyle w:val="ListNumber"/>
        <w:ind w:left="397" w:hanging="142"/>
      </w:pPr>
      <w:r>
        <w:rPr>
          <w:rFonts w:ascii="Times New Roman" w:hAnsi="Times New Roman" w:eastAsia="Times New Roman"/>
          <w:sz w:val="22"/>
        </w:rPr>
        <w:t>Проверка автономных округов. В одной из промежуточных версий датасета Архангельская область и Тюменская область были записаны как региональные totals «с АО», тогда как Ненецкий АО, Ханты-Мансийский АО и Ямало-Ненецкий АО также присутствовали отдельными строками. Это создавало риск двойного счёта. В финальном ноутбуке используется исправленная версия, где Архангельская область и Тюменская область берутся без автономных округов. Например, население Архангельской области в финальном датасете равно 1 094 549, а Тюменской области — 1 462 199; автономные округа остаются отдельными наблюдениями.</w:t>
      </w:r>
    </w:p>
    <w:p>
      <w:pPr>
        <w:pStyle w:val="ListNumber"/>
        <w:ind w:left="397" w:hanging="142"/>
      </w:pPr>
      <w:r>
        <w:rPr>
          <w:rFonts w:ascii="Times New Roman" w:hAnsi="Times New Roman" w:eastAsia="Times New Roman"/>
          <w:sz w:val="22"/>
        </w:rPr>
        <w:t>Возрастная структура. age_struct_share не включается в preferred baseline, поскольку демографическая структура может быть outcome-related: высокая или низкая доля отдельных возрастных групп может отражать прошлую смертность, миграцию и региональную селекцию. Поэтому она используется только в robustness specification.</w:t>
      </w:r>
    </w:p>
    <w:p>
      <w:pPr>
        <w:pStyle w:val="ListNumber"/>
        <w:ind w:left="397" w:hanging="142"/>
      </w:pPr>
      <w:r>
        <w:rPr>
          <w:rFonts w:ascii="Times New Roman" w:hAnsi="Times New Roman" w:eastAsia="Times New Roman"/>
          <w:sz w:val="22"/>
        </w:rPr>
        <w:t>Обращаемость в медучреждения. visits_per_capita не включается в baseline. Эта переменная может отражать не только доступность медицины, но и текущую заболеваемость, то есть сама быть связанной с результатом. Кроме того, как proxy качества здравоохранения она достаточно шумная.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Переменная region используется только как идентификатор наблюдений и не включается в модели как категориальный регрессор.</w:t>
      </w:r>
    </w:p>
    <w:p>
      <w:pPr>
        <w:pStyle w:val="CaptionCustom"/>
      </w:pPr>
      <w:r>
        <w:t>Таблица 1. Дескриптивные статистики основных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26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Переменная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Среднее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Ст. откл.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Мин.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Медиана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Макс.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life_expectancy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70,554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2,394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63,140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70,390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78,470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ln_emissions_h1_pc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-10,336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1,393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-14,516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-10,262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-6,996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ln_emp_mining_pc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-5,571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1,655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-8,734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-5,903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-1,526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ln_grp_pc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5,834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0,672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4,683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5,769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8,587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urban_share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70,086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13,247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29,900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71,300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100,000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ln_population_avg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13,960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0,971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10,655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13,989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16,323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age_struct_share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58,047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50,900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57,700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64,900</w:t>
            </w:r>
          </w:p>
        </w:tc>
      </w:tr>
    </w:tbl>
    <w:p/>
    <w:p>
      <w:pPr>
        <w:pStyle w:val="Heading1"/>
      </w:pPr>
      <w:r>
        <w:t>Модель и метод оценивания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Базовая модель оценивается методом OLS: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life_expectancyᵢ = β₀ + β₁ ln_emissions_h1_pcᵢ + β₂ ln_grp_pcᵢ + β₃ urban_shareᵢ + β₄ ln_population_avgᵢ + εᵢ.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Preferred baseline включает три контроля: ln_grp_pc, urban_share, ln_population_avg. Все стандартные ошибки в OLS оцениваются как HC1-robust.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Поскольку загрязнение может быть эндогенным, дополнительно оценивается 2SLS. Первая ступень: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ln_emissions_h1_pcᵢ = π₀ + π₁ ln_emp_mining_pcᵢ + π₂ ln_grp_pcᵢ + π₃ urban_shareᵢ + π₄ ln_population_avgᵢ + vᵢ.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Вторая ступень: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life_expectancyᵢ = β₀ + β₁ ln_emissions_h1_pc_hatᵢ + β₂ ln_grp_pcᵢ + β₃ urban_shareᵢ + β₄ ln_population_avgᵢ + uᵢ.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Инструмент ln_emp_mining_pc выбран как основной, потому что занятость в добыче связана с отраслевой структурой и географией ресурсов, а не напрямую с текущими индивидуальными исходами здоровья. При этом exclusion restriction не является механически гарантированным, поэтому причинная интерпретация формулируется осторожно.</w:t>
      </w:r>
    </w:p>
    <w:p>
      <w:pPr>
        <w:pStyle w:val="Heading1"/>
      </w:pPr>
      <w:r>
        <w:t>Основные результаты</w:t>
      </w:r>
    </w:p>
    <w:p>
      <w:pPr>
        <w:pStyle w:val="CaptionCustom"/>
      </w:pPr>
      <w:r>
        <w:t>Таблица 2. Baseline OLS и 2SLS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40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OLS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2SLS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ln_emissions_h1_pc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-1,2065***</w:t>
              <w:br/>
              <w:t>(0,2082)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-1,5840***</w:t>
              <w:br/>
              <w:t>(0,4802)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ln_grp_pc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1,8119***</w:t>
              <w:br/>
              <w:t>(0,5004)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2,2909***</w:t>
              <w:br/>
              <w:t>(0,8110)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urban_share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-0,0474***</w:t>
              <w:br/>
              <w:t>(0,0152)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-0,0451***</w:t>
              <w:br/>
              <w:t>(0,0153)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ln_population_avg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1,0276***</w:t>
              <w:br/>
              <w:t>(0,2444)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0,9672***</w:t>
              <w:br/>
              <w:t>(0,2323)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Constant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36,4870***</w:t>
              <w:br/>
              <w:t>(4,9334)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30,4784***</w:t>
              <w:br/>
              <w:t>(9,7992)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Observations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0,5169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0,4900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Robust SE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HC1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robust, debiased</w:t>
            </w:r>
          </w:p>
        </w:tc>
      </w:tr>
    </w:tbl>
    <w:p/>
    <w:p>
      <w:pPr>
        <w:pStyle w:val="NoteCustom"/>
      </w:pPr>
      <w:r>
        <w:rPr>
          <w:rFonts w:ascii="Times New Roman" w:hAnsi="Times New Roman" w:eastAsia="Times New Roman"/>
          <w:b w:val="0"/>
          <w:i w:val="0"/>
          <w:sz w:val="22"/>
        </w:rPr>
        <w:t>Примечание: в скобках робастные стандартные ошибки. *** p &lt; 0,01.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OLS коэффициент при загрязнении отрицателен и статистически значим: -1,2065. Это означает, что удвоение выбросов от стационарных источников на душу населения связано примерно со снижением ОПЖ на 1,2065 · ln 2 ≈ 0,84 года. В 2SLS оценка по модулю больше: -1,5840, что соответствует снижению примерно на 1,10 года при удвоении выбросов. Такой знак согласуется с H1 и с литературой о вреде долгосрочного воздействия загрязнения воздуха.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Коэффициент при ln_grp_pc положителен и значим в обеих baseline-спецификациях. Это поддерживает H2: при прочих равных более высокий региональный доход связан с большей ожидаемой продолжительностью жизни. Важно, что этот вывод относится к baseline без age_struct_share; возрастная структура проверяется отдельно, чтобы не смешивать контроль с потенциально outcome-related переменной.</w:t>
      </w:r>
    </w:p>
    <w:p>
      <w:pPr>
        <w:pStyle w:val="Heading1"/>
      </w:pPr>
      <w:r>
        <w:t>Первая ступень и reduced form</w:t>
      </w:r>
    </w:p>
    <w:p>
      <w:pPr>
        <w:pStyle w:val="CaptionCustom"/>
      </w:pPr>
      <w:r>
        <w:t>Таблица 3. Первая ступень и reduced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94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9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Первая ступень</w:t>
              <w:br/>
              <w:t>ln_emissions_h1_pc</w:t>
            </w:r>
          </w:p>
        </w:tc>
        <w:tc>
          <w:tcPr>
            <w:tcW w:type="dxa" w:w="249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Reduced form</w:t>
              <w:br/>
              <w:t>life_expectancy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ln_emp_mining_pc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0,3035***</w:t>
              <w:br/>
              <w:t>(0,1038)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-0,4808***</w:t>
              <w:br/>
              <w:t>(0,1706)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ln_grp_pc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0,7797**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1,0559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urban_share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0,0111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-0,0626**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ln_population_avg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-0,0649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1,0700***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Observations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F-statistic for instrument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8,5414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p-value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0,0045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0,0048</w:t>
            </w:r>
          </w:p>
        </w:tc>
      </w:tr>
    </w:tbl>
    <w:p/>
    <w:p>
      <w:pPr>
        <w:pStyle w:val="NoteCustom"/>
      </w:pPr>
      <w:r>
        <w:rPr>
          <w:rFonts w:ascii="Times New Roman" w:hAnsi="Times New Roman" w:eastAsia="Times New Roman"/>
          <w:b w:val="0"/>
          <w:i w:val="0"/>
          <w:sz w:val="22"/>
        </w:rPr>
        <w:t>Примечание: первая ступень оценена с HC1 standard errors.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Первая ступень показывает положительную и статистически значимую связь добычи с выбросами: π̂1 = 0,3035, p = 0,0035–0,0045 в зависимости от реализации теста. Это поддерживает H3 как условие релевантности инструмента. Однако F = 8,54 находится около распространённого правила большого пальца F &gt; 10 и ниже более строгих ориентиров Stock–Yogo. Поскольку используются robust covariance estimates, сравнение с классическими порогами Stock–Yogo следует трактовать эвристически. Поэтому инструмент лучше описывать как умеренно сильный или пограничный, но не как однозначно сильный.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Reduced form также имеет ожидаемый знак: регионы с большей занятостью в добыче имеют более низкую ОПЖ после тех же контролей (-0,4808, p = 0,0048). Это согласуется с общей IV-логикой, но не доказывает exclusion restriction.</w:t>
      </w:r>
    </w:p>
    <w:p>
      <w:pPr>
        <w:pStyle w:val="Heading1"/>
      </w:pPr>
      <w:r>
        <w:t>Диагностические тесты</w:t>
      </w:r>
    </w:p>
    <w:p>
      <w:pPr>
        <w:pStyle w:val="CaptionCustom"/>
      </w:pPr>
      <w:r>
        <w:t>Таблица 4. Сводка диагностических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871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Тест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H0</w:t>
            </w:r>
          </w:p>
        </w:tc>
        <w:tc>
          <w:tcPr>
            <w:tcW w:type="dxa" w:w="1871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Статистика</w:t>
            </w:r>
          </w:p>
        </w:tc>
        <w:tc>
          <w:tcPr>
            <w:tcW w:type="dxa" w:w="113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p-value</w:t>
            </w:r>
          </w:p>
        </w:tc>
        <w:tc>
          <w:tcPr>
            <w:tcW w:type="dxa" w:w="1871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Вывод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First stage relevance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π1 = 0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F(1,80) = 8,5414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0,0045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H0 отвергается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Wu–Hausman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загрязнение экзогенно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F(1,79) = 0,6806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0,4119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H0 не отвергается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Durbin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загрязнение экзогенно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χ²(1) = 0,7260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0,3942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H0 не отвергается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Sargan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restrictions hold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χ²(1) = 0,8726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0,3502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H0 не отвергается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Wu–Hausman и Durbin с preferred mining-IV не отвергают экзогенность ln_emissions_h1_pc. Это не означает, что экзогенность доказана: при N = 85 и пограничной силе инструмента тест может иметь ограниченную мощность. Поэтому результат интерпретируется как смешанное evidence on endogeneity. В базовой работе OLS остаётся полезной описательной оценкой, а 2SLS — осторожной попыткой учесть потенциальную эндогенность.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VIF-анализ не указывает на серьёзную мультиколлинеарность между регрессорами baseline: для всех объясняющих переменных VIF находится примерно в диапазоне 1,18–2,18. Тест Саргана применяется только в сверхидентифицированной спецификации с mining и energy instruments. H0 не отвергается (p = 0,3502), но это не доказывает валидность инструментов, особенно если потенциальное нарушение exclusion restriction у инструментов имеет похожую природу.</w:t>
      </w:r>
    </w:p>
    <w:p>
      <w:pPr>
        <w:pStyle w:val="Heading1"/>
      </w:pPr>
      <w:r>
        <w:t>Влиятельные наблюдения и робастность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Отдельно проверялись leverage и Cook’s distance. Baseline-оценки сохраняют все 85 наблюдений: регионы с высокой добычей и малыми населениями являются содержательно важной частью вариации, а не техническими ошибками. Наблюдения только помечаются в диагностике; удаление используется как robustness-check.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Наиболее влиятельным наблюдением является Ненецкий автономный округ. После исправления проблемы AO double counting его Cook’s distance равен 0,9614, leverage равен 0,4960. Это близко к строгому порогу Cook’s D &gt; 1 и существенно выше правила 4/n = 0,0471. Высокое влияние объясняется малым населением и экстремальными per-capita показателями добычи и выбросов.</w:t>
      </w:r>
    </w:p>
    <w:p>
      <w:pPr>
        <w:pStyle w:val="CaptionCustom"/>
      </w:pPr>
      <w:r>
        <w:t>Таблица 5. Robustness: возрастная структура и Ненецкий АО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340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Спецификация</w:t>
            </w:r>
          </w:p>
        </w:tc>
        <w:tc>
          <w:tcPr>
            <w:tcW w:type="dxa" w:w="79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OLS beta</w:t>
            </w:r>
          </w:p>
        </w:tc>
        <w:tc>
          <w:tcPr>
            <w:tcW w:type="dxa" w:w="113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OLS p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IV beta</w:t>
            </w:r>
          </w:p>
        </w:tc>
        <w:tc>
          <w:tcPr>
            <w:tcW w:type="dxa" w:w="113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IV p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Preferred baseline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-1,2065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-1,5840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0,0015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Добавлен age_struct_share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-1,1735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-1,6058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0,0008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Leave-one-out: Ненецкий АО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-1,0861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-1,4711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0,0026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Добавление переменной возрастной структуры и исключение Ненецкого АО не меняют основной знак результата: оценка эффекта загрязнения остаётся отрицательной и статистически значимой. Однако age_struct_share не интерпретируется как чистый экзогенный демографический контроль; это именно проверка чувствительности.</w:t>
      </w:r>
    </w:p>
    <w:p>
      <w:pPr>
        <w:pStyle w:val="Heading1"/>
      </w:pPr>
      <w:r>
        <w:t>Альтернативные инструменты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Дополнительно были проверены ln_emp_energy_pc и ln_emissions_fuel_pc. Эти инструменты могут быть более релевантными статистически, но экономически слабее с точки зрения exclusion restriction. Выбросы от сжигания топлива механически связаны с загрязнением и могут напрямую входить в pollution channel. Занятость в энергетике может влиять на ОПЖ не только через загрязнение, но и через доходы, инфраструктуру, структуру городов и качество рабочих мест. Поэтому они не рассматриваются как preferred instruments.</w:t>
      </w:r>
    </w:p>
    <w:p>
      <w:pPr>
        <w:pStyle w:val="CaptionCustom"/>
      </w:pPr>
      <w:r>
        <w:t>Таблица 6. Robustness: альтернативные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311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Инструменты</w:t>
            </w:r>
          </w:p>
        </w:tc>
        <w:tc>
          <w:tcPr>
            <w:tcW w:type="dxa" w:w="130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IV beta</w:t>
            </w:r>
          </w:p>
        </w:tc>
        <w:tc>
          <w:tcPr>
            <w:tcW w:type="dxa" w:w="130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First-stage F</w:t>
            </w:r>
          </w:p>
        </w:tc>
        <w:tc>
          <w:tcPr>
            <w:tcW w:type="dxa" w:w="113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Wu p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ln_emp_mining_pc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-1,5840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0,4802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8,5414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0,4119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ln_emp_energy_pc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-2,0811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0,5312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8,5632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0,0091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ln_emissions_fuel_pc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-2,0553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0,3087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69,2192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0,0000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Mining + energy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-1,9251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0,4267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5,2412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0,0128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Альтернативные инструменты дают тот же отрицательный знак для влияния загрязнения, но не должны использоваться как главный аргумент в пользу причинной интерпретации. Особенно сильная first stage у ln_emissions_fuel_pc не делает инструмент более убедительным: наоборот, его механическая близость к загрязнению делает exclusion restriction более сомнительным. Поэтому предпочтительным остаётся ln_emp_mining_pc, а результаты с альтернативными инструментами трактуются как дополнительная проверка устойчивости знака.</w:t>
      </w:r>
    </w:p>
    <w:p>
      <w:pPr>
        <w:pStyle w:val="Heading1"/>
      </w:pPr>
      <w:r>
        <w:t>Выводы по гипотезам</w:t>
      </w:r>
    </w:p>
    <w:p>
      <w:pPr>
        <w:pStyle w:val="CaptionCustom"/>
      </w:pPr>
      <w:r>
        <w:t>Таблица 7. Итоги проверки гипотез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35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Гипотеза</w:t>
            </w:r>
          </w:p>
        </w:tc>
        <w:tc>
          <w:tcPr>
            <w:tcW w:type="dxa" w:w="311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Проверка</w:t>
            </w:r>
          </w:p>
        </w:tc>
        <w:tc>
          <w:tcPr>
            <w:tcW w:type="dxa" w:w="311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Вывод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H1: рост выбросов связан со снижением ОПЖ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OLS beta = -1,2065; 2SLS beta = -1,5840; оба p-value &lt; 0,01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Поддерживается по знаку и значимости; причинная интерпретация осторожная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H2: доход положительно связан с ОПЖ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OLS beta for ln_grp_pc = 1,8119; 2SLS beta = 2,2909; оба p-value &lt; 0,01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Поддерживается в baseline; возрастная структура только robustness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H3: добыча связана с выбросами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π̂1 = 0,3035; F = 8,5414; p = 0,0045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Relevance поддерживается, но сила инструмента пограничная/умеренная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Основной результат работы состоит в том, что более высокие выбросы от стационарных источников на душу населения устойчиво связаны с более низкой ожидаемой продолжительностью жизни в регионах РФ. Знак сохраняется в OLS, baseline 2SLS, спецификации с возрастной структурой и leave-one-out проверке без Ненецкого АО. По масштабу baseline 2SLS предполагает, что удвоение выбросов связано со снижением ОПЖ примерно на 1,1 года.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Тем не менее результаты не следует формулировать как окончательное доказательство причинного эффекта. Инструмент ln_emp_mining_pc выглядит статистически релевантным и экономически более правдоподобным, чем альтернативные инструменты, но его сила не является бесспорно высокой. Тесты Wu–Hausman и Durbin не отвергают экзогенность загрязнения для preferred instrument, тогда как более статистически сильные альтернативные инструменты сами более сомнительны экономически. Поэтому корректный вывод: evidence is mixed, отрицательная связь хорошо поддерживается данными, но причинная интерпретация должна оставаться осторожной.</w:t>
      </w:r>
    </w:p>
    <w:p>
      <w:pPr>
        <w:pStyle w:val="Heading1"/>
      </w:pPr>
      <w:r>
        <w:t>Список литературы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Pope, C. A., Burnett, R. T., Thun, M. J., Calle, E. E., Krewski, D., Ito, K., Thurston, G. D. (2002). Lung cancer, cardiopulmonary mortality, and long-term exposure to fine particulate air pollution. JAMA.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Chen, Y., Ebenstein, A., Greenstone, M., Li, H. (2013). Evidence on the impact of sustained exposure to air pollution on life expectancy from China’s Huai River policy. PNAS.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Ebenstein, A., Fan, M., Greenstone, M., He, G., Zhou, M. (2017). New evidence on the impact of sustained exposure to air pollution on life expectancy from China’s Huai River Policy. PNAS.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Preston, S. H. (1975). The changing relation between mortality and level of economic development. Population Studies.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Ревич Б. А., Быков А. А. (1998). Загрязнение воздуха как фактор смертности в городах России.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Reshetin, V. P., Kazazyan, V. I. (2004). Public-health impact of outdoor air pollution in Russia.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Greenstone, M. (2002). The impacts of environmental regulations on industrial activity: Evidence from the 1970 and 1977 Clean Air Act Amendments.</w:t>
      </w:r>
    </w:p>
    <w:p>
      <w:pPr>
        <w:pStyle w:val="ListBullet"/>
        <w:ind w:left="397" w:hanging="142"/>
      </w:pPr>
      <w:r>
        <w:rPr>
          <w:rFonts w:ascii="Times New Roman" w:hAnsi="Times New Roman" w:eastAsia="Times New Roman"/>
          <w:sz w:val="22"/>
        </w:rPr>
        <w:t>Chay, K. Y., Greenstone, M. (2003). Air quality, infant mortality, and the Clean Air Act of 1970.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120" w:after="60"/>
      <w:jc w:val="center"/>
    </w:pPr>
    <w:rPr>
      <w:rFonts w:ascii="Times New Roman" w:hAnsi="Times New Roman" w:eastAsia="Times New Roman"/>
      <w:b/>
      <w:sz w:val="20"/>
    </w:rPr>
  </w:style>
  <w:style w:type="paragraph" w:customStyle="1" w:styleId="NoteCustom">
    <w:name w:val="NoteCustom"/>
    <w:pPr>
      <w:spacing w:after="80"/>
    </w:pPr>
    <w:rPr>
      <w:rFonts w:ascii="Times New Roman" w:hAnsi="Times New Roman" w:eastAsia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