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spacing w:before="3"/>
        <w:rPr>
          <w:rFonts w:ascii="Times New Roman"/>
          <w:sz w:val="12"/>
        </w:rPr>
      </w:pPr>
    </w:p>
    <w:p>
      <w:pPr>
        <w:pStyle w:val="BodyText"/>
        <w:ind w:left="3017"/>
        <w:rPr>
          <w:rFonts w:ascii="Times New Roman"/>
          <w:sz w:val="20"/>
        </w:rPr>
      </w:pPr>
      <w:r>
        <w:rPr>
          <w:rFonts w:ascii="Times New Roman"/>
          <w:sz w:val="20"/>
        </w:rPr>
        <w:drawing>
          <wp:inline distT="0" distB="0" distL="0" distR="0">
            <wp:extent cx="2347379" cy="2346960"/>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2347379" cy="2346960"/>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15"/>
        </w:rPr>
      </w:pPr>
    </w:p>
    <w:p>
      <w:pPr>
        <w:pStyle w:val="Heading2"/>
        <w:spacing w:line="811" w:lineRule="exact"/>
        <w:ind w:right="461"/>
      </w:pPr>
      <w:r>
        <w:rPr/>
        <w:t>双清论坛操作手册</w:t>
      </w:r>
    </w:p>
    <w:p>
      <w:pPr>
        <w:pStyle w:val="BodyText"/>
        <w:spacing w:before="14"/>
        <w:rPr>
          <w:rFonts w:ascii="方正小标宋简体"/>
          <w:b/>
          <w:sz w:val="31"/>
        </w:rPr>
      </w:pPr>
    </w:p>
    <w:p>
      <w:pPr>
        <w:spacing w:before="1"/>
        <w:ind w:left="0" w:right="458" w:firstLine="0"/>
        <w:jc w:val="center"/>
        <w:rPr>
          <w:rFonts w:ascii="方正小标宋简体" w:eastAsia="方正小标宋简体" w:hint="eastAsia"/>
          <w:b/>
          <w:sz w:val="48"/>
        </w:rPr>
      </w:pPr>
      <w:r>
        <w:rPr>
          <w:rFonts w:ascii="方正小标宋简体" w:eastAsia="方正小标宋简体" w:hint="eastAsia"/>
          <w:b/>
          <w:sz w:val="48"/>
        </w:rPr>
        <w:t>（2020 年版）</w:t>
      </w:r>
    </w:p>
    <w:p>
      <w:pPr>
        <w:pStyle w:val="BodyText"/>
        <w:rPr>
          <w:rFonts w:ascii="方正小标宋简体"/>
          <w:b/>
          <w:sz w:val="56"/>
        </w:rPr>
      </w:pPr>
    </w:p>
    <w:p>
      <w:pPr>
        <w:pStyle w:val="BodyText"/>
        <w:rPr>
          <w:rFonts w:ascii="方正小标宋简体"/>
          <w:b/>
          <w:sz w:val="56"/>
        </w:rPr>
      </w:pPr>
    </w:p>
    <w:p>
      <w:pPr>
        <w:pStyle w:val="BodyText"/>
        <w:rPr>
          <w:rFonts w:ascii="方正小标宋简体"/>
          <w:b/>
          <w:sz w:val="56"/>
        </w:rPr>
      </w:pPr>
    </w:p>
    <w:p>
      <w:pPr>
        <w:pStyle w:val="BodyText"/>
        <w:spacing w:before="15"/>
        <w:rPr>
          <w:rFonts w:ascii="方正小标宋简体"/>
          <w:b/>
          <w:sz w:val="41"/>
        </w:rPr>
      </w:pPr>
    </w:p>
    <w:p>
      <w:pPr>
        <w:pStyle w:val="Heading4"/>
        <w:spacing w:line="369" w:lineRule="auto" w:before="1"/>
        <w:ind w:left="3879" w:right="4260" w:firstLine="513"/>
        <w:jc w:val="left"/>
        <w:rPr>
          <w:rFonts w:ascii="华文中宋" w:eastAsia="华文中宋" w:hint="eastAsia"/>
        </w:rPr>
      </w:pPr>
      <w:r>
        <w:rPr>
          <w:rFonts w:ascii="华文中宋" w:eastAsia="华文中宋" w:hint="eastAsia"/>
        </w:rPr>
        <w:t>政策局2020 年 3 月</w:t>
      </w:r>
    </w:p>
    <w:p>
      <w:pPr>
        <w:spacing w:after="0" w:line="369" w:lineRule="auto"/>
        <w:jc w:val="left"/>
        <w:rPr>
          <w:rFonts w:ascii="华文中宋" w:eastAsia="华文中宋" w:hint="eastAsia"/>
        </w:rPr>
        <w:sectPr>
          <w:type w:val="continuous"/>
          <w:pgSz w:w="11910" w:h="16840"/>
          <w:pgMar w:top="1580" w:bottom="280" w:left="1020" w:right="560"/>
        </w:sectPr>
      </w:pPr>
    </w:p>
    <w:p>
      <w:pPr>
        <w:pStyle w:val="BodyText"/>
        <w:spacing w:before="9"/>
        <w:rPr>
          <w:rFonts w:ascii="华文中宋"/>
          <w:b/>
          <w:sz w:val="12"/>
        </w:rPr>
      </w:pPr>
    </w:p>
    <w:p>
      <w:pPr>
        <w:spacing w:after="0"/>
        <w:rPr>
          <w:rFonts w:ascii="华文中宋"/>
          <w:sz w:val="12"/>
        </w:rPr>
        <w:sectPr>
          <w:pgSz w:w="11910" w:h="16840"/>
          <w:pgMar w:top="1580" w:bottom="280" w:left="1020" w:right="560"/>
        </w:sectPr>
      </w:pPr>
    </w:p>
    <w:p>
      <w:pPr>
        <w:tabs>
          <w:tab w:pos="883" w:val="left" w:leader="none"/>
        </w:tabs>
        <w:spacing w:line="739" w:lineRule="exact" w:before="0"/>
        <w:ind w:left="0" w:right="460" w:firstLine="0"/>
        <w:jc w:val="center"/>
        <w:rPr>
          <w:rFonts w:ascii="方正小标宋简体" w:eastAsia="方正小标宋简体" w:hint="eastAsia"/>
          <w:b/>
          <w:sz w:val="44"/>
        </w:rPr>
      </w:pPr>
      <w:r>
        <w:rPr>
          <w:rFonts w:ascii="方正小标宋简体" w:eastAsia="方正小标宋简体" w:hint="eastAsia"/>
          <w:b/>
          <w:sz w:val="44"/>
        </w:rPr>
        <w:t>目</w:t>
        <w:tab/>
        <w:t>录</w:t>
      </w:r>
    </w:p>
    <w:p>
      <w:pPr>
        <w:spacing w:after="0" w:line="739" w:lineRule="exact"/>
        <w:jc w:val="center"/>
        <w:rPr>
          <w:rFonts w:ascii="方正小标宋简体" w:eastAsia="方正小标宋简体" w:hint="eastAsia"/>
          <w:sz w:val="44"/>
        </w:rPr>
        <w:sectPr>
          <w:pgSz w:w="11910" w:h="16840"/>
          <w:pgMar w:top="1540" w:bottom="1938" w:left="1020" w:right="560"/>
        </w:sectPr>
      </w:pPr>
    </w:p>
    <w:sdt>
      <w:sdtPr>
        <w:docPartObj>
          <w:docPartGallery w:val="Table of Contents"/>
          <w:docPartUnique/>
        </w:docPartObj>
      </w:sdtPr>
      <w:sdtEndPr/>
      <w:sdtContent>
        <w:p>
          <w:pPr>
            <w:pStyle w:val="TOC2"/>
            <w:tabs>
              <w:tab w:pos="9079" w:val="right" w:leader="dot"/>
            </w:tabs>
            <w:spacing w:before="556"/>
            <w:rPr>
              <w:rFonts w:ascii="Calibri" w:eastAsia="Calibri"/>
            </w:rPr>
          </w:pPr>
          <w:hyperlink w:history="true" w:anchor="_TOC_250026">
            <w:r>
              <w:rPr/>
              <w:t>国家自然科学基金委员会双清论坛管理办法</w:t>
              <w:tab/>
            </w:r>
            <w:r>
              <w:rPr>
                <w:rFonts w:ascii="Calibri" w:eastAsia="Calibri"/>
              </w:rPr>
              <w:t>1</w:t>
            </w:r>
          </w:hyperlink>
        </w:p>
        <w:p>
          <w:pPr>
            <w:pStyle w:val="TOC2"/>
            <w:tabs>
              <w:tab w:pos="9079" w:val="right" w:leader="dot"/>
            </w:tabs>
            <w:spacing w:before="212"/>
            <w:rPr>
              <w:rFonts w:ascii="Calibri" w:eastAsia="Calibri"/>
            </w:rPr>
          </w:pPr>
          <w:hyperlink w:history="true" w:anchor="_TOC_250025">
            <w:r>
              <w:rPr/>
              <w:t>国家自然科学基金委员会会议费管理办法（</w:t>
            </w:r>
            <w:r>
              <w:rPr>
                <w:spacing w:val="3"/>
              </w:rPr>
              <w:t>试</w:t>
            </w:r>
            <w:r>
              <w:rPr/>
              <w:t>行）</w:t>
              <w:tab/>
            </w:r>
            <w:r>
              <w:rPr>
                <w:rFonts w:ascii="Calibri" w:eastAsia="Calibri"/>
              </w:rPr>
              <w:t>7</w:t>
            </w:r>
          </w:hyperlink>
        </w:p>
        <w:p>
          <w:pPr>
            <w:pStyle w:val="TOC2"/>
            <w:tabs>
              <w:tab w:pos="9076" w:val="right" w:leader="dot"/>
            </w:tabs>
            <w:spacing w:before="211"/>
            <w:rPr>
              <w:rFonts w:ascii="Calibri" w:eastAsia="Calibri"/>
            </w:rPr>
          </w:pPr>
          <w:hyperlink w:history="true" w:anchor="_TOC_250024">
            <w:r>
              <w:rPr/>
              <w:t>中央和国家机关会议费管理办法</w:t>
              <w:tab/>
            </w:r>
            <w:r>
              <w:rPr>
                <w:rFonts w:ascii="Calibri" w:eastAsia="Calibri"/>
              </w:rPr>
              <w:t>14</w:t>
            </w:r>
          </w:hyperlink>
        </w:p>
        <w:p>
          <w:pPr>
            <w:pStyle w:val="TOC2"/>
            <w:tabs>
              <w:tab w:pos="9073" w:val="right" w:leader="dot"/>
            </w:tabs>
            <w:spacing w:before="212"/>
            <w:rPr>
              <w:rFonts w:ascii="Calibri" w:eastAsia="Calibri"/>
            </w:rPr>
          </w:pPr>
          <w:hyperlink w:history="true" w:anchor="_TOC_250023">
            <w:r>
              <w:rPr/>
              <w:t>双清论坛操作流程与要求</w:t>
              <w:tab/>
            </w:r>
            <w:r>
              <w:rPr>
                <w:rFonts w:ascii="Calibri" w:eastAsia="Calibri"/>
                <w:spacing w:val="-4"/>
              </w:rPr>
              <w:t>26</w:t>
            </w:r>
          </w:hyperlink>
        </w:p>
        <w:p>
          <w:pPr>
            <w:pStyle w:val="TOC3"/>
            <w:spacing w:before="286"/>
          </w:pPr>
          <w:r>
            <w:rPr>
              <w:spacing w:val="-16"/>
            </w:rPr>
            <w:t>一、会前 </w:t>
          </w:r>
          <w:r>
            <w:rPr/>
            <w:t>1-2</w:t>
          </w:r>
          <w:r>
            <w:rPr>
              <w:spacing w:val="-9"/>
            </w:rPr>
            <w:t> 个月：确定论坛执行主席、组建学术秘书组、遴</w:t>
          </w:r>
        </w:p>
        <w:p>
          <w:pPr>
            <w:pStyle w:val="TOC3"/>
            <w:tabs>
              <w:tab w:pos="9073" w:val="right" w:leader="dot"/>
            </w:tabs>
            <w:rPr>
              <w:rFonts w:ascii="Calibri" w:eastAsia="Calibri"/>
            </w:rPr>
          </w:pPr>
          <w:r>
            <w:rPr/>
            <w:t>选会议代表、发布会议预通知</w:t>
            <w:tab/>
          </w:r>
          <w:r>
            <w:rPr>
              <w:rFonts w:ascii="Calibri" w:eastAsia="Calibri"/>
              <w:spacing w:val="-4"/>
            </w:rPr>
            <w:t>26</w:t>
          </w:r>
        </w:p>
        <w:p>
          <w:pPr>
            <w:pStyle w:val="TOC3"/>
            <w:spacing w:before="239"/>
          </w:pPr>
          <w:r>
            <w:rPr>
              <w:spacing w:val="-15"/>
            </w:rPr>
            <w:t>二、会前 </w:t>
          </w:r>
          <w:r>
            <w:rPr/>
            <w:t>2</w:t>
          </w:r>
          <w:r>
            <w:rPr>
              <w:spacing w:val="-9"/>
            </w:rPr>
            <w:t> 周：确定与会专家名单、初步拟定论坛议程安排、</w:t>
          </w:r>
        </w:p>
        <w:p>
          <w:pPr>
            <w:pStyle w:val="TOC3"/>
            <w:tabs>
              <w:tab w:pos="9076" w:val="right" w:leader="dot"/>
            </w:tabs>
            <w:rPr>
              <w:rFonts w:ascii="Calibri" w:eastAsia="Calibri"/>
            </w:rPr>
          </w:pPr>
          <w:r>
            <w:rPr/>
            <w:t>发送正式邀请函</w:t>
            <w:tab/>
          </w:r>
          <w:r>
            <w:rPr>
              <w:rFonts w:ascii="Calibri" w:eastAsia="Calibri"/>
            </w:rPr>
            <w:t>29</w:t>
          </w:r>
        </w:p>
        <w:p>
          <w:pPr>
            <w:pStyle w:val="TOC3"/>
            <w:tabs>
              <w:tab w:pos="9076" w:val="right" w:leader="dot"/>
            </w:tabs>
            <w:rPr>
              <w:rFonts w:ascii="Calibri" w:eastAsia="Calibri"/>
            </w:rPr>
          </w:pPr>
          <w:hyperlink w:history="true" w:anchor="_TOC_250022">
            <w:r>
              <w:rPr/>
              <w:t>三、会前</w:t>
            </w:r>
            <w:r>
              <w:rPr>
                <w:spacing w:val="-75"/>
              </w:rPr>
              <w:t> </w:t>
            </w:r>
            <w:r>
              <w:rPr/>
              <w:t>1</w:t>
            </w:r>
            <w:r>
              <w:rPr>
                <w:spacing w:val="-77"/>
              </w:rPr>
              <w:t> </w:t>
            </w:r>
            <w:r>
              <w:rPr/>
              <w:t>周：完成论坛筹备、报送会议预算</w:t>
              <w:tab/>
            </w:r>
            <w:r>
              <w:rPr>
                <w:rFonts w:ascii="Calibri" w:eastAsia="Calibri"/>
              </w:rPr>
              <w:t>29</w:t>
            </w:r>
          </w:hyperlink>
        </w:p>
        <w:p>
          <w:pPr>
            <w:pStyle w:val="TOC3"/>
            <w:tabs>
              <w:tab w:pos="9076" w:val="right" w:leader="dot"/>
            </w:tabs>
            <w:rPr>
              <w:rFonts w:ascii="Calibri" w:eastAsia="Calibri"/>
            </w:rPr>
          </w:pPr>
          <w:hyperlink w:history="true" w:anchor="_TOC_250021">
            <w:r>
              <w:rPr/>
              <w:t>四、会议期间：建议召开筹备会、落实论坛相关要求</w:t>
              <w:tab/>
            </w:r>
            <w:r>
              <w:rPr>
                <w:rFonts w:ascii="Calibri" w:eastAsia="Calibri"/>
              </w:rPr>
              <w:t>30</w:t>
            </w:r>
          </w:hyperlink>
        </w:p>
        <w:p>
          <w:pPr>
            <w:pStyle w:val="TOC3"/>
            <w:tabs>
              <w:tab w:pos="9076" w:val="right" w:leader="dot"/>
            </w:tabs>
            <w:spacing w:before="239"/>
            <w:rPr>
              <w:rFonts w:ascii="Calibri" w:eastAsia="Calibri"/>
            </w:rPr>
          </w:pPr>
          <w:hyperlink w:history="true" w:anchor="_TOC_250020">
            <w:r>
              <w:rPr/>
              <w:t>五、会后：完成会议成果文件、做好论坛成果传播</w:t>
              <w:tab/>
            </w:r>
            <w:r>
              <w:rPr>
                <w:rFonts w:ascii="Calibri" w:eastAsia="Calibri"/>
              </w:rPr>
              <w:t>31</w:t>
            </w:r>
          </w:hyperlink>
        </w:p>
        <w:p>
          <w:pPr>
            <w:pStyle w:val="TOC3"/>
            <w:tabs>
              <w:tab w:pos="9076" w:val="right" w:leader="dot"/>
            </w:tabs>
            <w:rPr>
              <w:rFonts w:ascii="Calibri" w:eastAsia="Calibri"/>
            </w:rPr>
          </w:pPr>
          <w:hyperlink w:history="true" w:anchor="_TOC_250019">
            <w:r>
              <w:rPr/>
              <w:t>六、会后：尽快完成财务结算</w:t>
              <w:tab/>
            </w:r>
            <w:r>
              <w:rPr>
                <w:rFonts w:ascii="Calibri" w:eastAsia="Calibri"/>
              </w:rPr>
              <w:t>32</w:t>
            </w:r>
          </w:hyperlink>
        </w:p>
        <w:p>
          <w:pPr>
            <w:pStyle w:val="TOC3"/>
            <w:tabs>
              <w:tab w:pos="9076" w:val="right" w:leader="dot"/>
            </w:tabs>
            <w:spacing w:before="239"/>
            <w:rPr>
              <w:rFonts w:ascii="Calibri" w:eastAsia="Calibri"/>
            </w:rPr>
          </w:pPr>
          <w:hyperlink w:history="true" w:anchor="_TOC_250018">
            <w:r>
              <w:rPr/>
              <w:t>七、双清论坛组织举办的相关要求</w:t>
              <w:tab/>
            </w:r>
            <w:r>
              <w:rPr>
                <w:rFonts w:ascii="Calibri" w:eastAsia="Calibri"/>
              </w:rPr>
              <w:t>32</w:t>
            </w:r>
          </w:hyperlink>
        </w:p>
        <w:p>
          <w:pPr>
            <w:pStyle w:val="TOC2"/>
            <w:tabs>
              <w:tab w:pos="9076" w:val="right" w:leader="dot"/>
            </w:tabs>
            <w:rPr>
              <w:rFonts w:ascii="Calibri" w:eastAsia="Calibri"/>
            </w:rPr>
          </w:pPr>
          <w:hyperlink w:history="true" w:anchor="_TOC_250017">
            <w:r>
              <w:rPr/>
              <w:t>双清论坛成果格式要求</w:t>
              <w:tab/>
            </w:r>
            <w:r>
              <w:rPr>
                <w:rFonts w:ascii="Calibri" w:eastAsia="Calibri"/>
              </w:rPr>
              <w:t>34</w:t>
            </w:r>
          </w:hyperlink>
        </w:p>
        <w:p>
          <w:pPr>
            <w:pStyle w:val="TOC3"/>
            <w:tabs>
              <w:tab w:pos="9081" w:val="right" w:leader="dot"/>
            </w:tabs>
            <w:spacing w:before="285"/>
            <w:rPr>
              <w:rFonts w:ascii="宋体" w:eastAsia="宋体" w:hint="eastAsia"/>
            </w:rPr>
          </w:pPr>
          <w:hyperlink w:history="true" w:anchor="_TOC_250016">
            <w:r>
              <w:rPr>
                <w:rFonts w:ascii="宋体" w:eastAsia="宋体" w:hint="eastAsia"/>
              </w:rPr>
              <w:t>（一）会议纪要提纲及要求</w:t>
              <w:tab/>
              <w:t>34</w:t>
            </w:r>
          </w:hyperlink>
        </w:p>
        <w:p>
          <w:pPr>
            <w:pStyle w:val="TOC3"/>
            <w:tabs>
              <w:tab w:pos="9081" w:val="right" w:leader="dot"/>
            </w:tabs>
            <w:rPr>
              <w:rFonts w:ascii="宋体" w:eastAsia="宋体" w:hint="eastAsia"/>
            </w:rPr>
          </w:pPr>
          <w:hyperlink w:history="true" w:anchor="_TOC_250015">
            <w:r>
              <w:rPr>
                <w:rFonts w:ascii="宋体" w:eastAsia="宋体" w:hint="eastAsia"/>
              </w:rPr>
              <w:t>（二）学术综述提纲及要求</w:t>
              <w:tab/>
              <w:t>34</w:t>
            </w:r>
          </w:hyperlink>
        </w:p>
        <w:p>
          <w:pPr>
            <w:pStyle w:val="TOC2"/>
            <w:tabs>
              <w:tab w:pos="9076" w:val="right" w:leader="dot"/>
            </w:tabs>
            <w:rPr>
              <w:rFonts w:ascii="Calibri" w:eastAsia="Calibri"/>
            </w:rPr>
          </w:pPr>
          <w:hyperlink w:history="true" w:anchor="_TOC_250014">
            <w:r>
              <w:rPr/>
              <w:t>附件：双清论坛相关参考材料</w:t>
              <w:tab/>
            </w:r>
            <w:r>
              <w:rPr>
                <w:rFonts w:ascii="Calibri" w:eastAsia="Calibri"/>
              </w:rPr>
              <w:t>36</w:t>
            </w:r>
          </w:hyperlink>
        </w:p>
        <w:p>
          <w:pPr>
            <w:pStyle w:val="TOC3"/>
            <w:tabs>
              <w:tab w:pos="9069" w:val="right" w:leader="dot"/>
            </w:tabs>
            <w:spacing w:before="285" w:after="20"/>
            <w:rPr>
              <w:rFonts w:ascii="Calibri" w:eastAsia="Calibri"/>
            </w:rPr>
          </w:pPr>
          <w:hyperlink w:history="true" w:anchor="_TOC_250013">
            <w:r>
              <w:rPr/>
              <w:t>附件一：预通知和正式通知样稿</w:t>
              <w:tab/>
            </w:r>
            <w:r>
              <w:rPr>
                <w:rFonts w:ascii="Calibri" w:eastAsia="Calibri"/>
                <w:spacing w:val="-9"/>
              </w:rPr>
              <w:t>37</w:t>
            </w:r>
          </w:hyperlink>
        </w:p>
        <w:p>
          <w:pPr>
            <w:pStyle w:val="TOC1"/>
            <w:tabs>
              <w:tab w:pos="7578" w:val="left" w:leader="dot"/>
            </w:tabs>
            <w:spacing w:before="39"/>
          </w:pPr>
          <w:hyperlink w:history="true" w:anchor="_TOC_250012">
            <w:r>
              <w:rPr/>
              <w:t>1、预通知</w:t>
              <w:tab/>
              <w:t>38</w:t>
            </w:r>
          </w:hyperlink>
        </w:p>
        <w:p>
          <w:pPr>
            <w:pStyle w:val="TOC1"/>
            <w:tabs>
              <w:tab w:pos="7578" w:val="left" w:leader="dot"/>
            </w:tabs>
          </w:pPr>
          <w:hyperlink w:history="true" w:anchor="_TOC_250011">
            <w:r>
              <w:rPr/>
              <w:t>2、正式通知</w:t>
              <w:tab/>
              <w:t>45</w:t>
            </w:r>
          </w:hyperlink>
        </w:p>
        <w:p>
          <w:pPr>
            <w:pStyle w:val="TOC3"/>
            <w:tabs>
              <w:tab w:pos="8773" w:val="left" w:leader="dot"/>
            </w:tabs>
            <w:rPr>
              <w:rFonts w:ascii="Calibri" w:eastAsia="Calibri"/>
            </w:rPr>
          </w:pPr>
          <w:hyperlink w:history="true" w:anchor="_TOC_250010">
            <w:r>
              <w:rPr/>
              <w:t>附件二：会议手册模板</w:t>
              <w:tab/>
            </w:r>
            <w:r>
              <w:rPr>
                <w:rFonts w:ascii="Calibri" w:eastAsia="Calibri"/>
              </w:rPr>
              <w:t>48</w:t>
            </w:r>
          </w:hyperlink>
        </w:p>
        <w:p>
          <w:pPr>
            <w:pStyle w:val="TOC1"/>
            <w:tabs>
              <w:tab w:pos="7578" w:val="left" w:leader="dot"/>
            </w:tabs>
            <w:spacing w:before="239"/>
          </w:pPr>
          <w:r>
            <w:rPr/>
            <w:t>（一）设分会场的会议日程模板</w:t>
            <w:tab/>
            <w:t>49</w:t>
          </w:r>
        </w:p>
        <w:p>
          <w:pPr>
            <w:pStyle w:val="TOC1"/>
            <w:tabs>
              <w:tab w:pos="7578" w:val="left" w:leader="dot"/>
            </w:tabs>
          </w:pPr>
          <w:r>
            <w:rPr/>
            <w:t>（二）不设分会场的会议日程模板</w:t>
            <w:tab/>
            <w:t>61</w:t>
          </w:r>
        </w:p>
        <w:p>
          <w:pPr>
            <w:pStyle w:val="TOC3"/>
            <w:tabs>
              <w:tab w:pos="8781" w:val="left" w:leader="dot"/>
            </w:tabs>
            <w:spacing w:before="239"/>
            <w:rPr>
              <w:rFonts w:ascii="Calibri" w:eastAsia="Calibri"/>
            </w:rPr>
          </w:pPr>
          <w:hyperlink w:history="true" w:anchor="_TOC_250009">
            <w:r>
              <w:rPr/>
              <w:t>附件三：会议纪要和学术综述样稿</w:t>
              <w:tab/>
            </w:r>
            <w:r>
              <w:rPr>
                <w:rFonts w:ascii="Calibri" w:eastAsia="Calibri"/>
                <w:spacing w:val="-6"/>
              </w:rPr>
              <w:t>72</w:t>
            </w:r>
          </w:hyperlink>
        </w:p>
        <w:p>
          <w:pPr>
            <w:pStyle w:val="TOC1"/>
            <w:tabs>
              <w:tab w:pos="7578" w:val="left" w:leader="dot"/>
            </w:tabs>
            <w:spacing w:before="241"/>
          </w:pPr>
          <w:hyperlink w:history="true" w:anchor="_TOC_250008">
            <w:r>
              <w:rPr/>
              <w:t>1、双清论坛会议纪要样稿（一）</w:t>
              <w:tab/>
              <w:t>73</w:t>
            </w:r>
          </w:hyperlink>
        </w:p>
        <w:p>
          <w:pPr>
            <w:pStyle w:val="TOC1"/>
            <w:tabs>
              <w:tab w:pos="7578" w:val="left" w:leader="dot"/>
            </w:tabs>
            <w:spacing w:before="239"/>
          </w:pPr>
          <w:hyperlink w:history="true" w:anchor="_TOC_250007">
            <w:r>
              <w:rPr/>
              <w:t>2、双清论坛会议纪要样稿（二）</w:t>
              <w:tab/>
              <w:t>82</w:t>
            </w:r>
          </w:hyperlink>
        </w:p>
        <w:p>
          <w:pPr>
            <w:pStyle w:val="TOC1"/>
            <w:tabs>
              <w:tab w:pos="7578" w:val="left" w:leader="dot"/>
            </w:tabs>
          </w:pPr>
          <w:hyperlink w:history="true" w:anchor="_TOC_250006">
            <w:r>
              <w:rPr>
                <w:spacing w:val="1"/>
              </w:rPr>
              <w:t>3</w:t>
            </w:r>
            <w:r>
              <w:rPr/>
              <w:t>、学术综述样稿（</w:t>
            </w:r>
            <w:r>
              <w:rPr>
                <w:spacing w:val="2"/>
              </w:rPr>
              <w:t>一</w:t>
            </w:r>
            <w:r>
              <w:rPr>
                <w:spacing w:val="-152"/>
              </w:rPr>
              <w:t>）</w:t>
            </w:r>
            <w:r>
              <w:rPr/>
              <w:t>（刊载《中国科学基</w:t>
            </w:r>
            <w:r>
              <w:rPr>
                <w:spacing w:val="2"/>
              </w:rPr>
              <w:t>金</w:t>
            </w:r>
            <w:r>
              <w:rPr>
                <w:spacing w:val="-152"/>
              </w:rPr>
              <w:t>》</w:t>
            </w:r>
            <w:r>
              <w:rPr/>
              <w:t>）</w:t>
            </w:r>
            <w:r>
              <w:rPr>
                <w:rFonts w:ascii="Times New Roman" w:eastAsia="Times New Roman"/>
                <w:b/>
              </w:rPr>
              <w:t> </w:t>
              <w:tab/>
            </w:r>
            <w:r>
              <w:rPr>
                <w:spacing w:val="1"/>
              </w:rPr>
              <w:t>93</w:t>
            </w:r>
          </w:hyperlink>
        </w:p>
        <w:p>
          <w:pPr>
            <w:pStyle w:val="TOC1"/>
            <w:tabs>
              <w:tab w:pos="7427" w:val="left" w:leader="dot"/>
            </w:tabs>
          </w:pPr>
          <w:hyperlink w:history="true" w:anchor="_TOC_250005">
            <w:r>
              <w:rPr>
                <w:spacing w:val="1"/>
              </w:rPr>
              <w:t>4</w:t>
            </w:r>
            <w:r>
              <w:rPr/>
              <w:t>、学术综述样稿（</w:t>
            </w:r>
            <w:r>
              <w:rPr>
                <w:spacing w:val="2"/>
              </w:rPr>
              <w:t>二</w:t>
            </w:r>
            <w:r>
              <w:rPr>
                <w:spacing w:val="-152"/>
              </w:rPr>
              <w:t>）</w:t>
            </w:r>
            <w:r>
              <w:rPr/>
              <w:t>（刊载《学科政策动</w:t>
            </w:r>
            <w:r>
              <w:rPr>
                <w:spacing w:val="2"/>
              </w:rPr>
              <w:t>态</w:t>
            </w:r>
            <w:r>
              <w:rPr>
                <w:spacing w:val="-152"/>
              </w:rPr>
              <w:t>》</w:t>
            </w:r>
            <w:r>
              <w:rPr/>
              <w:t>）</w:t>
            </w:r>
            <w:r>
              <w:rPr>
                <w:rFonts w:ascii="Times New Roman" w:eastAsia="Times New Roman"/>
                <w:b/>
              </w:rPr>
              <w:t> </w:t>
              <w:tab/>
            </w:r>
            <w:r>
              <w:rPr>
                <w:spacing w:val="1"/>
              </w:rPr>
              <w:t>119</w:t>
            </w:r>
          </w:hyperlink>
        </w:p>
        <w:p>
          <w:pPr>
            <w:pStyle w:val="TOC3"/>
            <w:tabs>
              <w:tab w:pos="8622" w:val="left" w:leader="dot"/>
            </w:tabs>
            <w:spacing w:before="239"/>
            <w:rPr>
              <w:rFonts w:ascii="Calibri" w:eastAsia="Calibri"/>
            </w:rPr>
          </w:pPr>
          <w:hyperlink w:history="true" w:anchor="_TOC_250004">
            <w:r>
              <w:rPr/>
              <w:t>附件四：新闻稿样稿</w:t>
              <w:tab/>
            </w:r>
            <w:r>
              <w:rPr>
                <w:rFonts w:ascii="Calibri" w:eastAsia="Calibri"/>
              </w:rPr>
              <w:t>141</w:t>
            </w:r>
          </w:hyperlink>
        </w:p>
        <w:p>
          <w:pPr>
            <w:pStyle w:val="TOC1"/>
            <w:ind w:right="123"/>
          </w:pPr>
          <w:r>
            <w:rPr/>
            <w:t>第 248 期双清论坛“复合材料构件制造关键基础科学问题”</w:t>
          </w:r>
        </w:p>
        <w:p>
          <w:pPr>
            <w:pStyle w:val="TOC1"/>
            <w:tabs>
              <w:tab w:pos="7427" w:val="left" w:leader="dot"/>
            </w:tabs>
          </w:pPr>
          <w:r>
            <w:rPr/>
            <w:t>在京召开</w:t>
            <w:tab/>
            <w:t>141</w:t>
          </w:r>
        </w:p>
        <w:p>
          <w:pPr>
            <w:pStyle w:val="TOC3"/>
            <w:tabs>
              <w:tab w:pos="8622" w:val="left" w:leader="dot"/>
            </w:tabs>
            <w:spacing w:before="239"/>
            <w:rPr>
              <w:rFonts w:ascii="Calibri" w:eastAsia="Calibri"/>
            </w:rPr>
          </w:pPr>
          <w:hyperlink w:history="true" w:anchor="_TOC_250003">
            <w:r>
              <w:rPr/>
              <w:t>附件五：财务报销材料样稿</w:t>
              <w:tab/>
            </w:r>
            <w:r>
              <w:rPr>
                <w:rFonts w:ascii="Calibri" w:eastAsia="Calibri"/>
              </w:rPr>
              <w:t>143</w:t>
            </w:r>
          </w:hyperlink>
        </w:p>
        <w:p>
          <w:pPr>
            <w:pStyle w:val="TOC1"/>
            <w:tabs>
              <w:tab w:pos="7427" w:val="left" w:leader="dot"/>
            </w:tabs>
          </w:pPr>
          <w:hyperlink w:history="true" w:anchor="_TOC_250002">
            <w:r>
              <w:rPr/>
              <w:t>1、发票（请填写单位名称和纳税人识别号）</w:t>
              <w:tab/>
              <w:t>143</w:t>
            </w:r>
          </w:hyperlink>
        </w:p>
        <w:p>
          <w:pPr>
            <w:pStyle w:val="TOC1"/>
            <w:tabs>
              <w:tab w:pos="7427" w:val="left" w:leader="dot"/>
            </w:tabs>
          </w:pPr>
          <w:r>
            <w:rPr/>
            <w:t>2、会议支出详细清单</w:t>
            <w:tab/>
            <w:t>144</w:t>
          </w:r>
        </w:p>
        <w:p>
          <w:pPr>
            <w:pStyle w:val="TOC1"/>
            <w:tabs>
              <w:tab w:pos="7427" w:val="left" w:leader="dot"/>
            </w:tabs>
            <w:spacing w:before="239"/>
          </w:pPr>
          <w:hyperlink w:history="true" w:anchor="_TOC_250001">
            <w:r>
              <w:rPr/>
              <w:t>3、政府采购电子结算单</w:t>
              <w:tab/>
              <w:t>147</w:t>
            </w:r>
          </w:hyperlink>
        </w:p>
        <w:p>
          <w:pPr>
            <w:pStyle w:val="TOC3"/>
            <w:tabs>
              <w:tab w:pos="8622" w:val="left" w:leader="dot"/>
            </w:tabs>
            <w:rPr>
              <w:rFonts w:ascii="Calibri" w:eastAsia="Calibri"/>
            </w:rPr>
          </w:pPr>
          <w:hyperlink w:history="true" w:anchor="_TOC_250000">
            <w:r>
              <w:rPr/>
              <w:t>附件六：简报样稿</w:t>
              <w:tab/>
            </w:r>
            <w:r>
              <w:rPr>
                <w:rFonts w:ascii="Calibri" w:eastAsia="Calibri"/>
              </w:rPr>
              <w:t>148</w:t>
            </w:r>
          </w:hyperlink>
        </w:p>
      </w:sdtContent>
    </w:sdt>
    <w:p>
      <w:pPr>
        <w:spacing w:after="0"/>
        <w:rPr>
          <w:rFonts w:ascii="Calibri" w:eastAsia="Calibri"/>
        </w:rPr>
        <w:sectPr>
          <w:type w:val="continuous"/>
          <w:pgSz w:w="11910" w:h="16840"/>
          <w:pgMar w:top="1520" w:bottom="1938" w:left="1020" w:right="560"/>
        </w:sectPr>
      </w:pPr>
    </w:p>
    <w:p>
      <w:pPr>
        <w:pStyle w:val="BodyText"/>
        <w:spacing w:before="12"/>
        <w:rPr>
          <w:rFonts w:ascii="Calibri"/>
          <w:sz w:val="44"/>
        </w:rPr>
      </w:pPr>
    </w:p>
    <w:p>
      <w:pPr>
        <w:pStyle w:val="Heading4"/>
        <w:ind w:right="458"/>
      </w:pPr>
      <w:bookmarkStart w:name="_TOC_250026" w:id="1"/>
      <w:bookmarkEnd w:id="1"/>
      <w:r>
        <w:rPr/>
        <w:t>国家自然科学基金委员会双清论坛管理办法</w:t>
      </w:r>
    </w:p>
    <w:p>
      <w:pPr>
        <w:pStyle w:val="BodyText"/>
        <w:spacing w:before="8"/>
        <w:rPr>
          <w:rFonts w:ascii="方正小标宋简体"/>
          <w:b/>
        </w:rPr>
      </w:pPr>
    </w:p>
    <w:p>
      <w:pPr>
        <w:spacing w:before="0"/>
        <w:ind w:left="780" w:right="0" w:firstLine="0"/>
        <w:jc w:val="left"/>
        <w:rPr>
          <w:sz w:val="30"/>
        </w:rPr>
      </w:pPr>
      <w:r>
        <w:rPr>
          <w:sz w:val="30"/>
        </w:rPr>
        <w:t>（2008</w:t>
      </w:r>
      <w:r>
        <w:rPr>
          <w:spacing w:val="-51"/>
          <w:sz w:val="30"/>
        </w:rPr>
        <w:t> 年 </w:t>
      </w:r>
      <w:r>
        <w:rPr>
          <w:sz w:val="30"/>
        </w:rPr>
        <w:t>11</w:t>
      </w:r>
      <w:r>
        <w:rPr>
          <w:spacing w:val="-51"/>
          <w:sz w:val="30"/>
        </w:rPr>
        <w:t> 月 </w:t>
      </w:r>
      <w:r>
        <w:rPr>
          <w:sz w:val="30"/>
        </w:rPr>
        <w:t>4</w:t>
      </w:r>
      <w:r>
        <w:rPr>
          <w:spacing w:val="-9"/>
          <w:sz w:val="30"/>
        </w:rPr>
        <w:t> 日国家自然科学基金委员会委务会议通过；</w:t>
      </w:r>
    </w:p>
    <w:p>
      <w:pPr>
        <w:spacing w:before="240"/>
        <w:ind w:left="780" w:right="0" w:firstLine="0"/>
        <w:jc w:val="left"/>
        <w:rPr>
          <w:sz w:val="30"/>
        </w:rPr>
      </w:pPr>
      <w:r>
        <w:rPr>
          <w:sz w:val="30"/>
        </w:rPr>
        <w:t>2020</w:t>
      </w:r>
      <w:r>
        <w:rPr>
          <w:spacing w:val="-51"/>
          <w:sz w:val="30"/>
        </w:rPr>
        <w:t> 年 </w:t>
      </w:r>
      <w:r>
        <w:rPr>
          <w:sz w:val="30"/>
        </w:rPr>
        <w:t>1</w:t>
      </w:r>
      <w:r>
        <w:rPr>
          <w:spacing w:val="-51"/>
          <w:sz w:val="30"/>
        </w:rPr>
        <w:t> 月 </w:t>
      </w:r>
      <w:r>
        <w:rPr>
          <w:sz w:val="30"/>
        </w:rPr>
        <w:t>20</w:t>
      </w:r>
      <w:r>
        <w:rPr>
          <w:spacing w:val="-9"/>
          <w:sz w:val="30"/>
        </w:rPr>
        <w:t> 日国家自然科学基金委员会委务会议修订通过</w:t>
      </w:r>
      <w:r>
        <w:rPr>
          <w:sz w:val="30"/>
        </w:rPr>
        <w:t>）</w:t>
      </w:r>
    </w:p>
    <w:p>
      <w:pPr>
        <w:pStyle w:val="BodyText"/>
        <w:rPr>
          <w:sz w:val="30"/>
        </w:rPr>
      </w:pPr>
    </w:p>
    <w:p>
      <w:pPr>
        <w:pStyle w:val="BodyText"/>
        <w:spacing w:before="4"/>
        <w:rPr>
          <w:sz w:val="35"/>
        </w:rPr>
      </w:pPr>
    </w:p>
    <w:p>
      <w:pPr>
        <w:spacing w:line="316" w:lineRule="auto" w:before="0"/>
        <w:ind w:left="780" w:right="1241" w:firstLine="643"/>
        <w:jc w:val="both"/>
        <w:rPr>
          <w:sz w:val="32"/>
        </w:rPr>
      </w:pPr>
      <w:r>
        <w:rPr>
          <w:rFonts w:ascii="等线" w:eastAsia="等线" w:hint="eastAsia"/>
          <w:b/>
          <w:sz w:val="32"/>
        </w:rPr>
        <w:t>第一条 </w:t>
      </w:r>
      <w:r>
        <w:rPr>
          <w:sz w:val="32"/>
        </w:rPr>
        <w:t>为了规范和加强国家自然科学基金委员会（以下简称自然科学基金委）双清论坛的管理，制定本办法。</w:t>
      </w:r>
    </w:p>
    <w:p>
      <w:pPr>
        <w:spacing w:line="340" w:lineRule="auto" w:before="72"/>
        <w:ind w:left="780" w:right="1241" w:firstLine="643"/>
        <w:jc w:val="both"/>
        <w:rPr>
          <w:sz w:val="32"/>
        </w:rPr>
      </w:pPr>
      <w:r>
        <w:rPr>
          <w:rFonts w:ascii="等线" w:eastAsia="等线" w:hint="eastAsia"/>
          <w:b/>
          <w:spacing w:val="21"/>
          <w:sz w:val="32"/>
        </w:rPr>
        <w:t>第二条 </w:t>
      </w:r>
      <w:r>
        <w:rPr>
          <w:spacing w:val="3"/>
          <w:sz w:val="32"/>
        </w:rPr>
        <w:t>双清论坛是指自然科学基金委立足国家自然科</w:t>
      </w:r>
      <w:r>
        <w:rPr>
          <w:spacing w:val="-3"/>
          <w:sz w:val="32"/>
        </w:rPr>
        <w:t>学基金资助工作，推动学科发展战略研究，促进学科交叉与</w:t>
      </w:r>
      <w:r>
        <w:rPr>
          <w:spacing w:val="-5"/>
          <w:sz w:val="32"/>
        </w:rPr>
        <w:t>融合，完善科学基金发展规划和管理运行机制，提高科学基</w:t>
      </w:r>
    </w:p>
    <w:p>
      <w:pPr>
        <w:spacing w:before="36"/>
        <w:ind w:left="780" w:right="0" w:firstLine="0"/>
        <w:jc w:val="left"/>
        <w:rPr>
          <w:sz w:val="32"/>
        </w:rPr>
      </w:pPr>
      <w:r>
        <w:rPr>
          <w:sz w:val="32"/>
        </w:rPr>
        <w:t>金卓越管理水平而设立的战略性学术研讨会议。</w:t>
      </w:r>
    </w:p>
    <w:p>
      <w:pPr>
        <w:spacing w:line="316" w:lineRule="auto" w:before="201"/>
        <w:ind w:left="780" w:right="1193" w:firstLine="554"/>
        <w:jc w:val="left"/>
        <w:rPr>
          <w:sz w:val="32"/>
        </w:rPr>
      </w:pPr>
      <w:r>
        <w:rPr>
          <w:rFonts w:ascii="等线" w:hAnsi="等线" w:eastAsia="等线" w:hint="eastAsia"/>
          <w:b/>
          <w:sz w:val="32"/>
        </w:rPr>
        <w:t>第三条 </w:t>
      </w:r>
      <w:r>
        <w:rPr>
          <w:sz w:val="32"/>
        </w:rPr>
        <w:t>双清论坛深入贯彻落实科学基金深化改革的重大决策部署，贯彻“鼓励探索、突出原创，聚焦前沿、独辟</w:t>
      </w:r>
    </w:p>
    <w:p>
      <w:pPr>
        <w:spacing w:line="364" w:lineRule="auto" w:before="84"/>
        <w:ind w:left="780" w:right="1079" w:firstLine="0"/>
        <w:jc w:val="left"/>
        <w:rPr>
          <w:sz w:val="32"/>
        </w:rPr>
      </w:pPr>
      <w:r>
        <w:rPr>
          <w:spacing w:val="-3"/>
          <w:sz w:val="32"/>
        </w:rPr>
        <w:t>蹊径，需求牵引、突破瓶颈，共性导向、交叉融通”的新时</w:t>
      </w:r>
      <w:r>
        <w:rPr>
          <w:spacing w:val="-4"/>
          <w:sz w:val="32"/>
        </w:rPr>
        <w:t>代科学基金资助导向，主要研讨面向世界科学前沿和面向国</w:t>
      </w:r>
      <w:r>
        <w:rPr>
          <w:spacing w:val="-5"/>
          <w:sz w:val="32"/>
        </w:rPr>
        <w:t>家重大需求的前瞻性、综合性和交叉性科学问题，以及科学</w:t>
      </w:r>
      <w:r>
        <w:rPr>
          <w:spacing w:val="-15"/>
          <w:sz w:val="32"/>
        </w:rPr>
        <w:t>基金资助管理的重大政策问题，为构建理念先进、制度规范、</w:t>
      </w:r>
      <w:r>
        <w:rPr>
          <w:sz w:val="32"/>
        </w:rPr>
        <w:t>公正高效的新时代科学基金体系服务。</w:t>
      </w:r>
    </w:p>
    <w:p>
      <w:pPr>
        <w:spacing w:line="340" w:lineRule="auto" w:before="0"/>
        <w:ind w:left="780" w:right="1078" w:firstLine="643"/>
        <w:jc w:val="left"/>
        <w:rPr>
          <w:sz w:val="32"/>
        </w:rPr>
      </w:pPr>
      <w:r>
        <w:rPr>
          <w:rFonts w:ascii="等线" w:eastAsia="等线" w:hint="eastAsia"/>
          <w:b/>
          <w:sz w:val="32"/>
        </w:rPr>
        <w:t>第四条 </w:t>
      </w:r>
      <w:r>
        <w:rPr>
          <w:sz w:val="32"/>
        </w:rPr>
        <w:t>双清论坛应当贯彻百花齐放、百家争鸣的方针， 坚持学术民主和严谨求实的原则，激发和保护创新思想，营造宽松和谐的学术交流氛围。</w:t>
      </w:r>
    </w:p>
    <w:p>
      <w:pPr>
        <w:spacing w:after="0" w:line="340" w:lineRule="auto"/>
        <w:jc w:val="left"/>
        <w:rPr>
          <w:sz w:val="32"/>
        </w:rPr>
        <w:sectPr>
          <w:footerReference w:type="default" r:id="rId6"/>
          <w:pgSz w:w="11910" w:h="16840"/>
          <w:pgMar w:footer="1035" w:header="0" w:top="1580" w:bottom="1220" w:left="1020" w:right="560"/>
          <w:pgNumType w:start="1"/>
        </w:sectPr>
      </w:pPr>
    </w:p>
    <w:p>
      <w:pPr>
        <w:spacing w:line="316" w:lineRule="auto" w:before="13"/>
        <w:ind w:left="780" w:right="1239" w:firstLine="643"/>
        <w:jc w:val="left"/>
        <w:rPr>
          <w:sz w:val="32"/>
        </w:rPr>
      </w:pPr>
      <w:r>
        <w:rPr>
          <w:rFonts w:ascii="等线" w:eastAsia="等线" w:hint="eastAsia"/>
          <w:b/>
          <w:sz w:val="32"/>
        </w:rPr>
        <w:t>第五条 </w:t>
      </w:r>
      <w:r>
        <w:rPr>
          <w:sz w:val="32"/>
        </w:rPr>
        <w:t>政策局归口管理双清论坛的组织和管理工作， 主要职责包括：</w:t>
      </w:r>
    </w:p>
    <w:p>
      <w:pPr>
        <w:spacing w:before="84"/>
        <w:ind w:left="1421" w:right="0" w:firstLine="0"/>
        <w:jc w:val="left"/>
        <w:rPr>
          <w:sz w:val="32"/>
        </w:rPr>
      </w:pPr>
      <w:r>
        <w:rPr>
          <w:sz w:val="32"/>
        </w:rPr>
        <w:t>（一）编制双清论坛年度计划；</w:t>
      </w:r>
    </w:p>
    <w:p>
      <w:pPr>
        <w:spacing w:before="214"/>
        <w:ind w:left="1421" w:right="0" w:firstLine="0"/>
        <w:jc w:val="left"/>
        <w:rPr>
          <w:sz w:val="32"/>
        </w:rPr>
      </w:pPr>
      <w:r>
        <w:rPr>
          <w:w w:val="95"/>
          <w:sz w:val="32"/>
        </w:rPr>
        <w:t>（二）编制和执行双清论坛预算；</w:t>
      </w:r>
    </w:p>
    <w:p>
      <w:pPr>
        <w:spacing w:before="214"/>
        <w:ind w:left="1421" w:right="0" w:firstLine="0"/>
        <w:jc w:val="left"/>
        <w:rPr>
          <w:sz w:val="32"/>
        </w:rPr>
      </w:pPr>
      <w:r>
        <w:rPr>
          <w:w w:val="95"/>
          <w:sz w:val="32"/>
        </w:rPr>
        <w:t>（三）受理议题申请与组织审议；</w:t>
      </w:r>
    </w:p>
    <w:p>
      <w:pPr>
        <w:spacing w:before="214"/>
        <w:ind w:left="1421" w:right="0" w:firstLine="0"/>
        <w:jc w:val="left"/>
        <w:rPr>
          <w:sz w:val="32"/>
        </w:rPr>
      </w:pPr>
      <w:r>
        <w:rPr>
          <w:w w:val="95"/>
          <w:sz w:val="32"/>
        </w:rPr>
        <w:t>（四）协调双清论坛筹备的相关事项；</w:t>
      </w:r>
    </w:p>
    <w:p>
      <w:pPr>
        <w:spacing w:before="215"/>
        <w:ind w:left="1421" w:right="0" w:firstLine="0"/>
        <w:jc w:val="left"/>
        <w:rPr>
          <w:sz w:val="32"/>
        </w:rPr>
      </w:pPr>
      <w:r>
        <w:rPr>
          <w:w w:val="95"/>
          <w:sz w:val="32"/>
        </w:rPr>
        <w:t>（五）汇集和发布双清论坛研讨成果；</w:t>
      </w:r>
    </w:p>
    <w:p>
      <w:pPr>
        <w:spacing w:before="214"/>
        <w:ind w:left="1421" w:right="0" w:firstLine="0"/>
        <w:jc w:val="left"/>
        <w:rPr>
          <w:sz w:val="32"/>
        </w:rPr>
      </w:pPr>
      <w:r>
        <w:rPr>
          <w:sz w:val="32"/>
        </w:rPr>
        <w:t>（六）负责年度管理工作总结。</w:t>
      </w:r>
    </w:p>
    <w:p>
      <w:pPr>
        <w:spacing w:line="340" w:lineRule="auto" w:before="200"/>
        <w:ind w:left="780" w:right="1236" w:firstLine="554"/>
        <w:jc w:val="both"/>
        <w:rPr>
          <w:sz w:val="32"/>
        </w:rPr>
      </w:pPr>
      <w:r>
        <w:rPr>
          <w:rFonts w:ascii="等线" w:eastAsia="等线" w:hint="eastAsia"/>
          <w:b/>
          <w:spacing w:val="24"/>
          <w:sz w:val="32"/>
        </w:rPr>
        <w:t>第六条 </w:t>
      </w:r>
      <w:r>
        <w:rPr>
          <w:spacing w:val="8"/>
          <w:sz w:val="32"/>
        </w:rPr>
        <w:t>自然科学基金委各部门可以根据工作需要申请</w:t>
      </w:r>
      <w:r>
        <w:rPr>
          <w:spacing w:val="-1"/>
          <w:sz w:val="32"/>
        </w:rPr>
        <w:t>举办双清论坛。提出论坛议题申请并获得批准的部门为双清</w:t>
      </w:r>
      <w:r>
        <w:rPr>
          <w:sz w:val="32"/>
        </w:rPr>
        <w:t>论坛主办部门,主要职责包括:</w:t>
      </w:r>
    </w:p>
    <w:p>
      <w:pPr>
        <w:spacing w:before="37"/>
        <w:ind w:left="1421" w:right="0" w:firstLine="0"/>
        <w:jc w:val="left"/>
        <w:rPr>
          <w:sz w:val="32"/>
        </w:rPr>
      </w:pPr>
      <w:r>
        <w:rPr>
          <w:sz w:val="32"/>
        </w:rPr>
        <w:t>（一）按照批准的计划组织实施双清论坛；</w:t>
      </w:r>
    </w:p>
    <w:p>
      <w:pPr>
        <w:spacing w:before="215"/>
        <w:ind w:left="1421" w:right="0" w:firstLine="0"/>
        <w:jc w:val="left"/>
        <w:rPr>
          <w:sz w:val="32"/>
        </w:rPr>
      </w:pPr>
      <w:r>
        <w:rPr>
          <w:sz w:val="32"/>
        </w:rPr>
        <w:t>（二</w:t>
      </w:r>
      <w:r>
        <w:rPr>
          <w:spacing w:val="-58"/>
          <w:sz w:val="32"/>
        </w:rPr>
        <w:t>）</w:t>
      </w:r>
      <w:r>
        <w:rPr>
          <w:spacing w:val="-12"/>
          <w:sz w:val="32"/>
        </w:rPr>
        <w:t>确定执行主席，遴选参会代表，组建学术秘书组；</w:t>
      </w:r>
    </w:p>
    <w:p>
      <w:pPr>
        <w:spacing w:before="214"/>
        <w:ind w:left="1421" w:right="0" w:firstLine="0"/>
        <w:jc w:val="left"/>
        <w:rPr>
          <w:sz w:val="32"/>
        </w:rPr>
      </w:pPr>
      <w:r>
        <w:rPr>
          <w:sz w:val="32"/>
        </w:rPr>
        <w:t>（三）确定双清论坛的日程安排；</w:t>
      </w:r>
    </w:p>
    <w:p>
      <w:pPr>
        <w:spacing w:line="364" w:lineRule="auto" w:before="214"/>
        <w:ind w:left="780" w:right="1195" w:firstLine="640"/>
        <w:jc w:val="left"/>
        <w:rPr>
          <w:sz w:val="32"/>
        </w:rPr>
      </w:pPr>
      <w:r>
        <w:rPr>
          <w:sz w:val="32"/>
        </w:rPr>
        <w:t>（四）组织撰写双清论坛会议纪要、学术综述或者战略研究报告；</w:t>
      </w:r>
    </w:p>
    <w:p>
      <w:pPr>
        <w:spacing w:before="1"/>
        <w:ind w:left="1421" w:right="0" w:firstLine="0"/>
        <w:jc w:val="left"/>
        <w:rPr>
          <w:sz w:val="32"/>
        </w:rPr>
      </w:pPr>
      <w:r>
        <w:rPr>
          <w:w w:val="95"/>
          <w:sz w:val="32"/>
        </w:rPr>
        <w:t>（五）负责双清论坛研讨成果的宣传和运用。</w:t>
      </w:r>
    </w:p>
    <w:p>
      <w:pPr>
        <w:spacing w:line="364" w:lineRule="auto" w:before="214"/>
        <w:ind w:left="780" w:right="1242" w:firstLine="554"/>
        <w:jc w:val="left"/>
        <w:rPr>
          <w:sz w:val="32"/>
        </w:rPr>
      </w:pPr>
      <w:r>
        <w:rPr>
          <w:sz w:val="32"/>
        </w:rPr>
        <w:t>根据工作需要，主办部门可以委托有关单位作为双清论坛承办部门，协助开展论坛筹备和组织实施工作。</w:t>
      </w:r>
    </w:p>
    <w:p>
      <w:pPr>
        <w:spacing w:line="316" w:lineRule="auto" w:before="0"/>
        <w:ind w:left="780" w:right="1241" w:firstLine="554"/>
        <w:jc w:val="left"/>
        <w:rPr>
          <w:sz w:val="32"/>
        </w:rPr>
      </w:pPr>
      <w:r>
        <w:rPr>
          <w:rFonts w:ascii="等线" w:eastAsia="等线" w:hint="eastAsia"/>
          <w:b/>
          <w:sz w:val="32"/>
        </w:rPr>
        <w:t>第七条 </w:t>
      </w:r>
      <w:r>
        <w:rPr>
          <w:sz w:val="32"/>
        </w:rPr>
        <w:t>政策局应当于每年年底前发布下一年度申请举办双清论坛的通知。</w:t>
      </w:r>
    </w:p>
    <w:p>
      <w:pPr>
        <w:spacing w:before="60"/>
        <w:ind w:left="1334" w:right="0" w:firstLine="0"/>
        <w:jc w:val="left"/>
        <w:rPr>
          <w:sz w:val="32"/>
        </w:rPr>
      </w:pPr>
      <w:r>
        <w:rPr>
          <w:rFonts w:ascii="等线" w:eastAsia="等线" w:hint="eastAsia"/>
          <w:b/>
          <w:sz w:val="32"/>
        </w:rPr>
        <w:t>第八条 </w:t>
      </w:r>
      <w:r>
        <w:rPr>
          <w:sz w:val="32"/>
        </w:rPr>
        <w:t>申请举办部门应当按照通知要求在规定的时间</w:t>
      </w:r>
    </w:p>
    <w:p>
      <w:pPr>
        <w:spacing w:after="0"/>
        <w:jc w:val="left"/>
        <w:rPr>
          <w:sz w:val="32"/>
        </w:rPr>
        <w:sectPr>
          <w:pgSz w:w="11910" w:h="16840"/>
          <w:pgMar w:header="0" w:footer="1035" w:top="1500" w:bottom="1300" w:left="1020" w:right="560"/>
        </w:sectPr>
      </w:pPr>
    </w:p>
    <w:p>
      <w:pPr>
        <w:spacing w:before="27"/>
        <w:ind w:left="780" w:right="0" w:firstLine="0"/>
        <w:jc w:val="left"/>
        <w:rPr>
          <w:sz w:val="32"/>
        </w:rPr>
      </w:pPr>
      <w:r>
        <w:rPr>
          <w:sz w:val="32"/>
        </w:rPr>
        <w:t>内向政策局提交双清论坛申请书。</w:t>
      </w:r>
    </w:p>
    <w:p>
      <w:pPr>
        <w:spacing w:line="364" w:lineRule="auto" w:before="213"/>
        <w:ind w:left="780" w:right="1239" w:firstLine="640"/>
        <w:jc w:val="both"/>
        <w:rPr>
          <w:sz w:val="32"/>
        </w:rPr>
      </w:pPr>
      <w:r>
        <w:rPr>
          <w:spacing w:val="13"/>
          <w:w w:val="95"/>
          <w:sz w:val="32"/>
        </w:rPr>
        <w:t>申请举办部门在提交双清论坛申请书前应当充分听取 </w:t>
      </w:r>
      <w:r>
        <w:rPr>
          <w:spacing w:val="-1"/>
          <w:sz w:val="32"/>
        </w:rPr>
        <w:t>有关专家的意见。申请主题涉及到自然科学基金委相关部门</w:t>
      </w:r>
      <w:r>
        <w:rPr>
          <w:sz w:val="32"/>
        </w:rPr>
        <w:t>的，应当做好有关部门的协调工作。</w:t>
      </w:r>
    </w:p>
    <w:p>
      <w:pPr>
        <w:spacing w:line="316" w:lineRule="auto" w:before="0"/>
        <w:ind w:left="780" w:right="1236" w:firstLine="643"/>
        <w:jc w:val="both"/>
        <w:rPr>
          <w:sz w:val="32"/>
        </w:rPr>
      </w:pPr>
      <w:r>
        <w:rPr>
          <w:rFonts w:ascii="等线" w:eastAsia="等线" w:hint="eastAsia"/>
          <w:b/>
          <w:spacing w:val="21"/>
          <w:sz w:val="32"/>
        </w:rPr>
        <w:t>第九条 </w:t>
      </w:r>
      <w:r>
        <w:rPr>
          <w:spacing w:val="3"/>
          <w:sz w:val="32"/>
        </w:rPr>
        <w:t>政策局负责收集双清论坛申请，并提议召开主</w:t>
      </w:r>
      <w:r>
        <w:rPr>
          <w:spacing w:val="-3"/>
          <w:sz w:val="32"/>
        </w:rPr>
        <w:t>任</w:t>
      </w:r>
      <w:r>
        <w:rPr>
          <w:sz w:val="32"/>
        </w:rPr>
        <w:t>（秘书长</w:t>
      </w:r>
      <w:r>
        <w:rPr>
          <w:spacing w:val="-3"/>
          <w:sz w:val="32"/>
        </w:rPr>
        <w:t>）</w:t>
      </w:r>
      <w:r>
        <w:rPr>
          <w:spacing w:val="-1"/>
          <w:sz w:val="32"/>
        </w:rPr>
        <w:t>办公会议，将本年度双清论坛管理工作总结和</w:t>
      </w:r>
    </w:p>
    <w:p>
      <w:pPr>
        <w:spacing w:before="74"/>
        <w:ind w:left="780" w:right="0" w:firstLine="0"/>
        <w:jc w:val="left"/>
        <w:rPr>
          <w:sz w:val="32"/>
        </w:rPr>
      </w:pPr>
      <w:r>
        <w:rPr>
          <w:sz w:val="32"/>
        </w:rPr>
        <w:t>下一年度的申请议题提请会议审议。</w:t>
      </w:r>
    </w:p>
    <w:p>
      <w:pPr>
        <w:spacing w:line="364" w:lineRule="auto" w:before="214"/>
        <w:ind w:left="780" w:right="1221" w:firstLine="640"/>
        <w:jc w:val="both"/>
        <w:rPr>
          <w:sz w:val="32"/>
        </w:rPr>
      </w:pPr>
      <w:r>
        <w:rPr>
          <w:spacing w:val="13"/>
          <w:w w:val="95"/>
          <w:sz w:val="32"/>
        </w:rPr>
        <w:t>申请举办部门应当到会对下一年度申请议题的必要性 </w:t>
      </w:r>
      <w:r>
        <w:rPr>
          <w:sz w:val="32"/>
        </w:rPr>
        <w:t>等进行报告。本年度的主办部门还应当总结汇报该年度双清论坛取得的成效。</w:t>
      </w:r>
    </w:p>
    <w:p>
      <w:pPr>
        <w:spacing w:line="316" w:lineRule="auto" w:before="0"/>
        <w:ind w:left="780" w:right="1239" w:firstLine="643"/>
        <w:jc w:val="both"/>
        <w:rPr>
          <w:sz w:val="32"/>
        </w:rPr>
      </w:pPr>
      <w:r>
        <w:rPr>
          <w:rFonts w:ascii="等线" w:eastAsia="等线" w:hint="eastAsia"/>
          <w:b/>
          <w:sz w:val="32"/>
        </w:rPr>
        <w:t>第十条 </w:t>
      </w:r>
      <w:r>
        <w:rPr>
          <w:sz w:val="32"/>
        </w:rPr>
        <w:t>政策局根据主任（秘书长）办公会议决议制定双清论坛年度计划并在委内发布。</w:t>
      </w:r>
    </w:p>
    <w:p>
      <w:pPr>
        <w:spacing w:line="364" w:lineRule="auto" w:before="74"/>
        <w:ind w:left="780" w:right="1236" w:firstLine="640"/>
        <w:jc w:val="both"/>
        <w:rPr>
          <w:sz w:val="32"/>
        </w:rPr>
      </w:pPr>
      <w:r>
        <w:rPr>
          <w:spacing w:val="-2"/>
          <w:sz w:val="32"/>
        </w:rPr>
        <w:t>对于未列入双清论坛年度计划，但是因国家社会、经济</w:t>
      </w:r>
      <w:r>
        <w:rPr>
          <w:spacing w:val="-5"/>
          <w:sz w:val="32"/>
        </w:rPr>
        <w:t>和科技发展需要，或者因科学基金资助管理工作需要，并且</w:t>
      </w:r>
      <w:r>
        <w:rPr>
          <w:spacing w:val="-2"/>
          <w:sz w:val="32"/>
        </w:rPr>
        <w:t>符合双清论坛定位和要求的主题，经分管政策局委领导批准</w:t>
      </w:r>
      <w:r>
        <w:rPr>
          <w:sz w:val="32"/>
        </w:rPr>
        <w:t>后可以及时举办双清论坛。</w:t>
      </w:r>
    </w:p>
    <w:p>
      <w:pPr>
        <w:spacing w:line="316" w:lineRule="auto" w:before="0"/>
        <w:ind w:left="780" w:right="1238" w:firstLine="643"/>
        <w:jc w:val="both"/>
        <w:rPr>
          <w:sz w:val="32"/>
        </w:rPr>
      </w:pPr>
      <w:r>
        <w:rPr>
          <w:rFonts w:ascii="等线" w:eastAsia="等线" w:hint="eastAsia"/>
          <w:b/>
          <w:spacing w:val="18"/>
          <w:sz w:val="32"/>
        </w:rPr>
        <w:t>第十一条 </w:t>
      </w:r>
      <w:r>
        <w:rPr>
          <w:spacing w:val="3"/>
          <w:sz w:val="32"/>
        </w:rPr>
        <w:t>主办部门应当认真执行双清论坛年度计划， </w:t>
      </w:r>
      <w:r>
        <w:rPr>
          <w:spacing w:val="-3"/>
          <w:sz w:val="32"/>
        </w:rPr>
        <w:t>需要调整举办时间的，应当及时同政策局协商。主办部门不</w:t>
      </w:r>
    </w:p>
    <w:p>
      <w:pPr>
        <w:spacing w:line="364" w:lineRule="auto" w:before="74"/>
        <w:ind w:left="780" w:right="1237" w:firstLine="0"/>
        <w:jc w:val="both"/>
        <w:rPr>
          <w:sz w:val="32"/>
        </w:rPr>
      </w:pPr>
      <w:r>
        <w:rPr>
          <w:spacing w:val="-2"/>
          <w:sz w:val="32"/>
        </w:rPr>
        <w:t>得随意调整已获批的双清论坛主题。确需调整或者因故取消</w:t>
      </w:r>
      <w:r>
        <w:rPr>
          <w:spacing w:val="-5"/>
          <w:sz w:val="32"/>
        </w:rPr>
        <w:t>的，主办部门应当向政策局提交书面说明，由政策局报分管</w:t>
      </w:r>
      <w:r>
        <w:rPr>
          <w:sz w:val="32"/>
        </w:rPr>
        <w:t>委领导审批。</w:t>
      </w:r>
    </w:p>
    <w:p>
      <w:pPr>
        <w:spacing w:line="471" w:lineRule="exact" w:before="0"/>
        <w:ind w:left="1423" w:right="0" w:firstLine="0"/>
        <w:jc w:val="both"/>
        <w:rPr>
          <w:sz w:val="32"/>
        </w:rPr>
      </w:pPr>
      <w:r>
        <w:rPr>
          <w:rFonts w:ascii="等线" w:eastAsia="等线" w:hint="eastAsia"/>
          <w:b/>
          <w:sz w:val="32"/>
        </w:rPr>
        <w:t>第十二条 </w:t>
      </w:r>
      <w:r>
        <w:rPr>
          <w:sz w:val="32"/>
        </w:rPr>
        <w:t>双清论坛实行执行主席负责制，主办部门应</w:t>
      </w:r>
    </w:p>
    <w:p>
      <w:pPr>
        <w:spacing w:after="0" w:line="471" w:lineRule="exact"/>
        <w:jc w:val="both"/>
        <w:rPr>
          <w:sz w:val="32"/>
        </w:rPr>
        <w:sectPr>
          <w:pgSz w:w="11910" w:h="16840"/>
          <w:pgMar w:header="0" w:footer="1035" w:top="1500" w:bottom="1300" w:left="1020" w:right="560"/>
        </w:sectPr>
      </w:pPr>
    </w:p>
    <w:p>
      <w:pPr>
        <w:spacing w:line="364" w:lineRule="auto" w:before="27"/>
        <w:ind w:left="780" w:right="1238" w:firstLine="0"/>
        <w:jc w:val="left"/>
        <w:rPr>
          <w:sz w:val="32"/>
        </w:rPr>
      </w:pPr>
      <w:r>
        <w:rPr>
          <w:spacing w:val="-12"/>
          <w:sz w:val="32"/>
        </w:rPr>
        <w:t>当邀请不超过 </w:t>
      </w:r>
      <w:r>
        <w:rPr>
          <w:sz w:val="32"/>
        </w:rPr>
        <w:t>3</w:t>
      </w:r>
      <w:r>
        <w:rPr>
          <w:spacing w:val="-12"/>
          <w:sz w:val="32"/>
        </w:rPr>
        <w:t> 名学术水平高、战略意识强和组织经验丰富</w:t>
      </w:r>
      <w:r>
        <w:rPr>
          <w:sz w:val="32"/>
        </w:rPr>
        <w:t>的科学家或者管理专家担任执行主席。</w:t>
      </w:r>
    </w:p>
    <w:p>
      <w:pPr>
        <w:spacing w:before="1"/>
        <w:ind w:left="1421" w:right="0" w:firstLine="0"/>
        <w:jc w:val="left"/>
        <w:rPr>
          <w:sz w:val="32"/>
        </w:rPr>
      </w:pPr>
      <w:r>
        <w:rPr>
          <w:sz w:val="32"/>
        </w:rPr>
        <w:t>执行主席的职责包括：</w:t>
      </w:r>
    </w:p>
    <w:p>
      <w:pPr>
        <w:spacing w:before="214"/>
        <w:ind w:left="1421" w:right="0" w:firstLine="0"/>
        <w:jc w:val="left"/>
        <w:rPr>
          <w:sz w:val="32"/>
        </w:rPr>
      </w:pPr>
      <w:r>
        <w:rPr>
          <w:sz w:val="32"/>
        </w:rPr>
        <w:t>（一）审核双清论坛议题建议；</w:t>
      </w:r>
    </w:p>
    <w:p>
      <w:pPr>
        <w:spacing w:line="364" w:lineRule="auto" w:before="214"/>
        <w:ind w:left="780" w:right="1195" w:firstLine="640"/>
        <w:jc w:val="left"/>
        <w:rPr>
          <w:sz w:val="32"/>
        </w:rPr>
      </w:pPr>
      <w:r>
        <w:rPr>
          <w:sz w:val="32"/>
        </w:rPr>
        <w:t>（二）审核双清论坛专家名单及主题报告、专题报告人选建议；</w:t>
      </w:r>
    </w:p>
    <w:p>
      <w:pPr>
        <w:spacing w:before="2"/>
        <w:ind w:left="1421" w:right="0" w:firstLine="0"/>
        <w:jc w:val="left"/>
        <w:rPr>
          <w:sz w:val="32"/>
        </w:rPr>
      </w:pPr>
      <w:r>
        <w:rPr>
          <w:sz w:val="32"/>
        </w:rPr>
        <w:t>（三）主持双清论坛；</w:t>
      </w:r>
    </w:p>
    <w:p>
      <w:pPr>
        <w:spacing w:before="214"/>
        <w:ind w:left="1421" w:right="0" w:firstLine="0"/>
        <w:jc w:val="left"/>
        <w:rPr>
          <w:sz w:val="32"/>
        </w:rPr>
      </w:pPr>
      <w:r>
        <w:rPr>
          <w:sz w:val="32"/>
        </w:rPr>
        <w:t>（四）指导学术秘书组工作。</w:t>
      </w:r>
    </w:p>
    <w:p>
      <w:pPr>
        <w:spacing w:line="340" w:lineRule="auto" w:before="201"/>
        <w:ind w:left="780" w:right="1228" w:firstLine="643"/>
        <w:jc w:val="both"/>
        <w:rPr>
          <w:sz w:val="32"/>
        </w:rPr>
      </w:pPr>
      <w:r>
        <w:rPr>
          <w:rFonts w:ascii="等线" w:eastAsia="等线" w:hint="eastAsia"/>
          <w:b/>
          <w:sz w:val="32"/>
        </w:rPr>
        <w:t>第十三条 </w:t>
      </w:r>
      <w:r>
        <w:rPr>
          <w:sz w:val="32"/>
        </w:rPr>
        <w:t>双清论坛设立学术秘书组。组长由主办部门工作人员担任，成员包括相关科学家、主办部门和政策局工作人员。</w:t>
      </w:r>
    </w:p>
    <w:p>
      <w:pPr>
        <w:spacing w:before="37"/>
        <w:ind w:left="1421" w:right="0" w:firstLine="0"/>
        <w:jc w:val="left"/>
        <w:rPr>
          <w:sz w:val="32"/>
        </w:rPr>
      </w:pPr>
      <w:r>
        <w:rPr>
          <w:sz w:val="32"/>
        </w:rPr>
        <w:t>学术秘书组的职责包括：</w:t>
      </w:r>
    </w:p>
    <w:p>
      <w:pPr>
        <w:spacing w:line="364" w:lineRule="auto" w:before="214"/>
        <w:ind w:left="780" w:right="1194" w:firstLine="640"/>
        <w:jc w:val="left"/>
        <w:rPr>
          <w:sz w:val="32"/>
        </w:rPr>
      </w:pPr>
      <w:r>
        <w:rPr>
          <w:sz w:val="32"/>
        </w:rPr>
        <w:t>（一）向执行主席提出双清论坛代表及主题报告、专题报告人选建议；</w:t>
      </w:r>
    </w:p>
    <w:p>
      <w:pPr>
        <w:spacing w:before="2"/>
        <w:ind w:left="1421" w:right="0" w:firstLine="0"/>
        <w:jc w:val="left"/>
        <w:rPr>
          <w:sz w:val="32"/>
        </w:rPr>
      </w:pPr>
      <w:r>
        <w:rPr>
          <w:sz w:val="32"/>
        </w:rPr>
        <w:t>（二）征集专家报告和论文摘要；</w:t>
      </w:r>
    </w:p>
    <w:p>
      <w:pPr>
        <w:spacing w:before="214"/>
        <w:ind w:left="1421" w:right="0" w:firstLine="0"/>
        <w:jc w:val="left"/>
        <w:rPr>
          <w:sz w:val="32"/>
        </w:rPr>
      </w:pPr>
      <w:r>
        <w:rPr>
          <w:sz w:val="32"/>
        </w:rPr>
        <w:t>（三）编辑双清论坛会议手册；</w:t>
      </w:r>
    </w:p>
    <w:p>
      <w:pPr>
        <w:spacing w:line="357" w:lineRule="auto" w:before="214"/>
        <w:ind w:left="1423" w:right="1078" w:hanging="3"/>
        <w:jc w:val="left"/>
        <w:rPr>
          <w:sz w:val="32"/>
        </w:rPr>
      </w:pPr>
      <w:r>
        <w:rPr>
          <w:sz w:val="32"/>
        </w:rPr>
        <w:t>（四</w:t>
      </w:r>
      <w:r>
        <w:rPr>
          <w:spacing w:val="-87"/>
          <w:sz w:val="32"/>
        </w:rPr>
        <w:t>）</w:t>
      </w:r>
      <w:r>
        <w:rPr>
          <w:spacing w:val="-10"/>
          <w:sz w:val="32"/>
        </w:rPr>
        <w:t>撰写双清论坛纪要、学术综述或者战略研究报告。</w:t>
      </w:r>
      <w:r>
        <w:rPr>
          <w:rFonts w:ascii="等线" w:eastAsia="等线" w:hint="eastAsia"/>
          <w:b/>
          <w:spacing w:val="20"/>
          <w:sz w:val="32"/>
        </w:rPr>
        <w:t>第十四条 </w:t>
      </w:r>
      <w:r>
        <w:rPr>
          <w:spacing w:val="3"/>
          <w:sz w:val="32"/>
        </w:rPr>
        <w:t>主办部门应当在考虑主题所涉及的研究领域</w:t>
      </w:r>
    </w:p>
    <w:p>
      <w:pPr>
        <w:spacing w:line="330" w:lineRule="exact" w:before="0"/>
        <w:ind w:left="780" w:right="0" w:firstLine="0"/>
        <w:jc w:val="left"/>
        <w:rPr>
          <w:sz w:val="32"/>
        </w:rPr>
      </w:pPr>
      <w:r>
        <w:rPr>
          <w:spacing w:val="-1"/>
          <w:w w:val="95"/>
          <w:sz w:val="32"/>
        </w:rPr>
        <w:t>和研究机构的多样性与平衡的基础上，结合学科交叉研究需</w:t>
      </w:r>
    </w:p>
    <w:p>
      <w:pPr>
        <w:spacing w:line="364" w:lineRule="auto" w:before="214"/>
        <w:ind w:left="780" w:right="1226" w:firstLine="0"/>
        <w:jc w:val="both"/>
        <w:rPr>
          <w:sz w:val="32"/>
        </w:rPr>
      </w:pPr>
      <w:r>
        <w:rPr>
          <w:sz w:val="32"/>
        </w:rPr>
        <w:t>求和管理工作需要，邀请相关领域具有较高学术造诣的科学家、具有丰富科研管理经验的管理专家作为双清论坛代表。双清论坛代表总数一般不超过 50 人。</w:t>
      </w:r>
    </w:p>
    <w:p>
      <w:pPr>
        <w:spacing w:after="0" w:line="364" w:lineRule="auto"/>
        <w:jc w:val="both"/>
        <w:rPr>
          <w:sz w:val="32"/>
        </w:rPr>
        <w:sectPr>
          <w:pgSz w:w="11910" w:h="16840"/>
          <w:pgMar w:header="0" w:footer="1035" w:top="1500" w:bottom="1300" w:left="1020" w:right="560"/>
        </w:sectPr>
      </w:pPr>
    </w:p>
    <w:p>
      <w:pPr>
        <w:spacing w:line="364" w:lineRule="auto" w:before="27"/>
        <w:ind w:left="780" w:right="1244" w:firstLine="640"/>
        <w:jc w:val="left"/>
        <w:rPr>
          <w:sz w:val="32"/>
        </w:rPr>
      </w:pPr>
      <w:r>
        <w:rPr>
          <w:spacing w:val="12"/>
          <w:w w:val="95"/>
          <w:sz w:val="32"/>
        </w:rPr>
        <w:t>主办部门应当根据工作需要通知自然科学基金委相关 </w:t>
      </w:r>
      <w:r>
        <w:rPr>
          <w:sz w:val="32"/>
        </w:rPr>
        <w:t>部门工作人员出席会议。</w:t>
      </w:r>
    </w:p>
    <w:p>
      <w:pPr>
        <w:spacing w:line="340" w:lineRule="auto" w:before="0"/>
        <w:ind w:left="780" w:right="1237" w:firstLine="643"/>
        <w:jc w:val="both"/>
        <w:rPr>
          <w:sz w:val="32"/>
        </w:rPr>
      </w:pPr>
      <w:r>
        <w:rPr>
          <w:rFonts w:ascii="等线" w:eastAsia="等线" w:hint="eastAsia"/>
          <w:b/>
          <w:spacing w:val="14"/>
          <w:sz w:val="32"/>
        </w:rPr>
        <w:t>第十五条 </w:t>
      </w:r>
      <w:r>
        <w:rPr>
          <w:spacing w:val="-6"/>
          <w:sz w:val="32"/>
        </w:rPr>
        <w:t>主办部门应当在双清论坛召开 </w:t>
      </w:r>
      <w:r>
        <w:rPr>
          <w:sz w:val="32"/>
        </w:rPr>
        <w:t>30</w:t>
      </w:r>
      <w:r>
        <w:rPr>
          <w:spacing w:val="-21"/>
          <w:sz w:val="32"/>
        </w:rPr>
        <w:t> 日前，将执</w:t>
      </w:r>
      <w:r>
        <w:rPr>
          <w:spacing w:val="-4"/>
          <w:sz w:val="32"/>
        </w:rPr>
        <w:t>行主席、学术秘书组、双清论坛代表和工作人员名单、召开</w:t>
      </w:r>
      <w:r>
        <w:rPr>
          <w:sz w:val="32"/>
        </w:rPr>
        <w:t>双清论坛的通知送政策局审核。</w:t>
      </w:r>
    </w:p>
    <w:p>
      <w:pPr>
        <w:spacing w:line="364" w:lineRule="auto" w:before="24"/>
        <w:ind w:left="780" w:right="1194" w:firstLine="640"/>
        <w:jc w:val="left"/>
        <w:rPr>
          <w:sz w:val="32"/>
        </w:rPr>
      </w:pPr>
      <w:r>
        <w:rPr>
          <w:sz w:val="32"/>
        </w:rPr>
        <w:t>主办部门应当强化责任意识，做好联系论坛执行主席和学术秘书组等相关准备工作，确保论坛研讨效果。</w:t>
      </w:r>
    </w:p>
    <w:p>
      <w:pPr>
        <w:spacing w:line="316" w:lineRule="auto" w:before="0"/>
        <w:ind w:left="780" w:right="1240" w:firstLine="643"/>
        <w:jc w:val="left"/>
        <w:rPr>
          <w:sz w:val="32"/>
        </w:rPr>
      </w:pPr>
      <w:r>
        <w:rPr>
          <w:rFonts w:ascii="等线" w:eastAsia="等线" w:hint="eastAsia"/>
          <w:b/>
          <w:sz w:val="32"/>
        </w:rPr>
        <w:t>第十六条 </w:t>
      </w:r>
      <w:r>
        <w:rPr>
          <w:sz w:val="32"/>
        </w:rPr>
        <w:t>双清论坛以主题报告、专题报告和自由讨论为基本形式，讨论时间原则上不少于报告时间。</w:t>
      </w:r>
    </w:p>
    <w:p>
      <w:pPr>
        <w:spacing w:line="364" w:lineRule="auto" w:before="73"/>
        <w:ind w:left="780" w:right="1241" w:firstLine="640"/>
        <w:jc w:val="both"/>
        <w:rPr>
          <w:sz w:val="32"/>
        </w:rPr>
      </w:pPr>
      <w:r>
        <w:rPr>
          <w:spacing w:val="12"/>
          <w:w w:val="95"/>
          <w:sz w:val="32"/>
        </w:rPr>
        <w:t>双清论坛的主题报告或者专题报告主要包括议题的战 </w:t>
      </w:r>
      <w:r>
        <w:rPr>
          <w:spacing w:val="-4"/>
          <w:sz w:val="32"/>
        </w:rPr>
        <w:t>略意义、发展状况、拟关注和解决的关键科学问题及政策建</w:t>
      </w:r>
      <w:r>
        <w:rPr>
          <w:sz w:val="32"/>
        </w:rPr>
        <w:t>议等内容。</w:t>
      </w:r>
    </w:p>
    <w:p>
      <w:pPr>
        <w:spacing w:line="340" w:lineRule="auto" w:before="0"/>
        <w:ind w:left="780" w:right="1236" w:firstLine="643"/>
        <w:jc w:val="both"/>
        <w:rPr>
          <w:sz w:val="32"/>
        </w:rPr>
      </w:pPr>
      <w:r>
        <w:rPr>
          <w:rFonts w:ascii="等线" w:eastAsia="等线" w:hint="eastAsia"/>
          <w:b/>
          <w:spacing w:val="18"/>
          <w:sz w:val="32"/>
        </w:rPr>
        <w:t>第十七条 </w:t>
      </w:r>
      <w:r>
        <w:rPr>
          <w:spacing w:val="3"/>
          <w:sz w:val="32"/>
        </w:rPr>
        <w:t>学术秘书组在双清论坛结束后应当及时形成</w:t>
      </w:r>
      <w:r>
        <w:rPr>
          <w:spacing w:val="-1"/>
          <w:sz w:val="32"/>
        </w:rPr>
        <w:t>双清论坛纪要。双清论坛纪要应当包括研讨的主要问题、双</w:t>
      </w:r>
      <w:r>
        <w:rPr>
          <w:spacing w:val="-3"/>
          <w:w w:val="95"/>
          <w:sz w:val="32"/>
        </w:rPr>
        <w:t>清论坛代表的主要观点及政策建议等内容。主办部门应当于</w:t>
      </w:r>
    </w:p>
    <w:p>
      <w:pPr>
        <w:spacing w:line="357" w:lineRule="auto" w:before="27"/>
        <w:ind w:left="1423" w:right="1240" w:hanging="644"/>
        <w:jc w:val="both"/>
        <w:rPr>
          <w:sz w:val="32"/>
        </w:rPr>
      </w:pPr>
      <w:r>
        <w:rPr>
          <w:spacing w:val="-11"/>
          <w:sz w:val="32"/>
        </w:rPr>
        <w:t>双清论坛结束后 </w:t>
      </w:r>
      <w:r>
        <w:rPr>
          <w:sz w:val="32"/>
        </w:rPr>
        <w:t>20</w:t>
      </w:r>
      <w:r>
        <w:rPr>
          <w:spacing w:val="-10"/>
          <w:sz w:val="32"/>
        </w:rPr>
        <w:t> 日内将正式的双清论坛纪要送政策局。</w:t>
      </w:r>
      <w:r>
        <w:rPr>
          <w:rFonts w:ascii="等线" w:eastAsia="等线" w:hint="eastAsia"/>
          <w:b/>
          <w:spacing w:val="18"/>
          <w:sz w:val="32"/>
        </w:rPr>
        <w:t>第十八条 </w:t>
      </w:r>
      <w:r>
        <w:rPr>
          <w:spacing w:val="3"/>
          <w:sz w:val="32"/>
        </w:rPr>
        <w:t>学术秘书组应当及时形成学术综述或者战略</w:t>
      </w:r>
    </w:p>
    <w:p>
      <w:pPr>
        <w:spacing w:line="329" w:lineRule="exact" w:before="0"/>
        <w:ind w:left="0" w:right="1238" w:firstLine="0"/>
        <w:jc w:val="right"/>
        <w:rPr>
          <w:sz w:val="32"/>
        </w:rPr>
      </w:pPr>
      <w:r>
        <w:rPr>
          <w:spacing w:val="-3"/>
          <w:w w:val="95"/>
          <w:sz w:val="32"/>
        </w:rPr>
        <w:t>研究报告。学术综述或者战略研究报告应当征求执行主席意</w:t>
      </w:r>
    </w:p>
    <w:p>
      <w:pPr>
        <w:spacing w:line="364" w:lineRule="auto" w:before="214"/>
        <w:ind w:left="1421" w:right="1226" w:hanging="641"/>
        <w:jc w:val="right"/>
        <w:rPr>
          <w:sz w:val="32"/>
        </w:rPr>
      </w:pPr>
      <w:r>
        <w:rPr>
          <w:spacing w:val="-1"/>
          <w:w w:val="95"/>
          <w:sz w:val="32"/>
        </w:rPr>
        <w:t>见，必要时还可以通过各种途径征求双清论坛代表的意见。 </w:t>
      </w:r>
      <w:r>
        <w:rPr>
          <w:spacing w:val="-2"/>
          <w:w w:val="95"/>
          <w:sz w:val="32"/>
        </w:rPr>
        <w:t>学术综述应当全面、客观地反映双清论坛代表的学术观</w:t>
      </w:r>
    </w:p>
    <w:p>
      <w:pPr>
        <w:spacing w:line="364" w:lineRule="auto" w:before="2"/>
        <w:ind w:left="780" w:right="1239" w:firstLine="0"/>
        <w:jc w:val="right"/>
        <w:rPr>
          <w:sz w:val="32"/>
        </w:rPr>
      </w:pPr>
      <w:r>
        <w:rPr>
          <w:spacing w:val="-5"/>
          <w:w w:val="95"/>
          <w:sz w:val="32"/>
        </w:rPr>
        <w:t>点；战略研究报告应当包括研讨主题的战略意义、国内外研 </w:t>
      </w:r>
      <w:r>
        <w:rPr>
          <w:spacing w:val="-4"/>
          <w:w w:val="95"/>
          <w:sz w:val="32"/>
        </w:rPr>
        <w:t>究状况、优先发展领域及保障措施等内容。主办部门应当于</w:t>
      </w:r>
    </w:p>
    <w:p>
      <w:pPr>
        <w:spacing w:after="0" w:line="364" w:lineRule="auto"/>
        <w:jc w:val="right"/>
        <w:rPr>
          <w:sz w:val="32"/>
        </w:rPr>
        <w:sectPr>
          <w:pgSz w:w="11910" w:h="16840"/>
          <w:pgMar w:header="0" w:footer="1035" w:top="1500" w:bottom="1300" w:left="1020" w:right="560"/>
        </w:sectPr>
      </w:pPr>
    </w:p>
    <w:p>
      <w:pPr>
        <w:spacing w:line="364" w:lineRule="auto" w:before="27"/>
        <w:ind w:left="780" w:right="1240" w:firstLine="0"/>
        <w:jc w:val="both"/>
        <w:rPr>
          <w:sz w:val="32"/>
        </w:rPr>
      </w:pPr>
      <w:r>
        <w:rPr>
          <w:spacing w:val="-2"/>
          <w:sz w:val="32"/>
        </w:rPr>
        <w:t>双清论坛结束后 </w:t>
      </w:r>
      <w:r>
        <w:rPr>
          <w:sz w:val="32"/>
        </w:rPr>
        <w:t>30</w:t>
      </w:r>
      <w:r>
        <w:rPr>
          <w:spacing w:val="-4"/>
          <w:sz w:val="32"/>
        </w:rPr>
        <w:t> 日内形成学术综述或者战略研究报告， </w:t>
      </w:r>
      <w:r>
        <w:rPr>
          <w:sz w:val="32"/>
        </w:rPr>
        <w:t>提交政策局备案。</w:t>
      </w:r>
    </w:p>
    <w:p>
      <w:pPr>
        <w:spacing w:line="340" w:lineRule="auto" w:before="0"/>
        <w:ind w:left="780" w:right="1239" w:firstLine="643"/>
        <w:jc w:val="both"/>
        <w:rPr>
          <w:sz w:val="32"/>
        </w:rPr>
      </w:pPr>
      <w:r>
        <w:rPr>
          <w:rFonts w:ascii="等线" w:eastAsia="等线" w:hint="eastAsia"/>
          <w:b/>
          <w:spacing w:val="18"/>
          <w:sz w:val="32"/>
        </w:rPr>
        <w:t>第十九条 </w:t>
      </w:r>
      <w:r>
        <w:rPr>
          <w:spacing w:val="3"/>
          <w:sz w:val="32"/>
        </w:rPr>
        <w:t>主办部门和政策局应当积极宣传双清论坛， </w:t>
      </w:r>
      <w:r>
        <w:rPr>
          <w:spacing w:val="-3"/>
          <w:sz w:val="32"/>
        </w:rPr>
        <w:t>及时发表论坛成果，扩大双清论坛影响。双清论坛承办部门</w:t>
      </w:r>
      <w:r>
        <w:rPr>
          <w:sz w:val="32"/>
        </w:rPr>
        <w:t>的宣传材料应当经主办部门和政策局审核同意后发布。</w:t>
      </w:r>
    </w:p>
    <w:p>
      <w:pPr>
        <w:spacing w:line="364" w:lineRule="auto" w:before="24"/>
        <w:ind w:left="780" w:right="1237" w:firstLine="640"/>
        <w:jc w:val="both"/>
        <w:rPr>
          <w:sz w:val="32"/>
        </w:rPr>
      </w:pPr>
      <w:r>
        <w:rPr>
          <w:spacing w:val="13"/>
          <w:w w:val="95"/>
          <w:sz w:val="32"/>
        </w:rPr>
        <w:t>对于双清论坛中提出的有关科学基金工作或者国家科 </w:t>
      </w:r>
      <w:r>
        <w:rPr>
          <w:spacing w:val="-1"/>
          <w:sz w:val="32"/>
        </w:rPr>
        <w:t>学技术发展的重要政策建议，主办部门应当会同政策局及时</w:t>
      </w:r>
      <w:r>
        <w:rPr>
          <w:sz w:val="32"/>
        </w:rPr>
        <w:t>报送有关领导和部门。</w:t>
      </w:r>
    </w:p>
    <w:p>
      <w:pPr>
        <w:spacing w:line="340" w:lineRule="auto" w:before="0"/>
        <w:ind w:left="780" w:right="1236" w:firstLine="643"/>
        <w:jc w:val="both"/>
        <w:rPr>
          <w:sz w:val="32"/>
        </w:rPr>
      </w:pPr>
      <w:r>
        <w:rPr>
          <w:rFonts w:ascii="等线" w:eastAsia="等线" w:hint="eastAsia"/>
          <w:b/>
          <w:spacing w:val="18"/>
          <w:sz w:val="32"/>
        </w:rPr>
        <w:t>第二十条 </w:t>
      </w:r>
      <w:r>
        <w:rPr>
          <w:spacing w:val="3"/>
          <w:sz w:val="32"/>
        </w:rPr>
        <w:t>双清论坛经费纳入自然科学基金委项目组织</w:t>
      </w:r>
      <w:r>
        <w:rPr>
          <w:spacing w:val="-2"/>
          <w:sz w:val="32"/>
        </w:rPr>
        <w:t>实施费预算管理，由政策局按照有关规定和程序编报，经费</w:t>
      </w:r>
      <w:r>
        <w:rPr>
          <w:spacing w:val="11"/>
          <w:w w:val="95"/>
          <w:sz w:val="32"/>
        </w:rPr>
        <w:t>支出按照《国家自然科学基金委员会会议费管理办法（</w:t>
      </w:r>
      <w:r>
        <w:rPr>
          <w:w w:val="95"/>
          <w:sz w:val="32"/>
        </w:rPr>
        <w:t>试</w:t>
      </w:r>
    </w:p>
    <w:p>
      <w:pPr>
        <w:spacing w:before="27"/>
        <w:ind w:left="780" w:right="0" w:firstLine="0"/>
        <w:jc w:val="left"/>
        <w:rPr>
          <w:sz w:val="32"/>
        </w:rPr>
      </w:pPr>
      <w:r>
        <w:rPr>
          <w:sz w:val="32"/>
        </w:rPr>
        <w:t>行</w:t>
      </w:r>
      <w:r>
        <w:rPr>
          <w:spacing w:val="-161"/>
          <w:sz w:val="32"/>
        </w:rPr>
        <w:t>）</w:t>
      </w:r>
      <w:r>
        <w:rPr>
          <w:sz w:val="32"/>
        </w:rPr>
        <w:t>》执行。</w:t>
      </w:r>
    </w:p>
    <w:p>
      <w:pPr>
        <w:spacing w:line="340" w:lineRule="auto" w:before="201"/>
        <w:ind w:left="780" w:right="1226" w:firstLine="643"/>
        <w:jc w:val="both"/>
        <w:rPr>
          <w:sz w:val="32"/>
        </w:rPr>
      </w:pPr>
      <w:r>
        <w:rPr>
          <w:rFonts w:ascii="等线" w:eastAsia="等线" w:hint="eastAsia"/>
          <w:b/>
          <w:spacing w:val="12"/>
          <w:sz w:val="32"/>
        </w:rPr>
        <w:t>第二十一条 </w:t>
      </w:r>
      <w:r>
        <w:rPr>
          <w:sz w:val="32"/>
        </w:rPr>
        <w:t>本办法自印发之日起施行。2009</w:t>
      </w:r>
      <w:r>
        <w:rPr>
          <w:spacing w:val="-32"/>
          <w:sz w:val="32"/>
        </w:rPr>
        <w:t> 年 </w:t>
      </w:r>
      <w:r>
        <w:rPr>
          <w:sz w:val="32"/>
        </w:rPr>
        <w:t>1</w:t>
      </w:r>
      <w:r>
        <w:rPr>
          <w:spacing w:val="-31"/>
          <w:sz w:val="32"/>
        </w:rPr>
        <w:t> 月 </w:t>
      </w:r>
      <w:r>
        <w:rPr>
          <w:sz w:val="32"/>
        </w:rPr>
        <w:t>1 </w:t>
      </w:r>
      <w:r>
        <w:rPr>
          <w:spacing w:val="-1"/>
          <w:sz w:val="32"/>
        </w:rPr>
        <w:t>日起施行的《国家自然科学基金委员会双清论坛管理办法》</w:t>
      </w:r>
      <w:r>
        <w:rPr>
          <w:sz w:val="32"/>
        </w:rPr>
        <w:t>同时废止。</w:t>
      </w:r>
    </w:p>
    <w:p>
      <w:pPr>
        <w:spacing w:after="0" w:line="340" w:lineRule="auto"/>
        <w:jc w:val="both"/>
        <w:rPr>
          <w:sz w:val="32"/>
        </w:rPr>
        <w:sectPr>
          <w:pgSz w:w="11910" w:h="16840"/>
          <w:pgMar w:header="0" w:footer="1035" w:top="1500" w:bottom="1300" w:left="1020" w:right="560"/>
        </w:sectPr>
      </w:pPr>
    </w:p>
    <w:p>
      <w:pPr>
        <w:pStyle w:val="BodyText"/>
        <w:spacing w:before="12"/>
        <w:rPr>
          <w:sz w:val="18"/>
        </w:rPr>
      </w:pPr>
    </w:p>
    <w:p>
      <w:pPr>
        <w:pStyle w:val="Heading4"/>
        <w:spacing w:line="633" w:lineRule="exact"/>
        <w:ind w:right="461"/>
      </w:pPr>
      <w:bookmarkStart w:name="_TOC_250025" w:id="2"/>
      <w:bookmarkEnd w:id="2"/>
      <w:r>
        <w:rPr/>
        <w:t>国家自然科学基金委员会会议费管理办法（试行）</w:t>
      </w:r>
    </w:p>
    <w:p>
      <w:pPr>
        <w:pStyle w:val="BodyText"/>
        <w:spacing w:before="13"/>
        <w:rPr>
          <w:rFonts w:ascii="方正小标宋简体"/>
          <w:b/>
          <w:sz w:val="27"/>
        </w:rPr>
      </w:pPr>
    </w:p>
    <w:p>
      <w:pPr>
        <w:spacing w:before="0"/>
        <w:ind w:left="0" w:right="458" w:firstLine="0"/>
        <w:jc w:val="center"/>
        <w:rPr>
          <w:sz w:val="32"/>
        </w:rPr>
      </w:pPr>
      <w:r>
        <w:rPr>
          <w:sz w:val="32"/>
        </w:rPr>
        <w:t>（2017</w:t>
      </w:r>
      <w:r>
        <w:rPr>
          <w:spacing w:val="-54"/>
          <w:sz w:val="32"/>
        </w:rPr>
        <w:t> 年 </w:t>
      </w:r>
      <w:r>
        <w:rPr>
          <w:sz w:val="32"/>
        </w:rPr>
        <w:t>4</w:t>
      </w:r>
      <w:r>
        <w:rPr>
          <w:spacing w:val="-54"/>
          <w:sz w:val="32"/>
        </w:rPr>
        <w:t> 月 </w:t>
      </w:r>
      <w:r>
        <w:rPr>
          <w:sz w:val="32"/>
        </w:rPr>
        <w:t>11</w:t>
      </w:r>
      <w:r>
        <w:rPr>
          <w:spacing w:val="-10"/>
          <w:sz w:val="32"/>
        </w:rPr>
        <w:t> 日委务会议审议通过</w:t>
      </w:r>
      <w:r>
        <w:rPr>
          <w:sz w:val="32"/>
        </w:rPr>
        <w:t>）</w:t>
      </w:r>
    </w:p>
    <w:p>
      <w:pPr>
        <w:pStyle w:val="BodyText"/>
        <w:rPr>
          <w:sz w:val="32"/>
        </w:rPr>
      </w:pPr>
    </w:p>
    <w:p>
      <w:pPr>
        <w:pStyle w:val="BodyText"/>
        <w:spacing w:before="7"/>
        <w:rPr>
          <w:sz w:val="45"/>
        </w:rPr>
      </w:pPr>
    </w:p>
    <w:p>
      <w:pPr>
        <w:spacing w:before="0"/>
        <w:ind w:left="0" w:right="455" w:firstLine="0"/>
        <w:jc w:val="center"/>
        <w:rPr>
          <w:rFonts w:ascii="黑体" w:eastAsia="黑体" w:hint="eastAsia"/>
          <w:sz w:val="32"/>
        </w:rPr>
      </w:pPr>
      <w:r>
        <w:rPr>
          <w:rFonts w:ascii="黑体" w:eastAsia="黑体" w:hint="eastAsia"/>
          <w:sz w:val="32"/>
        </w:rPr>
        <w:t>第一章 总则</w:t>
      </w:r>
    </w:p>
    <w:p>
      <w:pPr>
        <w:pStyle w:val="BodyText"/>
        <w:spacing w:before="11"/>
        <w:rPr>
          <w:rFonts w:ascii="黑体"/>
        </w:rPr>
      </w:pPr>
    </w:p>
    <w:p>
      <w:pPr>
        <w:spacing w:line="364" w:lineRule="auto" w:before="0"/>
        <w:ind w:left="535" w:right="832" w:firstLine="640"/>
        <w:jc w:val="left"/>
        <w:rPr>
          <w:sz w:val="32"/>
        </w:rPr>
      </w:pPr>
      <w:r>
        <w:rPr>
          <w:spacing w:val="-4"/>
          <w:sz w:val="32"/>
        </w:rPr>
        <w:t>第一条 为进一步加强和规范国家自然科学基金委员会</w:t>
      </w:r>
      <w:r>
        <w:rPr>
          <w:sz w:val="32"/>
        </w:rPr>
        <w:t>（简</w:t>
      </w:r>
      <w:r>
        <w:rPr>
          <w:spacing w:val="-17"/>
          <w:w w:val="99"/>
          <w:sz w:val="32"/>
        </w:rPr>
        <w:t>称“自然科学基金委”</w:t>
      </w:r>
      <w:r>
        <w:rPr>
          <w:spacing w:val="2"/>
          <w:w w:val="99"/>
          <w:sz w:val="32"/>
        </w:rPr>
        <w:t>）</w:t>
      </w:r>
      <w:r>
        <w:rPr>
          <w:w w:val="99"/>
          <w:sz w:val="32"/>
        </w:rPr>
        <w:t>会议费管理，精简会议，改进会风，提</w:t>
      </w:r>
      <w:r>
        <w:rPr>
          <w:spacing w:val="-2"/>
          <w:sz w:val="32"/>
        </w:rPr>
        <w:t>高会议效率和质量，节约会议经费开支，提高经费的使用效率， </w:t>
      </w:r>
      <w:r>
        <w:rPr>
          <w:spacing w:val="3"/>
          <w:sz w:val="32"/>
        </w:rPr>
        <w:t>根据《中共中央办公厅、国务院办公厅关于进一步完善中央财政科研项目资金管理等政策的若干意见</w:t>
      </w:r>
      <w:r>
        <w:rPr>
          <w:spacing w:val="-243"/>
          <w:sz w:val="32"/>
        </w:rPr>
        <w:t>》</w:t>
      </w:r>
      <w:r>
        <w:rPr>
          <w:sz w:val="32"/>
        </w:rPr>
        <w:t>（</w:t>
      </w:r>
      <w:r>
        <w:rPr>
          <w:spacing w:val="-24"/>
          <w:sz w:val="32"/>
        </w:rPr>
        <w:t>中办发„</w:t>
      </w:r>
      <w:r>
        <w:rPr>
          <w:spacing w:val="-10"/>
          <w:sz w:val="32"/>
        </w:rPr>
        <w:t>2016‟50</w:t>
      </w:r>
      <w:r>
        <w:rPr>
          <w:spacing w:val="23"/>
          <w:sz w:val="32"/>
        </w:rPr>
        <w:t> 号</w:t>
      </w:r>
      <w:r>
        <w:rPr>
          <w:sz w:val="32"/>
        </w:rPr>
        <w:t>） </w:t>
      </w:r>
      <w:r>
        <w:rPr>
          <w:spacing w:val="3"/>
          <w:sz w:val="32"/>
        </w:rPr>
        <w:t>精神，结合自然科学基金委工作实际，参照《中央和国家机关</w:t>
      </w:r>
      <w:r>
        <w:rPr>
          <w:spacing w:val="-18"/>
          <w:sz w:val="32"/>
        </w:rPr>
        <w:t>会议费管理办法》</w:t>
      </w:r>
      <w:r>
        <w:rPr>
          <w:sz w:val="32"/>
        </w:rPr>
        <w:t>（财行„2016‟214</w:t>
      </w:r>
      <w:r>
        <w:rPr>
          <w:spacing w:val="-35"/>
          <w:sz w:val="32"/>
        </w:rPr>
        <w:t> 号</w:t>
      </w:r>
      <w:r>
        <w:rPr>
          <w:sz w:val="32"/>
        </w:rPr>
        <w:t>）制定本办法。</w:t>
      </w:r>
    </w:p>
    <w:p>
      <w:pPr>
        <w:spacing w:line="364" w:lineRule="auto" w:before="7"/>
        <w:ind w:left="535" w:right="831" w:firstLine="640"/>
        <w:jc w:val="left"/>
        <w:rPr>
          <w:sz w:val="32"/>
        </w:rPr>
      </w:pPr>
      <w:r>
        <w:rPr>
          <w:spacing w:val="-7"/>
          <w:sz w:val="32"/>
        </w:rPr>
        <w:t>第二条 本办法适用于自然科学基金委举办</w:t>
      </w:r>
      <w:r>
        <w:rPr>
          <w:sz w:val="32"/>
        </w:rPr>
        <w:t>（</w:t>
      </w:r>
      <w:r>
        <w:rPr>
          <w:spacing w:val="-20"/>
          <w:sz w:val="32"/>
        </w:rPr>
        <w:t>含主办、承办</w:t>
      </w:r>
      <w:r>
        <w:rPr>
          <w:spacing w:val="-11"/>
          <w:sz w:val="32"/>
        </w:rPr>
        <w:t>） </w:t>
      </w:r>
      <w:r>
        <w:rPr>
          <w:sz w:val="32"/>
        </w:rPr>
        <w:t>的各类会议，包括业务会议和政务会议。</w:t>
      </w:r>
    </w:p>
    <w:p>
      <w:pPr>
        <w:spacing w:line="364" w:lineRule="auto" w:before="2"/>
        <w:ind w:left="535" w:right="989" w:firstLine="640"/>
        <w:jc w:val="both"/>
        <w:rPr>
          <w:sz w:val="32"/>
        </w:rPr>
      </w:pPr>
      <w:r>
        <w:rPr>
          <w:spacing w:val="6"/>
          <w:w w:val="95"/>
          <w:sz w:val="32"/>
        </w:rPr>
        <w:t>业务会议是指按照《国家自然科学基金条例》和各类项目 </w:t>
      </w:r>
      <w:r>
        <w:rPr>
          <w:spacing w:val="3"/>
          <w:w w:val="95"/>
          <w:sz w:val="32"/>
        </w:rPr>
        <w:t>管理办法的规定，在基金项目组织规划、申请、评审、监督与 管理等业务工作中召开的各种会议。包括项目评审会议、中期 检查会议、结题审查会议、咨询会议、监督审计会议、交流研 </w:t>
      </w:r>
      <w:r>
        <w:rPr>
          <w:spacing w:val="3"/>
          <w:sz w:val="32"/>
        </w:rPr>
        <w:t>讨会议、管理与培训会议等。</w:t>
      </w:r>
    </w:p>
    <w:p>
      <w:pPr>
        <w:spacing w:line="364" w:lineRule="auto" w:before="4"/>
        <w:ind w:left="535" w:right="989" w:firstLine="640"/>
        <w:jc w:val="left"/>
        <w:rPr>
          <w:sz w:val="32"/>
        </w:rPr>
      </w:pPr>
      <w:r>
        <w:rPr>
          <w:spacing w:val="6"/>
          <w:w w:val="95"/>
          <w:sz w:val="32"/>
        </w:rPr>
        <w:t>政务会议是指以内部行政和管理工作为主要内容的会议。 </w:t>
      </w:r>
      <w:r>
        <w:rPr>
          <w:spacing w:val="3"/>
          <w:w w:val="95"/>
          <w:sz w:val="32"/>
        </w:rPr>
        <w:t>包括党组会议、全体委员会议、委务会议、委主任办公会议以</w:t>
      </w:r>
    </w:p>
    <w:p>
      <w:pPr>
        <w:spacing w:after="0" w:line="364" w:lineRule="auto"/>
        <w:jc w:val="left"/>
        <w:rPr>
          <w:sz w:val="32"/>
        </w:rPr>
        <w:sectPr>
          <w:pgSz w:w="11910" w:h="16840"/>
          <w:pgMar w:header="0" w:footer="1035" w:top="1580" w:bottom="1300" w:left="1020" w:right="560"/>
        </w:sectPr>
      </w:pPr>
    </w:p>
    <w:p>
      <w:pPr>
        <w:spacing w:before="27"/>
        <w:ind w:left="535" w:right="0" w:firstLine="0"/>
        <w:jc w:val="left"/>
        <w:rPr>
          <w:sz w:val="32"/>
        </w:rPr>
      </w:pPr>
      <w:r>
        <w:rPr>
          <w:sz w:val="32"/>
        </w:rPr>
        <w:t>及其他与行政管理相关的会议。</w:t>
      </w:r>
    </w:p>
    <w:p>
      <w:pPr>
        <w:spacing w:line="364" w:lineRule="auto" w:before="213"/>
        <w:ind w:left="535" w:right="993" w:firstLine="640"/>
        <w:jc w:val="both"/>
        <w:rPr>
          <w:sz w:val="32"/>
        </w:rPr>
      </w:pPr>
      <w:r>
        <w:rPr>
          <w:sz w:val="32"/>
        </w:rPr>
        <w:t>第三条 各部门召开会议应坚持厉行节约、反对浪费、规范</w:t>
      </w:r>
      <w:r>
        <w:rPr>
          <w:w w:val="95"/>
          <w:sz w:val="32"/>
        </w:rPr>
        <w:t>简朴、务实高效的原则，严格控制会议数量、规模和会期，规 </w:t>
      </w:r>
      <w:r>
        <w:rPr>
          <w:sz w:val="32"/>
        </w:rPr>
        <w:t>范会议费管理。</w:t>
      </w:r>
    </w:p>
    <w:p>
      <w:pPr>
        <w:spacing w:before="3"/>
        <w:ind w:left="1176" w:right="0" w:firstLine="0"/>
        <w:jc w:val="both"/>
        <w:rPr>
          <w:sz w:val="32"/>
        </w:rPr>
      </w:pPr>
      <w:r>
        <w:rPr>
          <w:sz w:val="32"/>
        </w:rPr>
        <w:t>第四条 各部门召开的会议实行计划管理。会议计划管理按</w:t>
      </w:r>
    </w:p>
    <w:p>
      <w:pPr>
        <w:spacing w:before="214"/>
        <w:ind w:left="535" w:right="0" w:firstLine="0"/>
        <w:jc w:val="left"/>
        <w:rPr>
          <w:sz w:val="32"/>
        </w:rPr>
      </w:pPr>
      <w:r>
        <w:rPr>
          <w:sz w:val="32"/>
        </w:rPr>
        <w:t>《国家自然科学基金委员会会议管理办法</w:t>
      </w:r>
      <w:r>
        <w:rPr>
          <w:spacing w:val="-243"/>
          <w:sz w:val="32"/>
        </w:rPr>
        <w:t>》</w:t>
      </w:r>
      <w:r>
        <w:rPr>
          <w:sz w:val="32"/>
        </w:rPr>
        <w:t>（</w:t>
      </w:r>
      <w:r>
        <w:rPr>
          <w:spacing w:val="-15"/>
          <w:sz w:val="32"/>
        </w:rPr>
        <w:t>国科金发办„</w:t>
      </w:r>
      <w:r>
        <w:rPr>
          <w:sz w:val="32"/>
        </w:rPr>
        <w:t>2012‟</w:t>
      </w:r>
    </w:p>
    <w:p>
      <w:pPr>
        <w:spacing w:before="215"/>
        <w:ind w:left="535" w:right="0" w:firstLine="0"/>
        <w:jc w:val="left"/>
        <w:rPr>
          <w:sz w:val="32"/>
        </w:rPr>
      </w:pPr>
      <w:r>
        <w:rPr>
          <w:sz w:val="32"/>
        </w:rPr>
        <w:t>85 号）的有关规定执行。</w:t>
      </w:r>
    </w:p>
    <w:p>
      <w:pPr>
        <w:spacing w:line="364" w:lineRule="auto" w:before="214"/>
        <w:ind w:left="535" w:right="996" w:firstLine="640"/>
        <w:jc w:val="both"/>
        <w:rPr>
          <w:sz w:val="32"/>
        </w:rPr>
      </w:pPr>
      <w:r>
        <w:rPr>
          <w:spacing w:val="-4"/>
          <w:sz w:val="32"/>
        </w:rPr>
        <w:t>第五条 各部门召开的会议实行严格的预算管理。会议预算</w:t>
      </w:r>
      <w:r>
        <w:rPr>
          <w:sz w:val="32"/>
        </w:rPr>
        <w:t>应据实编报，一经核定，执行中原则上不得突破。</w:t>
      </w:r>
    </w:p>
    <w:p>
      <w:pPr>
        <w:tabs>
          <w:tab w:pos="1439" w:val="left" w:leader="none"/>
        </w:tabs>
        <w:spacing w:before="157"/>
        <w:ind w:left="0" w:right="458" w:firstLine="0"/>
        <w:jc w:val="center"/>
        <w:rPr>
          <w:rFonts w:ascii="黑体" w:eastAsia="黑体" w:hint="eastAsia"/>
          <w:sz w:val="32"/>
        </w:rPr>
      </w:pPr>
      <w:r>
        <w:rPr>
          <w:rFonts w:ascii="黑体" w:eastAsia="黑体" w:hint="eastAsia"/>
          <w:sz w:val="32"/>
        </w:rPr>
        <w:t>第二章</w:t>
        <w:tab/>
        <w:t>会议费的审批和管理</w:t>
      </w:r>
    </w:p>
    <w:p>
      <w:pPr>
        <w:pStyle w:val="BodyText"/>
        <w:spacing w:before="11"/>
        <w:rPr>
          <w:rFonts w:ascii="黑体"/>
        </w:rPr>
      </w:pPr>
    </w:p>
    <w:p>
      <w:pPr>
        <w:spacing w:line="364" w:lineRule="auto" w:before="0"/>
        <w:ind w:left="535" w:right="996" w:firstLine="640"/>
        <w:jc w:val="both"/>
        <w:rPr>
          <w:sz w:val="32"/>
        </w:rPr>
      </w:pPr>
      <w:r>
        <w:rPr>
          <w:spacing w:val="-5"/>
          <w:sz w:val="32"/>
        </w:rPr>
        <w:t>第六条 各部门举办会议应预先编制会议费预算。会议费预</w:t>
      </w:r>
      <w:r>
        <w:rPr>
          <w:spacing w:val="3"/>
          <w:w w:val="95"/>
          <w:sz w:val="32"/>
        </w:rPr>
        <w:t>算包括会议名称、主要内容、时间地点、代表人数、工作人员 人数、会议举办部门、所需经费等。会议费预算应于会议召开 </w:t>
      </w:r>
      <w:r>
        <w:rPr>
          <w:spacing w:val="-40"/>
          <w:sz w:val="32"/>
        </w:rPr>
        <w:t>前 </w:t>
      </w:r>
      <w:r>
        <w:rPr>
          <w:sz w:val="32"/>
        </w:rPr>
        <w:t>5</w:t>
      </w:r>
      <w:r>
        <w:rPr>
          <w:spacing w:val="-10"/>
          <w:sz w:val="32"/>
        </w:rPr>
        <w:t> 个工作日前交财务局审核。</w:t>
      </w:r>
    </w:p>
    <w:p>
      <w:pPr>
        <w:spacing w:line="364" w:lineRule="auto" w:before="4"/>
        <w:ind w:left="535" w:right="992" w:firstLine="640"/>
        <w:jc w:val="both"/>
        <w:rPr>
          <w:sz w:val="32"/>
        </w:rPr>
      </w:pPr>
      <w:r>
        <w:rPr>
          <w:spacing w:val="-6"/>
          <w:sz w:val="32"/>
        </w:rPr>
        <w:t>第七条 各部门应当严格控制会议规模。业务会议会期和参</w:t>
      </w:r>
      <w:r>
        <w:rPr>
          <w:spacing w:val="3"/>
          <w:w w:val="95"/>
          <w:sz w:val="32"/>
        </w:rPr>
        <w:t>会人数按照业务活动实际需要确定；政务会议会期一般不得超 </w:t>
      </w:r>
      <w:r>
        <w:rPr>
          <w:spacing w:val="-39"/>
          <w:sz w:val="32"/>
        </w:rPr>
        <w:t>过 </w:t>
      </w:r>
      <w:r>
        <w:rPr>
          <w:sz w:val="32"/>
        </w:rPr>
        <w:t>2</w:t>
      </w:r>
      <w:r>
        <w:rPr>
          <w:spacing w:val="-16"/>
          <w:sz w:val="32"/>
        </w:rPr>
        <w:t> 天。工作人员控制在会议代表人数的 </w:t>
      </w:r>
      <w:r>
        <w:rPr>
          <w:sz w:val="32"/>
        </w:rPr>
        <w:t>10</w:t>
      </w:r>
      <w:r>
        <w:rPr>
          <w:spacing w:val="-8"/>
          <w:sz w:val="32"/>
        </w:rPr>
        <w:t>%以内，会议报到和离开时间合计不得超过 </w:t>
      </w:r>
      <w:r>
        <w:rPr>
          <w:sz w:val="32"/>
        </w:rPr>
        <w:t>1</w:t>
      </w:r>
      <w:r>
        <w:rPr>
          <w:spacing w:val="-27"/>
          <w:sz w:val="32"/>
        </w:rPr>
        <w:t> 天。</w:t>
      </w:r>
    </w:p>
    <w:p>
      <w:pPr>
        <w:spacing w:line="364" w:lineRule="auto" w:before="4"/>
        <w:ind w:left="535" w:right="996" w:firstLine="640"/>
        <w:jc w:val="both"/>
        <w:rPr>
          <w:sz w:val="32"/>
        </w:rPr>
      </w:pPr>
      <w:r>
        <w:rPr>
          <w:spacing w:val="-4"/>
          <w:sz w:val="32"/>
        </w:rPr>
        <w:t>第八条 各部门召开会议应当改进会议形式，充分运用电视</w:t>
      </w:r>
      <w:r>
        <w:rPr>
          <w:spacing w:val="3"/>
          <w:w w:val="95"/>
          <w:sz w:val="32"/>
        </w:rPr>
        <w:t>电话、网络视频等现代信息技术手段，降低会议成本，提高会 </w:t>
      </w:r>
      <w:r>
        <w:rPr>
          <w:sz w:val="32"/>
        </w:rPr>
        <w:t>议效率。</w:t>
      </w:r>
    </w:p>
    <w:p>
      <w:pPr>
        <w:spacing w:after="0" w:line="364" w:lineRule="auto"/>
        <w:jc w:val="both"/>
        <w:rPr>
          <w:sz w:val="32"/>
        </w:rPr>
        <w:sectPr>
          <w:pgSz w:w="11910" w:h="16840"/>
          <w:pgMar w:header="0" w:footer="1035" w:top="1500" w:bottom="1300" w:left="1020" w:right="560"/>
        </w:sectPr>
      </w:pPr>
    </w:p>
    <w:p>
      <w:pPr>
        <w:spacing w:line="364" w:lineRule="auto" w:before="27"/>
        <w:ind w:left="535" w:right="996" w:firstLine="640"/>
        <w:jc w:val="both"/>
        <w:rPr>
          <w:sz w:val="32"/>
        </w:rPr>
      </w:pPr>
      <w:r>
        <w:rPr>
          <w:sz w:val="32"/>
        </w:rPr>
        <w:t>第九条各部门会议原则上应当到定点会议场所召开，按照</w:t>
      </w:r>
      <w:r>
        <w:rPr>
          <w:w w:val="95"/>
          <w:sz w:val="32"/>
        </w:rPr>
        <w:t>协议价格结算费用。未纳入定点范围，价格低于会议综合定额 标准的单位内部会议室、礼堂、宾馆、招待所、培训中心，可 </w:t>
      </w:r>
      <w:r>
        <w:rPr>
          <w:sz w:val="32"/>
        </w:rPr>
        <w:t>优先作为本单位或本系统会议场所。</w:t>
      </w:r>
    </w:p>
    <w:p>
      <w:pPr>
        <w:spacing w:line="364" w:lineRule="auto" w:before="3"/>
        <w:ind w:left="535" w:right="994" w:firstLine="640"/>
        <w:jc w:val="both"/>
        <w:rPr>
          <w:sz w:val="32"/>
        </w:rPr>
      </w:pPr>
      <w:r>
        <w:rPr>
          <w:spacing w:val="9"/>
          <w:sz w:val="32"/>
        </w:rPr>
        <w:t>第十条 无外地代表且会议规模能够在委内会议室安排的</w:t>
      </w:r>
      <w:r>
        <w:rPr>
          <w:spacing w:val="-12"/>
          <w:sz w:val="32"/>
        </w:rPr>
        <w:t>会议，原则上在委内会议室召开。参会人员以在京单位为主</w:t>
      </w:r>
      <w:r>
        <w:rPr>
          <w:sz w:val="32"/>
        </w:rPr>
        <w:t>（</w:t>
      </w:r>
      <w:r>
        <w:rPr>
          <w:spacing w:val="-12"/>
          <w:sz w:val="32"/>
        </w:rPr>
        <w:t>超</w:t>
      </w:r>
      <w:r>
        <w:rPr>
          <w:spacing w:val="-41"/>
          <w:sz w:val="32"/>
        </w:rPr>
        <w:t>过 </w:t>
      </w:r>
      <w:r>
        <w:rPr>
          <w:sz w:val="32"/>
        </w:rPr>
        <w:t>50%为在京单位人员</w:t>
      </w:r>
      <w:r>
        <w:rPr>
          <w:spacing w:val="-44"/>
          <w:sz w:val="32"/>
        </w:rPr>
        <w:t>）</w:t>
      </w:r>
      <w:r>
        <w:rPr>
          <w:spacing w:val="-5"/>
          <w:sz w:val="32"/>
        </w:rPr>
        <w:t>的会议原则上不得到京外召开。不得到</w:t>
      </w:r>
      <w:r>
        <w:rPr>
          <w:sz w:val="32"/>
        </w:rPr>
        <w:t>党中央、国务院明令禁止的风景名胜区召开会议。</w:t>
      </w:r>
    </w:p>
    <w:p>
      <w:pPr>
        <w:tabs>
          <w:tab w:pos="1440" w:val="left" w:leader="none"/>
        </w:tabs>
        <w:spacing w:before="159"/>
        <w:ind w:left="0" w:right="459" w:firstLine="0"/>
        <w:jc w:val="center"/>
        <w:rPr>
          <w:rFonts w:ascii="黑体" w:eastAsia="黑体" w:hint="eastAsia"/>
          <w:sz w:val="32"/>
        </w:rPr>
      </w:pPr>
      <w:r>
        <w:rPr>
          <w:rFonts w:ascii="黑体" w:eastAsia="黑体" w:hint="eastAsia"/>
          <w:sz w:val="32"/>
        </w:rPr>
        <w:t>第三章</w:t>
        <w:tab/>
        <w:t>会议费开支范围、标准和报销支付</w:t>
      </w:r>
    </w:p>
    <w:p>
      <w:pPr>
        <w:pStyle w:val="BodyText"/>
        <w:spacing w:before="12"/>
        <w:rPr>
          <w:rFonts w:ascii="黑体"/>
        </w:rPr>
      </w:pPr>
    </w:p>
    <w:p>
      <w:pPr>
        <w:spacing w:line="364" w:lineRule="auto" w:before="0"/>
        <w:ind w:left="535" w:right="993" w:firstLine="640"/>
        <w:jc w:val="left"/>
        <w:rPr>
          <w:sz w:val="32"/>
        </w:rPr>
      </w:pPr>
      <w:r>
        <w:rPr>
          <w:sz w:val="32"/>
        </w:rPr>
        <w:t>第十一条 会议费开支范围包括会议住宿费、伙食费、会议场地租金、交通费、文件资料印刷费、办公文具、医药费等。</w:t>
      </w:r>
    </w:p>
    <w:p>
      <w:pPr>
        <w:spacing w:line="364" w:lineRule="auto" w:before="1"/>
        <w:ind w:left="535" w:right="989" w:firstLine="640"/>
        <w:jc w:val="left"/>
        <w:rPr>
          <w:sz w:val="32"/>
        </w:rPr>
      </w:pPr>
      <w:r>
        <w:rPr>
          <w:spacing w:val="6"/>
          <w:w w:val="95"/>
          <w:sz w:val="32"/>
        </w:rPr>
        <w:t>前款所称交通费是指用于会议代表接送站，以及会议统一 </w:t>
      </w:r>
      <w:r>
        <w:rPr>
          <w:sz w:val="32"/>
        </w:rPr>
        <w:t>组织的代表考察、调研等发生的交通支出。</w:t>
      </w:r>
    </w:p>
    <w:p>
      <w:pPr>
        <w:spacing w:line="364" w:lineRule="auto" w:before="2"/>
        <w:ind w:left="535" w:right="955" w:firstLine="640"/>
        <w:jc w:val="left"/>
        <w:rPr>
          <w:sz w:val="32"/>
        </w:rPr>
      </w:pPr>
      <w:r>
        <w:rPr>
          <w:sz w:val="32"/>
        </w:rPr>
        <w:t>第十二条 会议费开支实行综合定额控制，各项费用之间可以调剂使用。会议费综合定额标准如下：</w:t>
      </w:r>
    </w:p>
    <w:p>
      <w:pPr>
        <w:spacing w:before="2"/>
        <w:ind w:left="6776" w:right="0" w:firstLine="0"/>
        <w:jc w:val="left"/>
        <w:rPr>
          <w:sz w:val="32"/>
        </w:rPr>
      </w:pPr>
      <w:r>
        <w:rPr>
          <w:sz w:val="32"/>
        </w:rPr>
        <w:t>单位:元/人.天</w:t>
      </w:r>
    </w:p>
    <w:p>
      <w:pPr>
        <w:pStyle w:val="BodyText"/>
        <w:spacing w:before="6" w:after="1"/>
        <w:rPr>
          <w:sz w:val="8"/>
        </w:rPr>
      </w:pPr>
    </w:p>
    <w:tbl>
      <w:tblPr>
        <w:tblW w:w="0" w:type="auto"/>
        <w:jc w:val="left"/>
        <w:tblInd w:w="9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69"/>
        <w:gridCol w:w="1531"/>
        <w:gridCol w:w="1282"/>
        <w:gridCol w:w="1623"/>
        <w:gridCol w:w="1274"/>
      </w:tblGrid>
      <w:tr>
        <w:trPr>
          <w:trHeight w:val="623" w:hRule="atLeast"/>
        </w:trPr>
        <w:tc>
          <w:tcPr>
            <w:tcW w:w="2369" w:type="dxa"/>
          </w:tcPr>
          <w:p>
            <w:pPr>
              <w:pStyle w:val="TableParagraph"/>
              <w:spacing w:before="104"/>
              <w:ind w:left="107"/>
              <w:rPr>
                <w:sz w:val="32"/>
              </w:rPr>
            </w:pPr>
            <w:r>
              <w:rPr>
                <w:sz w:val="32"/>
              </w:rPr>
              <w:t>会议类别</w:t>
            </w:r>
          </w:p>
        </w:tc>
        <w:tc>
          <w:tcPr>
            <w:tcW w:w="1531" w:type="dxa"/>
          </w:tcPr>
          <w:p>
            <w:pPr>
              <w:pStyle w:val="TableParagraph"/>
              <w:spacing w:before="104"/>
              <w:ind w:left="107"/>
              <w:rPr>
                <w:sz w:val="32"/>
              </w:rPr>
            </w:pPr>
            <w:r>
              <w:rPr>
                <w:sz w:val="32"/>
              </w:rPr>
              <w:t>住宿费</w:t>
            </w:r>
          </w:p>
        </w:tc>
        <w:tc>
          <w:tcPr>
            <w:tcW w:w="1282" w:type="dxa"/>
          </w:tcPr>
          <w:p>
            <w:pPr>
              <w:pStyle w:val="TableParagraph"/>
              <w:spacing w:before="104"/>
              <w:ind w:left="108"/>
              <w:rPr>
                <w:sz w:val="32"/>
              </w:rPr>
            </w:pPr>
            <w:r>
              <w:rPr>
                <w:sz w:val="32"/>
              </w:rPr>
              <w:t>伙食费</w:t>
            </w:r>
          </w:p>
        </w:tc>
        <w:tc>
          <w:tcPr>
            <w:tcW w:w="1623" w:type="dxa"/>
          </w:tcPr>
          <w:p>
            <w:pPr>
              <w:pStyle w:val="TableParagraph"/>
              <w:spacing w:before="104"/>
              <w:ind w:left="105"/>
              <w:rPr>
                <w:sz w:val="32"/>
              </w:rPr>
            </w:pPr>
            <w:r>
              <w:rPr>
                <w:sz w:val="32"/>
              </w:rPr>
              <w:t>其他费用</w:t>
            </w:r>
          </w:p>
        </w:tc>
        <w:tc>
          <w:tcPr>
            <w:tcW w:w="1274" w:type="dxa"/>
          </w:tcPr>
          <w:p>
            <w:pPr>
              <w:pStyle w:val="TableParagraph"/>
              <w:tabs>
                <w:tab w:pos="748" w:val="left" w:leader="none"/>
              </w:tabs>
              <w:spacing w:before="104"/>
              <w:ind w:left="108"/>
              <w:rPr>
                <w:sz w:val="32"/>
              </w:rPr>
            </w:pPr>
            <w:r>
              <w:rPr>
                <w:sz w:val="32"/>
              </w:rPr>
              <w:t>合</w:t>
              <w:tab/>
              <w:t>计</w:t>
            </w:r>
          </w:p>
        </w:tc>
      </w:tr>
      <w:tr>
        <w:trPr>
          <w:trHeight w:val="626" w:hRule="atLeast"/>
        </w:trPr>
        <w:tc>
          <w:tcPr>
            <w:tcW w:w="2369" w:type="dxa"/>
          </w:tcPr>
          <w:p>
            <w:pPr>
              <w:pStyle w:val="TableParagraph"/>
              <w:spacing w:before="107"/>
              <w:ind w:left="107"/>
              <w:rPr>
                <w:sz w:val="32"/>
              </w:rPr>
            </w:pPr>
            <w:r>
              <w:rPr>
                <w:sz w:val="32"/>
              </w:rPr>
              <w:t>业务会议</w:t>
            </w:r>
          </w:p>
        </w:tc>
        <w:tc>
          <w:tcPr>
            <w:tcW w:w="1531" w:type="dxa"/>
          </w:tcPr>
          <w:p>
            <w:pPr>
              <w:pStyle w:val="TableParagraph"/>
              <w:spacing w:before="107"/>
              <w:ind w:left="107"/>
              <w:rPr>
                <w:sz w:val="32"/>
              </w:rPr>
            </w:pPr>
            <w:r>
              <w:rPr>
                <w:sz w:val="32"/>
              </w:rPr>
              <w:t>340</w:t>
            </w:r>
          </w:p>
        </w:tc>
        <w:tc>
          <w:tcPr>
            <w:tcW w:w="1282" w:type="dxa"/>
          </w:tcPr>
          <w:p>
            <w:pPr>
              <w:pStyle w:val="TableParagraph"/>
              <w:spacing w:before="107"/>
              <w:ind w:left="108"/>
              <w:rPr>
                <w:sz w:val="32"/>
              </w:rPr>
            </w:pPr>
            <w:r>
              <w:rPr>
                <w:sz w:val="32"/>
              </w:rPr>
              <w:t>130</w:t>
            </w:r>
          </w:p>
        </w:tc>
        <w:tc>
          <w:tcPr>
            <w:tcW w:w="1623" w:type="dxa"/>
          </w:tcPr>
          <w:p>
            <w:pPr>
              <w:pStyle w:val="TableParagraph"/>
              <w:spacing w:before="107"/>
              <w:ind w:left="105"/>
              <w:rPr>
                <w:sz w:val="32"/>
              </w:rPr>
            </w:pPr>
            <w:r>
              <w:rPr>
                <w:sz w:val="32"/>
              </w:rPr>
              <w:t>230</w:t>
            </w:r>
          </w:p>
        </w:tc>
        <w:tc>
          <w:tcPr>
            <w:tcW w:w="1274" w:type="dxa"/>
          </w:tcPr>
          <w:p>
            <w:pPr>
              <w:pStyle w:val="TableParagraph"/>
              <w:spacing w:before="107"/>
              <w:ind w:left="108"/>
              <w:rPr>
                <w:sz w:val="32"/>
              </w:rPr>
            </w:pPr>
            <w:r>
              <w:rPr>
                <w:sz w:val="32"/>
              </w:rPr>
              <w:t>700</w:t>
            </w:r>
          </w:p>
        </w:tc>
      </w:tr>
      <w:tr>
        <w:trPr>
          <w:trHeight w:val="623" w:hRule="atLeast"/>
        </w:trPr>
        <w:tc>
          <w:tcPr>
            <w:tcW w:w="2369" w:type="dxa"/>
          </w:tcPr>
          <w:p>
            <w:pPr>
              <w:pStyle w:val="TableParagraph"/>
              <w:spacing w:before="104"/>
              <w:ind w:left="107"/>
              <w:rPr>
                <w:sz w:val="32"/>
              </w:rPr>
            </w:pPr>
            <w:r>
              <w:rPr>
                <w:sz w:val="32"/>
              </w:rPr>
              <w:t>政务会议</w:t>
            </w:r>
          </w:p>
        </w:tc>
        <w:tc>
          <w:tcPr>
            <w:tcW w:w="1531" w:type="dxa"/>
          </w:tcPr>
          <w:p>
            <w:pPr>
              <w:pStyle w:val="TableParagraph"/>
              <w:spacing w:before="104"/>
              <w:ind w:left="107"/>
              <w:rPr>
                <w:sz w:val="32"/>
              </w:rPr>
            </w:pPr>
            <w:r>
              <w:rPr>
                <w:sz w:val="32"/>
              </w:rPr>
              <w:t>340</w:t>
            </w:r>
          </w:p>
        </w:tc>
        <w:tc>
          <w:tcPr>
            <w:tcW w:w="1282" w:type="dxa"/>
          </w:tcPr>
          <w:p>
            <w:pPr>
              <w:pStyle w:val="TableParagraph"/>
              <w:spacing w:before="104"/>
              <w:ind w:left="108"/>
              <w:rPr>
                <w:sz w:val="32"/>
              </w:rPr>
            </w:pPr>
            <w:r>
              <w:rPr>
                <w:sz w:val="32"/>
              </w:rPr>
              <w:t>130</w:t>
            </w:r>
          </w:p>
        </w:tc>
        <w:tc>
          <w:tcPr>
            <w:tcW w:w="1623" w:type="dxa"/>
          </w:tcPr>
          <w:p>
            <w:pPr>
              <w:pStyle w:val="TableParagraph"/>
              <w:spacing w:before="104"/>
              <w:ind w:left="105"/>
              <w:rPr>
                <w:sz w:val="32"/>
              </w:rPr>
            </w:pPr>
            <w:r>
              <w:rPr>
                <w:sz w:val="32"/>
              </w:rPr>
              <w:t>80</w:t>
            </w:r>
          </w:p>
        </w:tc>
        <w:tc>
          <w:tcPr>
            <w:tcW w:w="1274" w:type="dxa"/>
          </w:tcPr>
          <w:p>
            <w:pPr>
              <w:pStyle w:val="TableParagraph"/>
              <w:spacing w:before="104"/>
              <w:ind w:left="108"/>
              <w:rPr>
                <w:sz w:val="32"/>
              </w:rPr>
            </w:pPr>
            <w:r>
              <w:rPr>
                <w:sz w:val="32"/>
              </w:rPr>
              <w:t>550</w:t>
            </w:r>
          </w:p>
        </w:tc>
      </w:tr>
    </w:tbl>
    <w:p>
      <w:pPr>
        <w:spacing w:line="364" w:lineRule="auto" w:before="104"/>
        <w:ind w:left="535" w:right="795" w:firstLine="640"/>
        <w:jc w:val="left"/>
        <w:rPr>
          <w:sz w:val="32"/>
        </w:rPr>
      </w:pPr>
      <w:r>
        <w:rPr>
          <w:sz w:val="32"/>
        </w:rPr>
        <w:t>（一）综合定额标准是会议费开支的上限。各部门应根据工作需要，从严控制会议支出，在综合定额标准以内结算报销，</w:t>
      </w:r>
    </w:p>
    <w:p>
      <w:pPr>
        <w:spacing w:after="0" w:line="364" w:lineRule="auto"/>
        <w:jc w:val="left"/>
        <w:rPr>
          <w:sz w:val="32"/>
        </w:rPr>
        <w:sectPr>
          <w:pgSz w:w="11910" w:h="16840"/>
          <w:pgMar w:header="0" w:footer="1035" w:top="1500" w:bottom="1300" w:left="1020" w:right="560"/>
        </w:sectPr>
      </w:pPr>
    </w:p>
    <w:p>
      <w:pPr>
        <w:spacing w:before="27"/>
        <w:ind w:left="535" w:right="0" w:firstLine="0"/>
        <w:jc w:val="left"/>
        <w:rPr>
          <w:sz w:val="32"/>
        </w:rPr>
      </w:pPr>
      <w:r>
        <w:rPr>
          <w:sz w:val="32"/>
        </w:rPr>
        <w:t>超支部分不予报销。</w:t>
      </w:r>
    </w:p>
    <w:p>
      <w:pPr>
        <w:spacing w:line="364" w:lineRule="auto" w:before="213"/>
        <w:ind w:left="535" w:right="835" w:firstLine="640"/>
        <w:jc w:val="left"/>
        <w:rPr>
          <w:sz w:val="32"/>
        </w:rPr>
      </w:pPr>
      <w:r>
        <w:rPr>
          <w:sz w:val="32"/>
        </w:rPr>
        <w:t>（二）综合定额里的其他费用包括会议场地租金、交通费、文件资料印刷费、办公文具、医药费等。</w:t>
      </w:r>
    </w:p>
    <w:p>
      <w:pPr>
        <w:spacing w:line="364" w:lineRule="auto" w:before="2"/>
        <w:ind w:left="535" w:right="989" w:firstLine="640"/>
        <w:jc w:val="both"/>
        <w:rPr>
          <w:sz w:val="32"/>
        </w:rPr>
      </w:pPr>
      <w:r>
        <w:rPr>
          <w:spacing w:val="7"/>
          <w:w w:val="95"/>
          <w:sz w:val="32"/>
        </w:rPr>
        <w:t>（三）</w:t>
      </w:r>
      <w:r>
        <w:rPr>
          <w:spacing w:val="6"/>
          <w:w w:val="95"/>
          <w:sz w:val="32"/>
        </w:rPr>
        <w:t>不安排住宿的会议，综合定额按照扣除住宿费后的 </w:t>
      </w:r>
      <w:r>
        <w:rPr>
          <w:spacing w:val="3"/>
          <w:w w:val="95"/>
          <w:sz w:val="32"/>
        </w:rPr>
        <w:t>定额标准执行，住宿费不能调剂使用；不安排就餐的会议，综 合定额按照扣除伙食费后的定额标准执行，伙食费不能调剂使 </w:t>
      </w:r>
      <w:r>
        <w:rPr>
          <w:spacing w:val="3"/>
          <w:sz w:val="32"/>
        </w:rPr>
        <w:t>用。</w:t>
      </w:r>
    </w:p>
    <w:p>
      <w:pPr>
        <w:spacing w:line="364" w:lineRule="auto" w:before="4"/>
        <w:ind w:left="535" w:right="996" w:firstLine="640"/>
        <w:jc w:val="both"/>
        <w:rPr>
          <w:sz w:val="32"/>
        </w:rPr>
      </w:pPr>
      <w:r>
        <w:rPr>
          <w:spacing w:val="-3"/>
          <w:sz w:val="32"/>
        </w:rPr>
        <w:t>第十三条 下列费用纳入会议费预算，但不计入会议费综合</w:t>
      </w:r>
      <w:r>
        <w:rPr>
          <w:sz w:val="32"/>
        </w:rPr>
        <w:t>控制定额，在相应的支出科目中据实列支。</w:t>
      </w:r>
    </w:p>
    <w:p>
      <w:pPr>
        <w:spacing w:line="364" w:lineRule="auto" w:before="2"/>
        <w:ind w:left="535" w:right="989" w:firstLine="640"/>
        <w:jc w:val="both"/>
        <w:rPr>
          <w:sz w:val="32"/>
        </w:rPr>
      </w:pPr>
      <w:r>
        <w:rPr>
          <w:spacing w:val="7"/>
          <w:w w:val="95"/>
          <w:sz w:val="32"/>
        </w:rPr>
        <w:t>（一）</w:t>
      </w:r>
      <w:r>
        <w:rPr>
          <w:spacing w:val="6"/>
          <w:w w:val="95"/>
          <w:sz w:val="32"/>
        </w:rPr>
        <w:t>会议代表城市间交通费。会议代表参加会议发生的 </w:t>
      </w:r>
      <w:r>
        <w:rPr>
          <w:spacing w:val="3"/>
          <w:w w:val="95"/>
          <w:sz w:val="32"/>
        </w:rPr>
        <w:t>城市间交通费，原则上由所在单位报销。因工作需要，对聘请 专家的城市间交通费，可按照国家差旅费管理规定，由会议据 </w:t>
      </w:r>
      <w:r>
        <w:rPr>
          <w:spacing w:val="3"/>
          <w:sz w:val="32"/>
        </w:rPr>
        <w:t>实报销。</w:t>
      </w:r>
    </w:p>
    <w:p>
      <w:pPr>
        <w:spacing w:line="364" w:lineRule="auto" w:before="3"/>
        <w:ind w:left="535" w:right="795" w:firstLine="640"/>
        <w:jc w:val="left"/>
        <w:rPr>
          <w:sz w:val="32"/>
        </w:rPr>
      </w:pPr>
      <w:r>
        <w:rPr>
          <w:sz w:val="32"/>
        </w:rPr>
        <w:t>（二）参会专家人员费用。根据工作需要和国家有关规定， 向邀请参会专家发放评审费、咨询费、讲课费等劳务费用。</w:t>
      </w:r>
    </w:p>
    <w:p>
      <w:pPr>
        <w:spacing w:line="364" w:lineRule="auto" w:before="2"/>
        <w:ind w:left="535" w:right="1152" w:firstLine="640"/>
        <w:jc w:val="left"/>
        <w:rPr>
          <w:sz w:val="32"/>
        </w:rPr>
      </w:pPr>
      <w:r>
        <w:rPr>
          <w:sz w:val="32"/>
        </w:rPr>
        <w:t>（三）设备租赁费用。根据工作需要，租赁会议相关设备如电脑、投影仪等发生的费用。</w:t>
      </w:r>
    </w:p>
    <w:p>
      <w:pPr>
        <w:spacing w:line="364" w:lineRule="auto" w:before="1"/>
        <w:ind w:left="535" w:right="990" w:firstLine="640"/>
        <w:jc w:val="left"/>
        <w:rPr>
          <w:sz w:val="32"/>
        </w:rPr>
      </w:pPr>
      <w:r>
        <w:rPr>
          <w:sz w:val="32"/>
        </w:rPr>
        <w:t>第十四条 会议费支出由会议主办部门主要负责人审签后， 办理报销手续。</w:t>
      </w:r>
    </w:p>
    <w:p>
      <w:pPr>
        <w:spacing w:line="364" w:lineRule="auto" w:before="3"/>
        <w:ind w:left="535" w:right="995" w:firstLine="640"/>
        <w:jc w:val="left"/>
        <w:rPr>
          <w:sz w:val="32"/>
        </w:rPr>
      </w:pPr>
      <w:r>
        <w:rPr>
          <w:spacing w:val="-8"/>
          <w:sz w:val="32"/>
        </w:rPr>
        <w:t>各部门应在会议结束后 </w:t>
      </w:r>
      <w:r>
        <w:rPr>
          <w:sz w:val="32"/>
        </w:rPr>
        <w:t>15</w:t>
      </w:r>
      <w:r>
        <w:rPr>
          <w:spacing w:val="-11"/>
          <w:sz w:val="32"/>
        </w:rPr>
        <w:t> 个工作日内办理报销手续。报销</w:t>
      </w:r>
      <w:r>
        <w:rPr>
          <w:spacing w:val="3"/>
          <w:w w:val="95"/>
          <w:sz w:val="32"/>
        </w:rPr>
        <w:t>时应当提供经审批的会议费预算表、会议费结算表、会议通知</w:t>
      </w:r>
    </w:p>
    <w:p>
      <w:pPr>
        <w:spacing w:before="1"/>
        <w:ind w:left="535" w:right="0" w:firstLine="0"/>
        <w:jc w:val="left"/>
        <w:rPr>
          <w:sz w:val="32"/>
        </w:rPr>
      </w:pPr>
      <w:r>
        <w:rPr>
          <w:w w:val="95"/>
          <w:sz w:val="32"/>
        </w:rPr>
        <w:t>（含会议议程</w:t>
      </w:r>
      <w:r>
        <w:rPr>
          <w:spacing w:val="-161"/>
          <w:w w:val="95"/>
          <w:sz w:val="32"/>
        </w:rPr>
        <w:t>）</w:t>
      </w:r>
      <w:r>
        <w:rPr>
          <w:spacing w:val="-2"/>
          <w:w w:val="95"/>
          <w:sz w:val="32"/>
        </w:rPr>
        <w:t>、实际参会人员签到表及会议服务单位提供的费</w:t>
      </w:r>
    </w:p>
    <w:p>
      <w:pPr>
        <w:spacing w:after="0"/>
        <w:jc w:val="left"/>
        <w:rPr>
          <w:sz w:val="32"/>
        </w:rPr>
        <w:sectPr>
          <w:pgSz w:w="11910" w:h="16840"/>
          <w:pgMar w:header="0" w:footer="1035" w:top="1500" w:bottom="1300" w:left="1020" w:right="560"/>
        </w:sectPr>
      </w:pPr>
    </w:p>
    <w:p>
      <w:pPr>
        <w:spacing w:before="27"/>
        <w:ind w:left="535" w:right="0" w:firstLine="0"/>
        <w:jc w:val="left"/>
        <w:rPr>
          <w:sz w:val="32"/>
        </w:rPr>
      </w:pPr>
      <w:r>
        <w:rPr>
          <w:sz w:val="32"/>
        </w:rPr>
        <w:t>用发票、原始明细单据、电子结算单等凭证。</w:t>
      </w:r>
    </w:p>
    <w:p>
      <w:pPr>
        <w:spacing w:line="364" w:lineRule="auto" w:before="213"/>
        <w:ind w:left="535" w:right="996" w:firstLine="640"/>
        <w:jc w:val="both"/>
        <w:rPr>
          <w:sz w:val="32"/>
        </w:rPr>
      </w:pPr>
      <w:r>
        <w:rPr>
          <w:spacing w:val="-3"/>
          <w:sz w:val="32"/>
        </w:rPr>
        <w:t>第十五条 会议费报销应按会议费预算执行。如业务会议实</w:t>
      </w:r>
      <w:r>
        <w:rPr>
          <w:spacing w:val="3"/>
          <w:w w:val="95"/>
          <w:sz w:val="32"/>
        </w:rPr>
        <w:t>际支出超出预算，须在会议费结算表的特殊事项中予以说明， 经所在部门主要负责人审批同意后方可报销。必要时，应报部 </w:t>
      </w:r>
      <w:r>
        <w:rPr>
          <w:sz w:val="32"/>
        </w:rPr>
        <w:t>门分管委领导审批。</w:t>
      </w:r>
    </w:p>
    <w:p>
      <w:pPr>
        <w:spacing w:line="364" w:lineRule="auto" w:before="4"/>
        <w:ind w:left="535" w:right="996" w:firstLine="640"/>
        <w:jc w:val="both"/>
        <w:rPr>
          <w:sz w:val="32"/>
        </w:rPr>
      </w:pPr>
      <w:r>
        <w:rPr>
          <w:spacing w:val="-4"/>
          <w:sz w:val="32"/>
        </w:rPr>
        <w:t>第十六条 除符合现金支付规定的情形外，会议费支出应以</w:t>
      </w:r>
      <w:r>
        <w:rPr>
          <w:sz w:val="32"/>
        </w:rPr>
        <w:t>银行转账或公务卡方式结算，禁止以现金方式结算。</w:t>
      </w:r>
    </w:p>
    <w:p>
      <w:pPr>
        <w:spacing w:before="158"/>
        <w:ind w:left="0" w:right="458" w:firstLine="0"/>
        <w:jc w:val="center"/>
        <w:rPr>
          <w:rFonts w:ascii="黑体" w:eastAsia="黑体" w:hint="eastAsia"/>
          <w:sz w:val="32"/>
        </w:rPr>
      </w:pPr>
      <w:r>
        <w:rPr>
          <w:rFonts w:ascii="黑体" w:eastAsia="黑体" w:hint="eastAsia"/>
          <w:sz w:val="32"/>
        </w:rPr>
        <w:t>第四章 监督与问责</w:t>
      </w:r>
    </w:p>
    <w:p>
      <w:pPr>
        <w:pStyle w:val="BodyText"/>
        <w:spacing w:before="11"/>
        <w:rPr>
          <w:rFonts w:ascii="黑体"/>
        </w:rPr>
      </w:pPr>
    </w:p>
    <w:p>
      <w:pPr>
        <w:spacing w:line="364" w:lineRule="auto" w:before="0"/>
        <w:ind w:left="535" w:right="996" w:firstLine="640"/>
        <w:jc w:val="both"/>
        <w:rPr>
          <w:sz w:val="32"/>
        </w:rPr>
      </w:pPr>
      <w:r>
        <w:rPr>
          <w:sz w:val="32"/>
        </w:rPr>
        <w:t>第十七条 会议费管理按照分工负责的原则，实行各司其职、各负其责、相互监督制约的管理制度。</w:t>
      </w:r>
    </w:p>
    <w:p>
      <w:pPr>
        <w:spacing w:line="364" w:lineRule="auto" w:before="2"/>
        <w:ind w:left="535" w:right="989" w:firstLine="640"/>
        <w:jc w:val="both"/>
        <w:rPr>
          <w:sz w:val="32"/>
        </w:rPr>
      </w:pPr>
      <w:r>
        <w:rPr>
          <w:spacing w:val="6"/>
          <w:w w:val="95"/>
          <w:sz w:val="32"/>
        </w:rPr>
        <w:t>会议主办部门应加强会议费管理，严格遵守会议费管理制 </w:t>
      </w:r>
      <w:r>
        <w:rPr>
          <w:spacing w:val="3"/>
          <w:w w:val="95"/>
          <w:sz w:val="32"/>
        </w:rPr>
        <w:t>度和有关财经法律法规，依法、据实报销会议费，并对会议费 </w:t>
      </w:r>
      <w:r>
        <w:rPr>
          <w:spacing w:val="3"/>
          <w:sz w:val="32"/>
        </w:rPr>
        <w:t>使用的合规性、合理性、真实性和相关性负责。</w:t>
      </w:r>
    </w:p>
    <w:p>
      <w:pPr>
        <w:spacing w:line="364" w:lineRule="auto" w:before="3"/>
        <w:ind w:left="535" w:right="989" w:firstLine="640"/>
        <w:jc w:val="both"/>
        <w:rPr>
          <w:sz w:val="32"/>
        </w:rPr>
      </w:pPr>
      <w:r>
        <w:rPr>
          <w:spacing w:val="6"/>
          <w:w w:val="95"/>
          <w:sz w:val="32"/>
        </w:rPr>
        <w:t>会议承办部门应确保会议费各项开支符合会议费管理制度 </w:t>
      </w:r>
      <w:r>
        <w:rPr>
          <w:spacing w:val="3"/>
          <w:w w:val="95"/>
          <w:sz w:val="32"/>
        </w:rPr>
        <w:t>和有关财经法律法规的要求，并努力提高服务水平，保障会议 </w:t>
      </w:r>
      <w:r>
        <w:rPr>
          <w:spacing w:val="3"/>
          <w:sz w:val="32"/>
        </w:rPr>
        <w:t>顺利召开。</w:t>
      </w:r>
    </w:p>
    <w:p>
      <w:pPr>
        <w:spacing w:line="364" w:lineRule="auto" w:before="2"/>
        <w:ind w:left="535" w:right="989" w:firstLine="640"/>
        <w:jc w:val="left"/>
        <w:rPr>
          <w:sz w:val="32"/>
        </w:rPr>
      </w:pPr>
      <w:r>
        <w:rPr>
          <w:spacing w:val="6"/>
          <w:w w:val="95"/>
          <w:sz w:val="32"/>
        </w:rPr>
        <w:t>财务部门应严格按规定审核会议预算，依法依规办理会议 </w:t>
      </w:r>
      <w:r>
        <w:rPr>
          <w:sz w:val="32"/>
        </w:rPr>
        <w:t>费的会计核算，加强财务管理和监督。</w:t>
      </w:r>
    </w:p>
    <w:p>
      <w:pPr>
        <w:spacing w:line="364" w:lineRule="auto" w:before="2"/>
        <w:ind w:left="535" w:right="988" w:firstLine="640"/>
        <w:jc w:val="left"/>
        <w:rPr>
          <w:sz w:val="32"/>
        </w:rPr>
      </w:pPr>
      <w:r>
        <w:rPr>
          <w:spacing w:val="6"/>
          <w:w w:val="95"/>
          <w:sz w:val="32"/>
        </w:rPr>
        <w:t>纪检监察部门和审计部门应加强对会议费使用的管理和监 </w:t>
      </w:r>
      <w:r>
        <w:rPr>
          <w:sz w:val="32"/>
        </w:rPr>
        <w:t>督，对违规违纪行为按有关规定处理。</w:t>
      </w:r>
    </w:p>
    <w:p>
      <w:pPr>
        <w:spacing w:before="2"/>
        <w:ind w:left="1176" w:right="0" w:firstLine="0"/>
        <w:jc w:val="left"/>
        <w:rPr>
          <w:sz w:val="32"/>
        </w:rPr>
      </w:pPr>
      <w:r>
        <w:rPr>
          <w:sz w:val="32"/>
        </w:rPr>
        <w:t>第十八条 严禁各部门借会议名义组织会餐或安排宴请；严</w:t>
      </w:r>
    </w:p>
    <w:p>
      <w:pPr>
        <w:spacing w:after="0"/>
        <w:jc w:val="left"/>
        <w:rPr>
          <w:sz w:val="32"/>
        </w:rPr>
        <w:sectPr>
          <w:pgSz w:w="11910" w:h="16840"/>
          <w:pgMar w:header="0" w:footer="1035" w:top="1500" w:bottom="1300" w:left="1020" w:right="560"/>
        </w:sectPr>
      </w:pPr>
    </w:p>
    <w:p>
      <w:pPr>
        <w:spacing w:line="364" w:lineRule="auto" w:before="27"/>
        <w:ind w:left="1176" w:right="836" w:hanging="641"/>
        <w:jc w:val="left"/>
        <w:rPr>
          <w:sz w:val="32"/>
        </w:rPr>
      </w:pPr>
      <w:r>
        <w:rPr>
          <w:spacing w:val="-20"/>
          <w:sz w:val="32"/>
        </w:rPr>
        <w:t>禁套取会议费设立“小金库”；严禁在会议费中列支公务接待费。</w:t>
      </w:r>
      <w:r>
        <w:rPr>
          <w:spacing w:val="-2"/>
          <w:sz w:val="32"/>
        </w:rPr>
        <w:t>第十九条 各部门应严格执行会议用房标准，不得安排高档</w:t>
      </w:r>
    </w:p>
    <w:p>
      <w:pPr>
        <w:spacing w:line="364" w:lineRule="auto" w:before="1"/>
        <w:ind w:left="535" w:right="833" w:firstLine="0"/>
        <w:jc w:val="left"/>
        <w:rPr>
          <w:sz w:val="32"/>
        </w:rPr>
      </w:pPr>
      <w:r>
        <w:rPr>
          <w:sz w:val="32"/>
        </w:rPr>
        <w:t>套房；会议用餐严格控制菜品种类、数量和份量，安排自助餐， 严禁提供高档菜肴，不安排宴请，不上烟酒；会议会场一律不摆花草，不制作背景板，不提供水果。</w:t>
      </w:r>
    </w:p>
    <w:p>
      <w:pPr>
        <w:spacing w:line="364" w:lineRule="auto" w:before="3"/>
        <w:ind w:left="535" w:right="834" w:firstLine="640"/>
        <w:jc w:val="left"/>
        <w:rPr>
          <w:sz w:val="32"/>
        </w:rPr>
      </w:pPr>
      <w:r>
        <w:rPr>
          <w:sz w:val="32"/>
        </w:rPr>
        <w:t>不得使用会议费购臵电脑、复印机、打印机、传真机等固定资产以及开支与本次会议无关的其他费用；不得组织会议代表旅游和与会议无关的参观；严禁组织高消费娱乐、健身活动； 严禁以任何名义发放纪念品；不得额外配发洗漱用品。</w:t>
      </w:r>
    </w:p>
    <w:p>
      <w:pPr>
        <w:spacing w:line="364" w:lineRule="auto" w:before="3"/>
        <w:ind w:left="535" w:right="955" w:firstLine="640"/>
        <w:jc w:val="left"/>
        <w:rPr>
          <w:sz w:val="32"/>
        </w:rPr>
      </w:pPr>
      <w:r>
        <w:rPr>
          <w:sz w:val="32"/>
        </w:rPr>
        <w:t>第二十条 会议费的公示和信息公开工作，按照国家和自然科学基金委相关规定执行。</w:t>
      </w:r>
    </w:p>
    <w:p>
      <w:pPr>
        <w:spacing w:line="364" w:lineRule="auto" w:before="2"/>
        <w:ind w:left="535" w:right="996" w:firstLine="640"/>
        <w:jc w:val="both"/>
        <w:rPr>
          <w:sz w:val="32"/>
        </w:rPr>
      </w:pPr>
      <w:r>
        <w:rPr>
          <w:sz w:val="32"/>
        </w:rPr>
        <w:t>第二十一条 各部门应当加强对本部门会议举办活动和经</w:t>
      </w:r>
      <w:r>
        <w:rPr>
          <w:w w:val="95"/>
          <w:sz w:val="32"/>
        </w:rPr>
        <w:t>费报销的内控管理，对违反会议费管理制度的人员进行严肃处 理，自觉接受有关部门对会议举办活动及相关经费支出的监督 </w:t>
      </w:r>
      <w:r>
        <w:rPr>
          <w:sz w:val="32"/>
        </w:rPr>
        <w:t>检查。</w:t>
      </w:r>
    </w:p>
    <w:p>
      <w:pPr>
        <w:spacing w:line="364" w:lineRule="auto" w:before="4"/>
        <w:ind w:left="535" w:right="995" w:firstLine="640"/>
        <w:jc w:val="both"/>
        <w:rPr>
          <w:sz w:val="32"/>
        </w:rPr>
      </w:pPr>
      <w:r>
        <w:rPr>
          <w:sz w:val="32"/>
        </w:rPr>
        <w:t>第二十二条 纪检监察、审计、财务等部门对各部门会议费管理和使用情况进行监督检查。主要内容包括：</w:t>
      </w:r>
    </w:p>
    <w:p>
      <w:pPr>
        <w:spacing w:before="1"/>
        <w:ind w:left="1176" w:right="0" w:firstLine="0"/>
        <w:jc w:val="left"/>
        <w:rPr>
          <w:sz w:val="32"/>
        </w:rPr>
      </w:pPr>
      <w:r>
        <w:rPr>
          <w:sz w:val="32"/>
        </w:rPr>
        <w:t>（一）会议计划的编报、审批是否符合规定；</w:t>
      </w:r>
    </w:p>
    <w:p>
      <w:pPr>
        <w:spacing w:before="215"/>
        <w:ind w:left="1176" w:right="0" w:firstLine="0"/>
        <w:jc w:val="left"/>
        <w:rPr>
          <w:sz w:val="32"/>
        </w:rPr>
      </w:pPr>
      <w:r>
        <w:rPr>
          <w:sz w:val="32"/>
        </w:rPr>
        <w:t>（二）会议费开支范围和开支标准是否符合规定；</w:t>
      </w:r>
    </w:p>
    <w:p>
      <w:pPr>
        <w:spacing w:before="214"/>
        <w:ind w:left="1176" w:right="0" w:firstLine="0"/>
        <w:jc w:val="left"/>
        <w:rPr>
          <w:sz w:val="32"/>
        </w:rPr>
      </w:pPr>
      <w:r>
        <w:rPr>
          <w:sz w:val="32"/>
        </w:rPr>
        <w:t>（三）会议费报销和支付是否符合规定；</w:t>
      </w:r>
    </w:p>
    <w:p>
      <w:pPr>
        <w:spacing w:line="364" w:lineRule="auto" w:before="214"/>
        <w:ind w:left="535" w:right="989" w:firstLine="640"/>
        <w:jc w:val="left"/>
        <w:rPr>
          <w:sz w:val="32"/>
        </w:rPr>
      </w:pPr>
      <w:r>
        <w:rPr>
          <w:spacing w:val="7"/>
          <w:w w:val="95"/>
          <w:sz w:val="32"/>
        </w:rPr>
        <w:t>（四）</w:t>
      </w:r>
      <w:r>
        <w:rPr>
          <w:spacing w:val="6"/>
          <w:w w:val="95"/>
          <w:sz w:val="32"/>
        </w:rPr>
        <w:t>会议会期、规模是否符合规定，会议是否在规定的 </w:t>
      </w:r>
      <w:r>
        <w:rPr>
          <w:sz w:val="32"/>
        </w:rPr>
        <w:t>地点和场所召开；</w:t>
      </w:r>
    </w:p>
    <w:p>
      <w:pPr>
        <w:spacing w:after="0" w:line="364" w:lineRule="auto"/>
        <w:jc w:val="left"/>
        <w:rPr>
          <w:sz w:val="32"/>
        </w:rPr>
        <w:sectPr>
          <w:pgSz w:w="11910" w:h="16840"/>
          <w:pgMar w:header="0" w:footer="1035" w:top="1500" w:bottom="1300" w:left="1020" w:right="560"/>
        </w:sectPr>
      </w:pPr>
    </w:p>
    <w:p>
      <w:pPr>
        <w:spacing w:before="27"/>
        <w:ind w:left="1176" w:right="0" w:firstLine="0"/>
        <w:jc w:val="left"/>
        <w:rPr>
          <w:sz w:val="32"/>
        </w:rPr>
      </w:pPr>
      <w:r>
        <w:rPr>
          <w:sz w:val="32"/>
        </w:rPr>
        <w:t>（五）是否向其他企事业单位或地方转嫁、摊派会议费；</w:t>
      </w:r>
    </w:p>
    <w:p>
      <w:pPr>
        <w:spacing w:before="213"/>
        <w:ind w:left="1176" w:right="0" w:firstLine="0"/>
        <w:jc w:val="left"/>
        <w:rPr>
          <w:sz w:val="32"/>
        </w:rPr>
      </w:pPr>
      <w:r>
        <w:rPr>
          <w:sz w:val="32"/>
        </w:rPr>
        <w:t>（六）会议费管理和使用的其他情况。</w:t>
      </w:r>
    </w:p>
    <w:p>
      <w:pPr>
        <w:spacing w:line="364" w:lineRule="auto" w:before="214"/>
        <w:ind w:left="535" w:right="995" w:firstLine="640"/>
        <w:jc w:val="left"/>
        <w:rPr>
          <w:sz w:val="32"/>
        </w:rPr>
      </w:pPr>
      <w:r>
        <w:rPr>
          <w:sz w:val="32"/>
        </w:rPr>
        <w:t>第二十三条 违反本办法规定，有下列行为之一的，依法依规追究会议举办部门和相关人员的责任:</w:t>
      </w:r>
    </w:p>
    <w:p>
      <w:pPr>
        <w:spacing w:before="2"/>
        <w:ind w:left="1176" w:right="0" w:firstLine="0"/>
        <w:jc w:val="left"/>
        <w:rPr>
          <w:sz w:val="32"/>
        </w:rPr>
      </w:pPr>
      <w:r>
        <w:rPr>
          <w:sz w:val="32"/>
        </w:rPr>
        <w:t>（一）计划外召开会议的；</w:t>
      </w:r>
    </w:p>
    <w:p>
      <w:pPr>
        <w:spacing w:before="214"/>
        <w:ind w:left="1176" w:right="0" w:firstLine="0"/>
        <w:jc w:val="left"/>
        <w:rPr>
          <w:sz w:val="32"/>
        </w:rPr>
      </w:pPr>
      <w:r>
        <w:rPr>
          <w:sz w:val="32"/>
        </w:rPr>
        <w:t>（二）以虚报、冒领手段骗取会议费的；</w:t>
      </w:r>
    </w:p>
    <w:p>
      <w:pPr>
        <w:spacing w:before="215"/>
        <w:ind w:left="1176" w:right="0" w:firstLine="0"/>
        <w:jc w:val="left"/>
        <w:rPr>
          <w:sz w:val="32"/>
        </w:rPr>
      </w:pPr>
      <w:r>
        <w:rPr>
          <w:sz w:val="32"/>
        </w:rPr>
        <w:t>（三）虚报会议人数、天数等进行报销的；</w:t>
      </w:r>
    </w:p>
    <w:p>
      <w:pPr>
        <w:spacing w:line="364" w:lineRule="auto" w:before="214"/>
        <w:ind w:left="535" w:right="989" w:firstLine="640"/>
        <w:jc w:val="left"/>
        <w:rPr>
          <w:sz w:val="32"/>
        </w:rPr>
      </w:pPr>
      <w:r>
        <w:rPr>
          <w:spacing w:val="7"/>
          <w:w w:val="95"/>
          <w:sz w:val="32"/>
        </w:rPr>
        <w:t>（四）</w:t>
      </w:r>
      <w:r>
        <w:rPr>
          <w:spacing w:val="6"/>
          <w:w w:val="95"/>
          <w:sz w:val="32"/>
        </w:rPr>
        <w:t>违规扩大会议费开支范围，擅自提高会议费开支标 </w:t>
      </w:r>
      <w:r>
        <w:rPr>
          <w:sz w:val="32"/>
        </w:rPr>
        <w:t>准的；</w:t>
      </w:r>
    </w:p>
    <w:p>
      <w:pPr>
        <w:spacing w:before="1"/>
        <w:ind w:left="1176" w:right="0" w:firstLine="0"/>
        <w:jc w:val="left"/>
        <w:rPr>
          <w:sz w:val="32"/>
        </w:rPr>
      </w:pPr>
      <w:r>
        <w:rPr>
          <w:sz w:val="32"/>
        </w:rPr>
        <w:t>（五）违规报销与会议无关费用的；</w:t>
      </w:r>
    </w:p>
    <w:p>
      <w:pPr>
        <w:spacing w:before="214"/>
        <w:ind w:left="1176" w:right="0" w:firstLine="0"/>
        <w:jc w:val="left"/>
        <w:rPr>
          <w:sz w:val="32"/>
        </w:rPr>
      </w:pPr>
      <w:r>
        <w:rPr>
          <w:sz w:val="32"/>
        </w:rPr>
        <w:t>（六）其他违反本办法行为的。</w:t>
      </w:r>
    </w:p>
    <w:p>
      <w:pPr>
        <w:spacing w:line="364" w:lineRule="auto" w:before="214"/>
        <w:ind w:left="535" w:right="987" w:firstLine="640"/>
        <w:jc w:val="both"/>
        <w:rPr>
          <w:sz w:val="32"/>
        </w:rPr>
      </w:pPr>
      <w:r>
        <w:rPr>
          <w:spacing w:val="6"/>
          <w:w w:val="95"/>
          <w:sz w:val="32"/>
        </w:rPr>
        <w:t>有前款所列行为之一的，由纪检监察、审计、财务等部门 </w:t>
      </w:r>
      <w:r>
        <w:rPr>
          <w:spacing w:val="3"/>
          <w:w w:val="95"/>
          <w:sz w:val="32"/>
        </w:rPr>
        <w:t>责令改正，追回资金，并经报批后予以通报。对直接负责的主 管人员和相关负责人，按规定给予行政处分。如行为涉嫌违法 </w:t>
      </w:r>
      <w:r>
        <w:rPr>
          <w:spacing w:val="3"/>
          <w:sz w:val="32"/>
        </w:rPr>
        <w:t>的，移交司法机关处理。</w:t>
      </w:r>
    </w:p>
    <w:p>
      <w:pPr>
        <w:spacing w:before="160"/>
        <w:ind w:left="0" w:right="455" w:firstLine="0"/>
        <w:jc w:val="center"/>
        <w:rPr>
          <w:rFonts w:ascii="黑体" w:eastAsia="黑体" w:hint="eastAsia"/>
          <w:sz w:val="32"/>
        </w:rPr>
      </w:pPr>
      <w:r>
        <w:rPr>
          <w:rFonts w:ascii="黑体" w:eastAsia="黑体" w:hint="eastAsia"/>
          <w:sz w:val="32"/>
        </w:rPr>
        <w:t>第五章 附则</w:t>
      </w:r>
    </w:p>
    <w:p>
      <w:pPr>
        <w:pStyle w:val="BodyText"/>
        <w:spacing w:before="11"/>
        <w:rPr>
          <w:rFonts w:ascii="黑体"/>
        </w:rPr>
      </w:pPr>
    </w:p>
    <w:p>
      <w:pPr>
        <w:spacing w:line="364" w:lineRule="auto" w:before="0"/>
        <w:ind w:left="1176" w:right="3548" w:firstLine="0"/>
        <w:jc w:val="left"/>
        <w:rPr>
          <w:sz w:val="32"/>
        </w:rPr>
      </w:pPr>
      <w:r>
        <w:rPr>
          <w:sz w:val="32"/>
        </w:rPr>
        <w:t>第二十四条 本办法由财务局负责解释。第二十五条 本办法自发布之日起实施。</w:t>
      </w:r>
    </w:p>
    <w:p>
      <w:pPr>
        <w:spacing w:after="0" w:line="364" w:lineRule="auto"/>
        <w:jc w:val="left"/>
        <w:rPr>
          <w:sz w:val="32"/>
        </w:rPr>
        <w:sectPr>
          <w:pgSz w:w="11910" w:h="16840"/>
          <w:pgMar w:header="0" w:footer="1035" w:top="1500" w:bottom="1300" w:left="1020" w:right="560"/>
        </w:sectPr>
      </w:pPr>
    </w:p>
    <w:p>
      <w:pPr>
        <w:pStyle w:val="Heading4"/>
        <w:spacing w:line="615" w:lineRule="exact"/>
        <w:ind w:right="459"/>
      </w:pPr>
      <w:bookmarkStart w:name="_TOC_250024" w:id="3"/>
      <w:bookmarkEnd w:id="3"/>
      <w:r>
        <w:rPr/>
        <w:t>中央和国家机关会议费管理办法</w:t>
      </w:r>
    </w:p>
    <w:p>
      <w:pPr>
        <w:pStyle w:val="BodyText"/>
        <w:spacing w:before="15"/>
        <w:rPr>
          <w:rFonts w:ascii="方正小标宋简体"/>
          <w:b/>
          <w:sz w:val="27"/>
        </w:rPr>
      </w:pPr>
    </w:p>
    <w:p>
      <w:pPr>
        <w:spacing w:before="0"/>
        <w:ind w:left="0" w:right="456" w:firstLine="0"/>
        <w:jc w:val="center"/>
        <w:rPr>
          <w:rFonts w:ascii="黑体" w:eastAsia="黑体" w:hint="eastAsia"/>
          <w:b/>
          <w:sz w:val="32"/>
        </w:rPr>
      </w:pPr>
      <w:r>
        <w:rPr>
          <w:rFonts w:ascii="黑体" w:eastAsia="黑体" w:hint="eastAsia"/>
          <w:b/>
          <w:sz w:val="32"/>
        </w:rPr>
        <w:t>第一章 总则</w:t>
      </w:r>
    </w:p>
    <w:p>
      <w:pPr>
        <w:pStyle w:val="BodyText"/>
        <w:spacing w:before="5"/>
        <w:rPr>
          <w:rFonts w:ascii="黑体"/>
          <w:b/>
          <w:sz w:val="38"/>
        </w:rPr>
      </w:pPr>
    </w:p>
    <w:p>
      <w:pPr>
        <w:spacing w:line="364" w:lineRule="auto" w:before="1"/>
        <w:ind w:left="780" w:right="1226" w:firstLine="0"/>
        <w:jc w:val="both"/>
        <w:rPr>
          <w:sz w:val="32"/>
        </w:rPr>
      </w:pPr>
      <w:r>
        <w:rPr>
          <w:sz w:val="32"/>
        </w:rPr>
        <w:t>第一条 为进一步加强和规范中央和国家机关会议费管理， 精简会议，改进会风，提高会议效率和质量，节约会议经费开支，制定本办法。</w:t>
      </w:r>
    </w:p>
    <w:p>
      <w:pPr>
        <w:spacing w:line="364" w:lineRule="auto" w:before="283"/>
        <w:ind w:left="780" w:right="1241" w:firstLine="0"/>
        <w:jc w:val="both"/>
        <w:rPr>
          <w:sz w:val="32"/>
        </w:rPr>
      </w:pPr>
      <w:r>
        <w:rPr>
          <w:sz w:val="32"/>
        </w:rPr>
        <w:t>第二条 中央和国家机关会议的分类、审批和会议费管理等，适用本办法。</w:t>
      </w:r>
    </w:p>
    <w:p>
      <w:pPr>
        <w:spacing w:line="364" w:lineRule="auto" w:before="283"/>
        <w:ind w:left="780" w:right="1238" w:firstLine="0"/>
        <w:jc w:val="both"/>
        <w:rPr>
          <w:sz w:val="32"/>
        </w:rPr>
      </w:pPr>
      <w:r>
        <w:rPr>
          <w:spacing w:val="-3"/>
          <w:sz w:val="32"/>
        </w:rPr>
        <w:t>本办法所称中央和国家机关，是指党中央各部门，国务院各</w:t>
      </w:r>
      <w:r>
        <w:rPr>
          <w:spacing w:val="-5"/>
          <w:sz w:val="32"/>
        </w:rPr>
        <w:t>部委、各直属机构，全国人大常委会办公厅，全国政协办公</w:t>
      </w:r>
      <w:r>
        <w:rPr>
          <w:spacing w:val="-2"/>
          <w:sz w:val="32"/>
        </w:rPr>
        <w:t>厅，最高人民法院，最高人民检察院，各人民团体、各民主</w:t>
      </w:r>
      <w:r>
        <w:rPr>
          <w:sz w:val="32"/>
        </w:rPr>
        <w:t>党派中央和全国工商联（以下简称各单位）。</w:t>
      </w:r>
    </w:p>
    <w:p>
      <w:pPr>
        <w:spacing w:line="364" w:lineRule="auto" w:before="282"/>
        <w:ind w:left="780" w:right="1240" w:firstLine="0"/>
        <w:jc w:val="both"/>
        <w:rPr>
          <w:sz w:val="32"/>
        </w:rPr>
      </w:pPr>
      <w:r>
        <w:rPr>
          <w:spacing w:val="-2"/>
          <w:sz w:val="32"/>
        </w:rPr>
        <w:t>第三条 各单位召开会议应当坚持厉行节约、反对浪费、规</w:t>
      </w:r>
      <w:r>
        <w:rPr>
          <w:spacing w:val="-4"/>
          <w:sz w:val="32"/>
        </w:rPr>
        <w:t>范简朴、务实高效的原则，严格控制会议数量和规模，规范</w:t>
      </w:r>
      <w:r>
        <w:rPr>
          <w:sz w:val="32"/>
        </w:rPr>
        <w:t>会议费管理。</w:t>
      </w:r>
    </w:p>
    <w:p>
      <w:pPr>
        <w:spacing w:before="283"/>
        <w:ind w:left="780" w:right="0" w:firstLine="0"/>
        <w:jc w:val="both"/>
        <w:rPr>
          <w:sz w:val="32"/>
        </w:rPr>
      </w:pPr>
      <w:r>
        <w:rPr>
          <w:sz w:val="32"/>
        </w:rPr>
        <w:t>第四条 各单位召开的会议实行分类管理、分级审批。</w:t>
      </w:r>
    </w:p>
    <w:p>
      <w:pPr>
        <w:pStyle w:val="BodyText"/>
        <w:spacing w:before="8"/>
        <w:rPr>
          <w:sz w:val="38"/>
        </w:rPr>
      </w:pPr>
    </w:p>
    <w:p>
      <w:pPr>
        <w:spacing w:line="364" w:lineRule="auto" w:before="1"/>
        <w:ind w:left="780" w:right="1238" w:firstLine="0"/>
        <w:jc w:val="both"/>
        <w:rPr>
          <w:sz w:val="32"/>
        </w:rPr>
      </w:pPr>
      <w:r>
        <w:rPr>
          <w:spacing w:val="-1"/>
          <w:sz w:val="32"/>
        </w:rPr>
        <w:t>第五条 各单位应当严格会议费预算管理，控制会议费预算</w:t>
      </w:r>
      <w:r>
        <w:rPr>
          <w:spacing w:val="-5"/>
          <w:sz w:val="32"/>
        </w:rPr>
        <w:t>规模。会议费预算应当细化到具体会议项目，执行中不得突</w:t>
      </w:r>
      <w:r>
        <w:rPr>
          <w:sz w:val="32"/>
        </w:rPr>
        <w:t>破。会议费应当纳入部门预算，并单独列示。</w:t>
      </w:r>
    </w:p>
    <w:p>
      <w:pPr>
        <w:spacing w:after="0" w:line="364" w:lineRule="auto"/>
        <w:jc w:val="both"/>
        <w:rPr>
          <w:sz w:val="32"/>
        </w:rPr>
        <w:sectPr>
          <w:pgSz w:w="11910" w:h="16840"/>
          <w:pgMar w:header="0" w:footer="1035" w:top="1500" w:bottom="1300" w:left="1020" w:right="560"/>
        </w:sectPr>
      </w:pPr>
    </w:p>
    <w:p>
      <w:pPr>
        <w:spacing w:before="27"/>
        <w:ind w:left="0" w:right="461" w:firstLine="0"/>
        <w:jc w:val="center"/>
        <w:rPr>
          <w:rFonts w:ascii="黑体" w:eastAsia="黑体" w:hint="eastAsia"/>
          <w:b/>
          <w:sz w:val="32"/>
        </w:rPr>
      </w:pPr>
      <w:r>
        <w:rPr>
          <w:rFonts w:ascii="黑体" w:eastAsia="黑体" w:hint="eastAsia"/>
          <w:b/>
          <w:sz w:val="32"/>
        </w:rPr>
        <w:t>第二章 会议分类和审批</w:t>
      </w:r>
    </w:p>
    <w:p>
      <w:pPr>
        <w:pStyle w:val="BodyText"/>
        <w:spacing w:before="7"/>
        <w:rPr>
          <w:rFonts w:ascii="黑体"/>
          <w:b/>
          <w:sz w:val="38"/>
        </w:rPr>
      </w:pPr>
    </w:p>
    <w:p>
      <w:pPr>
        <w:tabs>
          <w:tab w:pos="2061" w:val="left" w:leader="none"/>
        </w:tabs>
        <w:spacing w:before="0"/>
        <w:ind w:left="780" w:right="0" w:firstLine="0"/>
        <w:jc w:val="left"/>
        <w:rPr>
          <w:sz w:val="32"/>
        </w:rPr>
      </w:pPr>
      <w:r>
        <w:rPr>
          <w:sz w:val="32"/>
        </w:rPr>
        <w:t>第六条</w:t>
        <w:tab/>
        <w:t>中央和国家机关会议分类如下：</w:t>
      </w:r>
    </w:p>
    <w:p>
      <w:pPr>
        <w:pStyle w:val="BodyText"/>
        <w:spacing w:before="6"/>
        <w:rPr>
          <w:sz w:val="38"/>
        </w:rPr>
      </w:pPr>
    </w:p>
    <w:p>
      <w:pPr>
        <w:spacing w:line="364" w:lineRule="auto" w:before="0"/>
        <w:ind w:left="780" w:right="1226" w:firstLine="0"/>
        <w:jc w:val="left"/>
        <w:rPr>
          <w:sz w:val="32"/>
        </w:rPr>
      </w:pPr>
      <w:r>
        <w:rPr>
          <w:sz w:val="32"/>
        </w:rPr>
        <w:t>一类会议。是以党中央和国务院名义召开的，要求省、自治区、直辖市、计划单列市或中央部门负责同志参加的会议。</w:t>
      </w:r>
    </w:p>
    <w:p>
      <w:pPr>
        <w:spacing w:line="364" w:lineRule="auto" w:before="282"/>
        <w:ind w:left="780" w:right="1238" w:firstLine="0"/>
        <w:jc w:val="both"/>
        <w:rPr>
          <w:sz w:val="32"/>
        </w:rPr>
      </w:pPr>
      <w:r>
        <w:rPr>
          <w:spacing w:val="-4"/>
          <w:sz w:val="32"/>
        </w:rPr>
        <w:t>二类会议。是党中央和国务院各部委、各直属机构，最高人民法院，最高人民检察院，各人民团体召开的，要求省、自</w:t>
      </w:r>
      <w:r>
        <w:rPr>
          <w:spacing w:val="-2"/>
          <w:sz w:val="32"/>
        </w:rPr>
        <w:t>治区、直辖市、计划单列市有关厅</w:t>
      </w:r>
      <w:r>
        <w:rPr>
          <w:sz w:val="32"/>
        </w:rPr>
        <w:t>（局</w:t>
      </w:r>
      <w:r>
        <w:rPr>
          <w:spacing w:val="-3"/>
          <w:sz w:val="32"/>
        </w:rPr>
        <w:t>）或本系统、直属机</w:t>
      </w:r>
      <w:r>
        <w:rPr>
          <w:sz w:val="32"/>
        </w:rPr>
        <w:t>构负责同志参加的会议。</w:t>
      </w:r>
    </w:p>
    <w:p>
      <w:pPr>
        <w:spacing w:line="364" w:lineRule="auto" w:before="285"/>
        <w:ind w:left="780" w:right="1226" w:firstLine="0"/>
        <w:jc w:val="both"/>
        <w:rPr>
          <w:sz w:val="32"/>
        </w:rPr>
      </w:pPr>
      <w:r>
        <w:rPr>
          <w:sz w:val="32"/>
        </w:rPr>
        <w:t>三类会议。是党中央和国务院各部委、各直属机构，最高人民法院，最高人民检察院，各人民团体及其所属内设机构召开的，要求省、自治区、直辖市、计划单列市有关厅（局） 或本系统机构有关人员参加的会议。</w:t>
      </w:r>
    </w:p>
    <w:p>
      <w:pPr>
        <w:spacing w:line="309" w:lineRule="auto" w:before="269"/>
        <w:ind w:left="780" w:right="1195" w:firstLine="0"/>
        <w:jc w:val="left"/>
        <w:rPr>
          <w:rFonts w:ascii="等线" w:eastAsia="等线" w:hint="eastAsia"/>
          <w:b/>
          <w:sz w:val="32"/>
        </w:rPr>
      </w:pPr>
      <w:r>
        <w:rPr>
          <w:rFonts w:ascii="等线" w:eastAsia="等线" w:hint="eastAsia"/>
          <w:b/>
          <w:sz w:val="32"/>
        </w:rPr>
        <w:t>四类会议。是指除上述一、二、三类会议以外的其他业务性会议，包括小型研讨会、座谈会、评审会等。</w:t>
      </w:r>
    </w:p>
    <w:p>
      <w:pPr>
        <w:pStyle w:val="BodyText"/>
        <w:spacing w:before="12"/>
        <w:rPr>
          <w:rFonts w:ascii="等线"/>
          <w:b/>
          <w:sz w:val="19"/>
        </w:rPr>
      </w:pPr>
    </w:p>
    <w:p>
      <w:pPr>
        <w:tabs>
          <w:tab w:pos="2061" w:val="left" w:leader="none"/>
        </w:tabs>
        <w:spacing w:before="0"/>
        <w:ind w:left="780" w:right="0" w:firstLine="0"/>
        <w:jc w:val="left"/>
        <w:rPr>
          <w:sz w:val="32"/>
        </w:rPr>
      </w:pPr>
      <w:r>
        <w:rPr>
          <w:sz w:val="32"/>
        </w:rPr>
        <w:t>第七条</w:t>
        <w:tab/>
      </w:r>
      <w:r>
        <w:rPr>
          <w:w w:val="95"/>
          <w:sz w:val="32"/>
        </w:rPr>
        <w:t>中央和国家机关会议按以下程序和要求进行审批：</w:t>
      </w:r>
    </w:p>
    <w:p>
      <w:pPr>
        <w:pStyle w:val="BodyText"/>
        <w:spacing w:before="9"/>
        <w:rPr>
          <w:sz w:val="38"/>
        </w:rPr>
      </w:pPr>
    </w:p>
    <w:p>
      <w:pPr>
        <w:spacing w:line="364" w:lineRule="auto" w:before="0"/>
        <w:ind w:left="780" w:right="1238" w:firstLine="0"/>
        <w:jc w:val="both"/>
        <w:rPr>
          <w:sz w:val="32"/>
        </w:rPr>
      </w:pPr>
      <w:r>
        <w:rPr>
          <w:spacing w:val="-4"/>
          <w:sz w:val="32"/>
        </w:rPr>
        <w:t>一类会议。应当由主办单位报经党中央和国务院批准。会议</w:t>
      </w:r>
      <w:r>
        <w:rPr>
          <w:spacing w:val="-5"/>
          <w:sz w:val="32"/>
        </w:rPr>
        <w:t>总务、经费预算及费用结算等工作分别由中共中央直属机关</w:t>
      </w:r>
      <w:r>
        <w:rPr>
          <w:spacing w:val="-2"/>
          <w:w w:val="95"/>
          <w:sz w:val="32"/>
        </w:rPr>
        <w:t>事务管理局</w:t>
      </w:r>
      <w:r>
        <w:rPr>
          <w:w w:val="95"/>
          <w:sz w:val="32"/>
        </w:rPr>
        <w:t>（以下简称中直管理局</w:t>
      </w:r>
      <w:r>
        <w:rPr>
          <w:spacing w:val="-8"/>
          <w:w w:val="95"/>
          <w:sz w:val="32"/>
        </w:rPr>
        <w:t>）</w:t>
      </w:r>
      <w:r>
        <w:rPr>
          <w:spacing w:val="-2"/>
          <w:w w:val="95"/>
          <w:sz w:val="32"/>
        </w:rPr>
        <w:t>和国家机关事务管理局</w:t>
      </w:r>
    </w:p>
    <w:p>
      <w:pPr>
        <w:spacing w:before="2"/>
        <w:ind w:left="780" w:right="0" w:firstLine="0"/>
        <w:jc w:val="left"/>
        <w:rPr>
          <w:sz w:val="32"/>
        </w:rPr>
      </w:pPr>
      <w:r>
        <w:rPr>
          <w:sz w:val="32"/>
        </w:rPr>
        <w:t>（以下简称国管局）负责。</w:t>
      </w:r>
    </w:p>
    <w:p>
      <w:pPr>
        <w:spacing w:after="0"/>
        <w:jc w:val="left"/>
        <w:rPr>
          <w:sz w:val="32"/>
        </w:rPr>
        <w:sectPr>
          <w:pgSz w:w="11910" w:h="16840"/>
          <w:pgMar w:header="0" w:footer="1035" w:top="1500" w:bottom="1300" w:left="1020" w:right="560"/>
        </w:sectPr>
      </w:pPr>
    </w:p>
    <w:p>
      <w:pPr>
        <w:spacing w:line="364" w:lineRule="auto" w:before="27"/>
        <w:ind w:left="780" w:right="1239" w:firstLine="0"/>
        <w:jc w:val="both"/>
        <w:rPr>
          <w:sz w:val="32"/>
        </w:rPr>
      </w:pPr>
      <w:r>
        <w:rPr>
          <w:spacing w:val="-4"/>
          <w:sz w:val="32"/>
        </w:rPr>
        <w:t>二类会议。党中央和国务院各部委、各直属机构，各人民团</w:t>
      </w:r>
      <w:r>
        <w:rPr>
          <w:spacing w:val="-2"/>
          <w:sz w:val="32"/>
        </w:rPr>
        <w:t>体应当于每年 </w:t>
      </w:r>
      <w:r>
        <w:rPr>
          <w:sz w:val="32"/>
        </w:rPr>
        <w:t>12</w:t>
      </w:r>
      <w:r>
        <w:rPr>
          <w:spacing w:val="-3"/>
          <w:sz w:val="32"/>
        </w:rPr>
        <w:t> 月底前，将下一年度会议计划</w:t>
      </w:r>
      <w:r>
        <w:rPr>
          <w:sz w:val="32"/>
        </w:rPr>
        <w:t>（</w:t>
      </w:r>
      <w:r>
        <w:rPr>
          <w:spacing w:val="-4"/>
          <w:sz w:val="32"/>
        </w:rPr>
        <w:t>包括会议名称、召开的理由、主要内容、时间地点、代表人数、工作</w:t>
      </w:r>
      <w:r>
        <w:rPr>
          <w:spacing w:val="-1"/>
          <w:sz w:val="32"/>
        </w:rPr>
        <w:t>人员数、所需经费及列支渠道等</w:t>
      </w:r>
      <w:r>
        <w:rPr>
          <w:spacing w:val="-3"/>
          <w:sz w:val="32"/>
        </w:rPr>
        <w:t>）送财政部审核会签，按程序经中央办公厅、国务院办公厅审核后报批。各单位召开二</w:t>
      </w:r>
      <w:r>
        <w:rPr>
          <w:spacing w:val="-7"/>
          <w:sz w:val="32"/>
        </w:rPr>
        <w:t>类会议原则上每年不超过 </w:t>
      </w:r>
      <w:r>
        <w:rPr>
          <w:sz w:val="32"/>
        </w:rPr>
        <w:t>1</w:t>
      </w:r>
      <w:r>
        <w:rPr>
          <w:spacing w:val="-28"/>
          <w:sz w:val="32"/>
        </w:rPr>
        <w:t> 次。</w:t>
      </w:r>
    </w:p>
    <w:p>
      <w:pPr>
        <w:spacing w:line="364" w:lineRule="auto" w:before="286"/>
        <w:ind w:left="780" w:right="1238" w:firstLine="0"/>
        <w:jc w:val="both"/>
        <w:rPr>
          <w:sz w:val="32"/>
        </w:rPr>
      </w:pPr>
      <w:r>
        <w:rPr>
          <w:spacing w:val="-4"/>
          <w:sz w:val="32"/>
        </w:rPr>
        <w:t>三类会议。各单位应当建立会议计划编报和审批制度，年度</w:t>
      </w:r>
      <w:r>
        <w:rPr>
          <w:spacing w:val="-1"/>
          <w:sz w:val="32"/>
        </w:rPr>
        <w:t>会议计划</w:t>
      </w:r>
      <w:r>
        <w:rPr>
          <w:sz w:val="32"/>
        </w:rPr>
        <w:t>（</w:t>
      </w:r>
      <w:r>
        <w:rPr>
          <w:spacing w:val="-2"/>
          <w:sz w:val="32"/>
        </w:rPr>
        <w:t>包括会议数量、会议名称、召开的理由、主要内</w:t>
      </w:r>
      <w:r>
        <w:rPr>
          <w:spacing w:val="-3"/>
          <w:sz w:val="32"/>
        </w:rPr>
        <w:t>容、时间地点、代表人数、工作人员数、所需经费及列支渠</w:t>
      </w:r>
      <w:r>
        <w:rPr>
          <w:sz w:val="32"/>
        </w:rPr>
        <w:t>道等）经单位领导办公会或党组（党委）会审批后执行。</w:t>
      </w:r>
    </w:p>
    <w:p>
      <w:pPr>
        <w:spacing w:before="268"/>
        <w:ind w:left="780" w:right="0" w:firstLine="0"/>
        <w:jc w:val="left"/>
        <w:rPr>
          <w:rFonts w:ascii="等线" w:eastAsia="等线" w:hint="eastAsia"/>
          <w:b/>
          <w:sz w:val="32"/>
        </w:rPr>
      </w:pPr>
      <w:r>
        <w:rPr>
          <w:rFonts w:ascii="等线" w:eastAsia="等线" w:hint="eastAsia"/>
          <w:b/>
          <w:sz w:val="32"/>
        </w:rPr>
        <w:t>四类会议。由单位分管领导审核后列入单位年度会议计划。</w:t>
      </w:r>
    </w:p>
    <w:p>
      <w:pPr>
        <w:pStyle w:val="BodyText"/>
        <w:spacing w:before="1"/>
        <w:rPr>
          <w:rFonts w:ascii="等线"/>
          <w:b/>
        </w:rPr>
      </w:pPr>
    </w:p>
    <w:p>
      <w:pPr>
        <w:spacing w:line="316" w:lineRule="auto" w:before="1"/>
        <w:ind w:left="780" w:right="1192" w:firstLine="0"/>
        <w:jc w:val="left"/>
        <w:rPr>
          <w:sz w:val="32"/>
        </w:rPr>
      </w:pPr>
      <w:r>
        <w:rPr>
          <w:rFonts w:ascii="等线" w:eastAsia="等线" w:hint="eastAsia"/>
          <w:b/>
          <w:sz w:val="32"/>
        </w:rPr>
        <w:t>年度会议计划一经批准，原则上不得调整</w:t>
      </w:r>
      <w:r>
        <w:rPr>
          <w:sz w:val="32"/>
        </w:rPr>
        <w:t>。对党中央、国务院交办等确需临时增加的会议，按规定程序报批。</w:t>
      </w:r>
    </w:p>
    <w:p>
      <w:pPr>
        <w:pStyle w:val="BodyText"/>
        <w:spacing w:before="6"/>
      </w:pPr>
    </w:p>
    <w:p>
      <w:pPr>
        <w:tabs>
          <w:tab w:pos="2061" w:val="left" w:leader="none"/>
        </w:tabs>
        <w:spacing w:line="357" w:lineRule="auto" w:before="0"/>
        <w:ind w:left="780" w:right="1237" w:firstLine="0"/>
        <w:jc w:val="left"/>
        <w:rPr>
          <w:sz w:val="32"/>
        </w:rPr>
      </w:pPr>
      <w:r>
        <w:rPr>
          <w:sz w:val="32"/>
        </w:rPr>
        <w:t>第八条</w:t>
        <w:tab/>
        <w:t>一类会议会期按照批准文件</w:t>
      </w:r>
      <w:r>
        <w:rPr>
          <w:spacing w:val="-13"/>
          <w:sz w:val="32"/>
        </w:rPr>
        <w:t>，</w:t>
      </w:r>
      <w:r>
        <w:rPr>
          <w:sz w:val="32"/>
        </w:rPr>
        <w:t>根据工作需要从严</w:t>
      </w:r>
      <w:r>
        <w:rPr>
          <w:spacing w:val="-13"/>
          <w:sz w:val="32"/>
        </w:rPr>
        <w:t>控</w:t>
      </w:r>
      <w:r>
        <w:rPr>
          <w:sz w:val="32"/>
        </w:rPr>
        <w:t>制</w:t>
      </w:r>
      <w:r>
        <w:rPr>
          <w:spacing w:val="-8"/>
          <w:sz w:val="32"/>
        </w:rPr>
        <w:t>；</w:t>
      </w:r>
      <w:r>
        <w:rPr>
          <w:rFonts w:ascii="等线" w:eastAsia="等线" w:hint="eastAsia"/>
          <w:b/>
          <w:sz w:val="32"/>
        </w:rPr>
        <w:t>二</w:t>
      </w:r>
      <w:r>
        <w:rPr>
          <w:rFonts w:ascii="等线" w:eastAsia="等线" w:hint="eastAsia"/>
          <w:b/>
          <w:spacing w:val="-5"/>
          <w:sz w:val="32"/>
        </w:rPr>
        <w:t>、</w:t>
      </w:r>
      <w:r>
        <w:rPr>
          <w:rFonts w:ascii="等线" w:eastAsia="等线" w:hint="eastAsia"/>
          <w:b/>
          <w:sz w:val="32"/>
        </w:rPr>
        <w:t>三</w:t>
      </w:r>
      <w:r>
        <w:rPr>
          <w:rFonts w:ascii="等线" w:eastAsia="等线" w:hint="eastAsia"/>
          <w:b/>
          <w:spacing w:val="-5"/>
          <w:sz w:val="32"/>
        </w:rPr>
        <w:t>、</w:t>
      </w:r>
      <w:r>
        <w:rPr>
          <w:rFonts w:ascii="等线" w:eastAsia="等线" w:hint="eastAsia"/>
          <w:b/>
          <w:sz w:val="32"/>
        </w:rPr>
        <w:t>四类会议会期均不得超过</w:t>
      </w:r>
      <w:r>
        <w:rPr>
          <w:rFonts w:ascii="等线" w:eastAsia="等线" w:hint="eastAsia"/>
          <w:b/>
          <w:spacing w:val="-7"/>
          <w:sz w:val="32"/>
        </w:rPr>
        <w:t> </w:t>
      </w:r>
      <w:r>
        <w:rPr>
          <w:rFonts w:ascii="等线" w:eastAsia="等线" w:hint="eastAsia"/>
          <w:b/>
          <w:sz w:val="32"/>
        </w:rPr>
        <w:t>2</w:t>
      </w:r>
      <w:r>
        <w:rPr>
          <w:rFonts w:ascii="等线" w:eastAsia="等线" w:hint="eastAsia"/>
          <w:b/>
          <w:spacing w:val="-12"/>
          <w:sz w:val="32"/>
        </w:rPr>
        <w:t> </w:t>
      </w:r>
      <w:r>
        <w:rPr>
          <w:rFonts w:ascii="等线" w:eastAsia="等线" w:hint="eastAsia"/>
          <w:b/>
          <w:sz w:val="32"/>
        </w:rPr>
        <w:t>天</w:t>
      </w:r>
      <w:r>
        <w:rPr>
          <w:spacing w:val="-8"/>
          <w:sz w:val="32"/>
        </w:rPr>
        <w:t>；</w:t>
      </w:r>
      <w:r>
        <w:rPr>
          <w:sz w:val="32"/>
        </w:rPr>
        <w:t>传达</w:t>
      </w:r>
      <w:r>
        <w:rPr>
          <w:spacing w:val="-8"/>
          <w:sz w:val="32"/>
        </w:rPr>
        <w:t>、</w:t>
      </w:r>
      <w:r>
        <w:rPr>
          <w:sz w:val="32"/>
        </w:rPr>
        <w:t>布臵</w:t>
      </w:r>
      <w:r>
        <w:rPr>
          <w:spacing w:val="-11"/>
          <w:sz w:val="32"/>
        </w:rPr>
        <w:t>类</w:t>
      </w:r>
    </w:p>
    <w:p>
      <w:pPr>
        <w:pStyle w:val="Heading7"/>
        <w:spacing w:line="329" w:lineRule="exact"/>
      </w:pPr>
      <w:r>
        <w:rPr/>
        <w:t>会议会期不得超过 1 天。</w:t>
      </w:r>
    </w:p>
    <w:p>
      <w:pPr>
        <w:pStyle w:val="BodyText"/>
        <w:spacing w:before="6"/>
        <w:rPr>
          <w:sz w:val="38"/>
        </w:rPr>
      </w:pPr>
    </w:p>
    <w:p>
      <w:pPr>
        <w:spacing w:before="0"/>
        <w:ind w:left="780" w:right="0" w:firstLine="0"/>
        <w:jc w:val="left"/>
        <w:rPr>
          <w:sz w:val="32"/>
        </w:rPr>
      </w:pPr>
      <w:r>
        <w:rPr>
          <w:sz w:val="32"/>
        </w:rPr>
        <w:t>会议报到和离开时间，一、二、三类会议合计不得超过 2 天，</w:t>
      </w:r>
    </w:p>
    <w:p>
      <w:pPr>
        <w:spacing w:before="200"/>
        <w:ind w:left="780" w:right="0" w:firstLine="0"/>
        <w:jc w:val="left"/>
        <w:rPr>
          <w:sz w:val="32"/>
        </w:rPr>
      </w:pPr>
      <w:r>
        <w:rPr>
          <w:rFonts w:ascii="等线" w:eastAsia="等线" w:hint="eastAsia"/>
          <w:b/>
          <w:sz w:val="32"/>
        </w:rPr>
        <w:t>四类会议合计不得超过 1 天</w:t>
      </w:r>
      <w:r>
        <w:rPr>
          <w:sz w:val="32"/>
        </w:rPr>
        <w:t>。</w:t>
      </w:r>
    </w:p>
    <w:p>
      <w:pPr>
        <w:pStyle w:val="BodyText"/>
        <w:spacing w:before="1"/>
        <w:rPr>
          <w:sz w:val="34"/>
        </w:rPr>
      </w:pPr>
    </w:p>
    <w:p>
      <w:pPr>
        <w:tabs>
          <w:tab w:pos="2061" w:val="left" w:leader="none"/>
        </w:tabs>
        <w:spacing w:before="0"/>
        <w:ind w:left="780" w:right="0" w:firstLine="0"/>
        <w:jc w:val="left"/>
        <w:rPr>
          <w:sz w:val="32"/>
        </w:rPr>
      </w:pPr>
      <w:r>
        <w:rPr>
          <w:sz w:val="32"/>
        </w:rPr>
        <w:t>第九条</w:t>
        <w:tab/>
        <w:t>各单位应当严格控制会议规模。</w:t>
      </w:r>
    </w:p>
    <w:p>
      <w:pPr>
        <w:spacing w:after="0"/>
        <w:jc w:val="left"/>
        <w:rPr>
          <w:sz w:val="32"/>
        </w:rPr>
        <w:sectPr>
          <w:pgSz w:w="11910" w:h="16840"/>
          <w:pgMar w:header="0" w:footer="1035" w:top="1500" w:bottom="1300" w:left="1020" w:right="560"/>
        </w:sectPr>
      </w:pPr>
    </w:p>
    <w:p>
      <w:pPr>
        <w:spacing w:line="364" w:lineRule="auto" w:before="27"/>
        <w:ind w:left="780" w:right="1194" w:firstLine="0"/>
        <w:jc w:val="left"/>
        <w:rPr>
          <w:sz w:val="32"/>
        </w:rPr>
      </w:pPr>
      <w:r>
        <w:rPr>
          <w:sz w:val="32"/>
        </w:rPr>
        <w:t>一类会议参会人员按照批准文件，根据会议性质和主要内容确定，严格限定会议代表和工作人员数量。</w:t>
      </w:r>
    </w:p>
    <w:p>
      <w:pPr>
        <w:spacing w:line="364" w:lineRule="auto" w:before="282"/>
        <w:ind w:left="780" w:right="1237" w:firstLine="0"/>
        <w:jc w:val="both"/>
        <w:rPr>
          <w:sz w:val="32"/>
        </w:rPr>
      </w:pPr>
      <w:r>
        <w:rPr>
          <w:spacing w:val="-7"/>
          <w:sz w:val="32"/>
        </w:rPr>
        <w:t>二类会议参会人员不得超过 </w:t>
      </w:r>
      <w:r>
        <w:rPr>
          <w:sz w:val="32"/>
        </w:rPr>
        <w:t>300</w:t>
      </w:r>
      <w:r>
        <w:rPr>
          <w:spacing w:val="-11"/>
          <w:sz w:val="32"/>
        </w:rPr>
        <w:t> 人，其中，工作人员控制在</w:t>
      </w:r>
      <w:r>
        <w:rPr>
          <w:spacing w:val="-3"/>
          <w:sz w:val="32"/>
        </w:rPr>
        <w:t>会议代表人数的 </w:t>
      </w:r>
      <w:r>
        <w:rPr>
          <w:sz w:val="32"/>
        </w:rPr>
        <w:t>15</w:t>
      </w:r>
      <w:r>
        <w:rPr>
          <w:spacing w:val="-1"/>
          <w:sz w:val="32"/>
        </w:rPr>
        <w:t>%以内；不请省、自治区、直辖市和中央</w:t>
      </w:r>
      <w:r>
        <w:rPr>
          <w:sz w:val="32"/>
        </w:rPr>
        <w:t>部门主要负责同志、分管负责同志出席。</w:t>
      </w:r>
    </w:p>
    <w:p>
      <w:pPr>
        <w:spacing w:line="364" w:lineRule="auto" w:before="281"/>
        <w:ind w:left="780" w:right="1236" w:firstLine="0"/>
        <w:jc w:val="both"/>
        <w:rPr>
          <w:sz w:val="32"/>
        </w:rPr>
      </w:pPr>
      <w:r>
        <w:rPr>
          <w:spacing w:val="-7"/>
          <w:sz w:val="32"/>
        </w:rPr>
        <w:t>三类会议参会人员不得超过 </w:t>
      </w:r>
      <w:r>
        <w:rPr>
          <w:sz w:val="32"/>
        </w:rPr>
        <w:t>150</w:t>
      </w:r>
      <w:r>
        <w:rPr>
          <w:spacing w:val="-11"/>
          <w:sz w:val="32"/>
        </w:rPr>
        <w:t> 人，其中，工作人员控制在会议代表人数的 </w:t>
      </w:r>
      <w:r>
        <w:rPr>
          <w:sz w:val="32"/>
        </w:rPr>
        <w:t>10%以内。</w:t>
      </w:r>
    </w:p>
    <w:p>
      <w:pPr>
        <w:spacing w:before="269"/>
        <w:ind w:left="780" w:right="0" w:firstLine="0"/>
        <w:jc w:val="both"/>
        <w:rPr>
          <w:rFonts w:ascii="等线" w:eastAsia="等线" w:hint="eastAsia"/>
          <w:b/>
          <w:sz w:val="32"/>
        </w:rPr>
      </w:pPr>
      <w:r>
        <w:rPr>
          <w:rFonts w:ascii="等线" w:eastAsia="等线" w:hint="eastAsia"/>
          <w:b/>
          <w:sz w:val="32"/>
        </w:rPr>
        <w:t>四类会议参会人员视内容而定，一般不得超过 50 人。</w:t>
      </w:r>
    </w:p>
    <w:p>
      <w:pPr>
        <w:pStyle w:val="BodyText"/>
        <w:rPr>
          <w:rFonts w:ascii="等线"/>
          <w:b/>
          <w:sz w:val="29"/>
        </w:rPr>
      </w:pPr>
    </w:p>
    <w:p>
      <w:pPr>
        <w:spacing w:line="364" w:lineRule="auto" w:before="0"/>
        <w:ind w:left="780" w:right="1238" w:firstLine="0"/>
        <w:jc w:val="both"/>
        <w:rPr>
          <w:sz w:val="32"/>
        </w:rPr>
      </w:pPr>
      <w:r>
        <w:rPr>
          <w:spacing w:val="-1"/>
          <w:sz w:val="32"/>
        </w:rPr>
        <w:t>第十条 全国人大常委会办公厅、全国政协办公厅、各民主</w:t>
      </w:r>
      <w:r>
        <w:rPr>
          <w:spacing w:val="-3"/>
          <w:sz w:val="32"/>
        </w:rPr>
        <w:t>党派中央和全国工商联的会议分类、审批事项、会期及参会</w:t>
      </w:r>
      <w:r>
        <w:rPr>
          <w:spacing w:val="-4"/>
          <w:sz w:val="32"/>
        </w:rPr>
        <w:t>人员等，由上述部门依据法律法规、章程规定，参照第六条</w:t>
      </w:r>
      <w:r>
        <w:rPr>
          <w:sz w:val="32"/>
        </w:rPr>
        <w:t>至第九条作出规定，并报财政部备案。</w:t>
      </w:r>
    </w:p>
    <w:p>
      <w:pPr>
        <w:spacing w:line="364" w:lineRule="auto" w:before="282"/>
        <w:ind w:left="780" w:right="1238" w:firstLine="0"/>
        <w:jc w:val="both"/>
        <w:rPr>
          <w:sz w:val="32"/>
        </w:rPr>
      </w:pPr>
      <w:r>
        <w:rPr>
          <w:spacing w:val="-1"/>
          <w:sz w:val="32"/>
        </w:rPr>
        <w:t>第十一条 各单位召开会议应当改进会议形式，充分运用电</w:t>
      </w:r>
      <w:r>
        <w:rPr>
          <w:spacing w:val="-4"/>
          <w:sz w:val="32"/>
        </w:rPr>
        <w:t>视电话、网络视频等现代信息技术手段，降低会议成本，提</w:t>
      </w:r>
      <w:r>
        <w:rPr>
          <w:sz w:val="32"/>
        </w:rPr>
        <w:t>高会议效率。</w:t>
      </w:r>
    </w:p>
    <w:p>
      <w:pPr>
        <w:spacing w:line="364" w:lineRule="auto" w:before="283"/>
        <w:ind w:left="780" w:right="1239" w:firstLine="0"/>
        <w:jc w:val="both"/>
        <w:rPr>
          <w:sz w:val="32"/>
        </w:rPr>
      </w:pPr>
      <w:r>
        <w:rPr>
          <w:spacing w:val="-5"/>
          <w:sz w:val="32"/>
        </w:rPr>
        <w:t>传达、布臵类会议优先采取电视电话、网络视频会议方式召开。电视电话、网络视频会议的主会场和分会场应当控制规</w:t>
      </w:r>
      <w:r>
        <w:rPr>
          <w:sz w:val="32"/>
        </w:rPr>
        <w:t>模，节约费用支出。</w:t>
      </w:r>
    </w:p>
    <w:p>
      <w:pPr>
        <w:spacing w:after="0" w:line="364" w:lineRule="auto"/>
        <w:jc w:val="both"/>
        <w:rPr>
          <w:sz w:val="32"/>
        </w:rPr>
        <w:sectPr>
          <w:pgSz w:w="11910" w:h="16840"/>
          <w:pgMar w:header="0" w:footer="1035" w:top="1500" w:bottom="1300" w:left="1020" w:right="560"/>
        </w:sectPr>
      </w:pPr>
    </w:p>
    <w:p>
      <w:pPr>
        <w:spacing w:line="364" w:lineRule="auto" w:before="27"/>
        <w:ind w:left="780" w:right="1238" w:firstLine="0"/>
        <w:jc w:val="both"/>
        <w:rPr>
          <w:sz w:val="32"/>
        </w:rPr>
      </w:pPr>
      <w:r>
        <w:rPr>
          <w:spacing w:val="-1"/>
          <w:sz w:val="32"/>
        </w:rPr>
        <w:t>第十二条 不能够采用电视电话、网络视频召开的会议实行</w:t>
      </w:r>
      <w:r>
        <w:rPr>
          <w:spacing w:val="-4"/>
          <w:sz w:val="32"/>
        </w:rPr>
        <w:t>定点管理。各单位会议应当到定点会议场所召开，按照协议价格结算费用。未纳入定点范围，价格低于会议综合定额标准的单位内部会议室、礼堂、宾馆、招待所、培训中心，可</w:t>
      </w:r>
      <w:r>
        <w:rPr>
          <w:sz w:val="32"/>
        </w:rPr>
        <w:t>优先作为本单位或本系统会议场所。</w:t>
      </w:r>
    </w:p>
    <w:p>
      <w:pPr>
        <w:spacing w:line="364" w:lineRule="auto" w:before="284"/>
        <w:ind w:left="780" w:right="1226" w:firstLine="0"/>
        <w:jc w:val="left"/>
        <w:rPr>
          <w:sz w:val="32"/>
        </w:rPr>
      </w:pPr>
      <w:r>
        <w:rPr>
          <w:sz w:val="32"/>
        </w:rPr>
        <w:t>无外地代表且会议规模能够在单位内部会议室安排的会议， 原则上在单位内部会议室召开，不安排住宿。</w:t>
      </w:r>
    </w:p>
    <w:p>
      <w:pPr>
        <w:spacing w:line="314" w:lineRule="auto" w:before="267"/>
        <w:ind w:left="780" w:right="1239" w:firstLine="0"/>
        <w:jc w:val="both"/>
        <w:rPr>
          <w:sz w:val="32"/>
        </w:rPr>
      </w:pPr>
      <w:r>
        <w:rPr>
          <w:spacing w:val="7"/>
          <w:sz w:val="32"/>
        </w:rPr>
        <w:t>第十三条 </w:t>
      </w:r>
      <w:r>
        <w:rPr>
          <w:rFonts w:ascii="等线" w:eastAsia="等线" w:hint="eastAsia"/>
          <w:b/>
          <w:spacing w:val="10"/>
          <w:sz w:val="32"/>
        </w:rPr>
        <w:t>参会人员以在京单位为主的会议不得到京外召开</w:t>
      </w:r>
      <w:r>
        <w:rPr>
          <w:spacing w:val="-5"/>
          <w:sz w:val="32"/>
        </w:rPr>
        <w:t>。各单位不得到党中央、国务院明令禁止的风景名胜区召</w:t>
      </w:r>
      <w:r>
        <w:rPr>
          <w:sz w:val="32"/>
        </w:rPr>
        <w:t>开会议。</w:t>
      </w:r>
    </w:p>
    <w:p>
      <w:pPr>
        <w:pStyle w:val="BodyText"/>
        <w:spacing w:before="8"/>
      </w:pPr>
    </w:p>
    <w:p>
      <w:pPr>
        <w:spacing w:before="0"/>
        <w:ind w:left="0" w:right="460" w:firstLine="0"/>
        <w:jc w:val="center"/>
        <w:rPr>
          <w:rFonts w:ascii="黑体" w:eastAsia="黑体" w:hint="eastAsia"/>
          <w:b/>
          <w:sz w:val="32"/>
        </w:rPr>
      </w:pPr>
      <w:r>
        <w:rPr>
          <w:rFonts w:ascii="黑体" w:eastAsia="黑体" w:hint="eastAsia"/>
          <w:b/>
          <w:sz w:val="32"/>
        </w:rPr>
        <w:t>第三章 会议费开支范围、标准和报销支付</w:t>
      </w:r>
    </w:p>
    <w:p>
      <w:pPr>
        <w:pStyle w:val="BodyText"/>
        <w:spacing w:before="8"/>
        <w:rPr>
          <w:rFonts w:ascii="黑体"/>
          <w:b/>
          <w:sz w:val="38"/>
        </w:rPr>
      </w:pPr>
    </w:p>
    <w:p>
      <w:pPr>
        <w:pStyle w:val="Heading7"/>
        <w:tabs>
          <w:tab w:pos="2381" w:val="left" w:leader="none"/>
        </w:tabs>
        <w:spacing w:line="364" w:lineRule="auto" w:before="1"/>
        <w:ind w:right="1240"/>
      </w:pPr>
      <w:r>
        <w:rPr/>
        <w:t>第十四条</w:t>
        <w:tab/>
        <w:t>会议费开支</w:t>
      </w:r>
      <w:r>
        <w:rPr>
          <w:spacing w:val="3"/>
        </w:rPr>
        <w:t>范</w:t>
      </w:r>
      <w:r>
        <w:rPr/>
        <w:t>围包括会议住宿费</w:t>
      </w:r>
      <w:r>
        <w:rPr>
          <w:spacing w:val="-8"/>
        </w:rPr>
        <w:t>、</w:t>
      </w:r>
      <w:r>
        <w:rPr/>
        <w:t>伙食费</w:t>
      </w:r>
      <w:r>
        <w:rPr>
          <w:spacing w:val="-8"/>
        </w:rPr>
        <w:t>、</w:t>
      </w:r>
      <w:r>
        <w:rPr/>
        <w:t>会</w:t>
      </w:r>
      <w:r>
        <w:rPr>
          <w:spacing w:val="-15"/>
        </w:rPr>
        <w:t>议</w:t>
      </w:r>
      <w:r>
        <w:rPr/>
        <w:t>场地租金、交通费、文件印刷费、医药费等。</w:t>
      </w:r>
    </w:p>
    <w:p>
      <w:pPr>
        <w:spacing w:line="309" w:lineRule="auto" w:before="266"/>
        <w:ind w:left="780" w:right="1195" w:firstLine="0"/>
        <w:jc w:val="left"/>
        <w:rPr>
          <w:rFonts w:ascii="等线" w:eastAsia="等线" w:hint="eastAsia"/>
          <w:b/>
          <w:sz w:val="32"/>
        </w:rPr>
      </w:pPr>
      <w:r>
        <w:rPr>
          <w:rFonts w:ascii="等线" w:eastAsia="等线" w:hint="eastAsia"/>
          <w:b/>
          <w:sz w:val="32"/>
        </w:rPr>
        <w:t>前款所称交通费是指用于会议代表接送站，以及会议统一组织的代表考察、调研等发生的交通支出。</w:t>
      </w:r>
    </w:p>
    <w:p>
      <w:pPr>
        <w:pStyle w:val="BodyText"/>
        <w:spacing w:before="13"/>
        <w:rPr>
          <w:rFonts w:ascii="等线"/>
          <w:b/>
          <w:sz w:val="19"/>
        </w:rPr>
      </w:pPr>
    </w:p>
    <w:p>
      <w:pPr>
        <w:spacing w:line="364" w:lineRule="auto" w:before="0"/>
        <w:ind w:left="780" w:right="1194" w:firstLine="0"/>
        <w:jc w:val="left"/>
        <w:rPr>
          <w:sz w:val="32"/>
        </w:rPr>
      </w:pPr>
      <w:r>
        <w:rPr>
          <w:sz w:val="32"/>
        </w:rPr>
        <w:t>会议代表参加会议发生的城市间交通费，按照差旅费管理办法的规定回单位报销。</w:t>
      </w:r>
    </w:p>
    <w:p>
      <w:pPr>
        <w:tabs>
          <w:tab w:pos="2381" w:val="left" w:leader="none"/>
        </w:tabs>
        <w:spacing w:line="364" w:lineRule="auto" w:before="283"/>
        <w:ind w:left="780" w:right="1238" w:firstLine="0"/>
        <w:jc w:val="left"/>
        <w:rPr>
          <w:sz w:val="32"/>
        </w:rPr>
      </w:pPr>
      <w:r>
        <w:rPr>
          <w:sz w:val="32"/>
        </w:rPr>
        <w:t>第十五条</w:t>
        <w:tab/>
        <w:t>会议费开支实行综合定额控制</w:t>
      </w:r>
      <w:r>
        <w:rPr>
          <w:spacing w:val="-15"/>
          <w:sz w:val="32"/>
        </w:rPr>
        <w:t>，</w:t>
      </w:r>
      <w:r>
        <w:rPr>
          <w:sz w:val="32"/>
        </w:rPr>
        <w:t>各项费用之间</w:t>
      </w:r>
      <w:r>
        <w:rPr>
          <w:spacing w:val="-15"/>
          <w:sz w:val="32"/>
        </w:rPr>
        <w:t>可</w:t>
      </w:r>
      <w:r>
        <w:rPr>
          <w:sz w:val="32"/>
        </w:rPr>
        <w:t>以调剂使用。</w:t>
      </w:r>
    </w:p>
    <w:p>
      <w:pPr>
        <w:spacing w:after="0" w:line="364" w:lineRule="auto"/>
        <w:jc w:val="left"/>
        <w:rPr>
          <w:sz w:val="32"/>
        </w:rPr>
        <w:sectPr>
          <w:pgSz w:w="11910" w:h="16840"/>
          <w:pgMar w:header="0" w:footer="1035" w:top="1500" w:bottom="1300" w:left="1020" w:right="560"/>
        </w:sectPr>
      </w:pPr>
    </w:p>
    <w:p>
      <w:pPr>
        <w:spacing w:before="27"/>
        <w:ind w:left="780" w:right="0" w:firstLine="0"/>
        <w:jc w:val="left"/>
        <w:rPr>
          <w:sz w:val="32"/>
        </w:rPr>
      </w:pPr>
      <w:r>
        <w:rPr>
          <w:sz w:val="32"/>
        </w:rPr>
        <w:t>会议费综合定额标准如下：</w:t>
      </w:r>
    </w:p>
    <w:p>
      <w:pPr>
        <w:pStyle w:val="BodyText"/>
        <w:spacing w:before="7"/>
        <w:rPr>
          <w:sz w:val="39"/>
        </w:rPr>
      </w:pPr>
    </w:p>
    <w:p>
      <w:pPr>
        <w:spacing w:before="0"/>
        <w:ind w:left="780" w:right="0" w:firstLine="0"/>
        <w:jc w:val="left"/>
        <w:rPr>
          <w:sz w:val="30"/>
        </w:rPr>
      </w:pPr>
      <w:r>
        <w:rPr>
          <w:sz w:val="30"/>
        </w:rPr>
        <w:t>单位：元／人天</w:t>
      </w:r>
    </w:p>
    <w:p>
      <w:pPr>
        <w:pStyle w:val="BodyText"/>
        <w:rPr>
          <w:sz w:val="20"/>
        </w:rPr>
      </w:pPr>
    </w:p>
    <w:p>
      <w:pPr>
        <w:pStyle w:val="BodyText"/>
        <w:spacing w:before="12"/>
        <w:rPr>
          <w:sz w:val="11"/>
        </w:rPr>
      </w:pPr>
    </w:p>
    <w:tbl>
      <w:tblPr>
        <w:tblW w:w="0" w:type="auto"/>
        <w:jc w:val="left"/>
        <w:tblInd w:w="788" w:type="dxa"/>
        <w:tblBorders>
          <w:top w:val="double" w:sz="2" w:space="0" w:color="9F9F9F"/>
          <w:left w:val="double" w:sz="2" w:space="0" w:color="9F9F9F"/>
          <w:bottom w:val="double" w:sz="2" w:space="0" w:color="9F9F9F"/>
          <w:right w:val="double" w:sz="2" w:space="0" w:color="9F9F9F"/>
          <w:insideH w:val="double" w:sz="2" w:space="0" w:color="9F9F9F"/>
          <w:insideV w:val="double" w:sz="2" w:space="0" w:color="9F9F9F"/>
        </w:tblBorders>
        <w:tblLayout w:type="fixed"/>
        <w:tblCellMar>
          <w:top w:w="0" w:type="dxa"/>
          <w:left w:w="0" w:type="dxa"/>
          <w:bottom w:w="0" w:type="dxa"/>
          <w:right w:w="0" w:type="dxa"/>
        </w:tblCellMar>
        <w:tblLook w:val="01E0"/>
      </w:tblPr>
      <w:tblGrid>
        <w:gridCol w:w="2073"/>
        <w:gridCol w:w="1307"/>
        <w:gridCol w:w="1605"/>
        <w:gridCol w:w="1606"/>
        <w:gridCol w:w="1740"/>
      </w:tblGrid>
      <w:tr>
        <w:trPr>
          <w:trHeight w:val="616" w:hRule="atLeast"/>
        </w:trPr>
        <w:tc>
          <w:tcPr>
            <w:tcW w:w="2073" w:type="dxa"/>
            <w:tcBorders>
              <w:left w:val="single" w:sz="12" w:space="0" w:color="EFEFEF"/>
              <w:bottom w:val="single" w:sz="12" w:space="0" w:color="9F9F9F"/>
              <w:right w:val="single" w:sz="12" w:space="0" w:color="9F9F9F"/>
            </w:tcBorders>
          </w:tcPr>
          <w:p>
            <w:pPr>
              <w:pStyle w:val="TableParagraph"/>
              <w:spacing w:before="110"/>
              <w:ind w:left="6"/>
              <w:rPr>
                <w:sz w:val="30"/>
              </w:rPr>
            </w:pPr>
            <w:r>
              <w:rPr>
                <w:sz w:val="30"/>
              </w:rPr>
              <w:t>会议类别</w:t>
            </w:r>
          </w:p>
        </w:tc>
        <w:tc>
          <w:tcPr>
            <w:tcW w:w="1307" w:type="dxa"/>
            <w:tcBorders>
              <w:left w:val="single" w:sz="12" w:space="0" w:color="9F9F9F"/>
              <w:bottom w:val="single" w:sz="12" w:space="0" w:color="9F9F9F"/>
            </w:tcBorders>
          </w:tcPr>
          <w:p>
            <w:pPr>
              <w:pStyle w:val="TableParagraph"/>
              <w:spacing w:before="110"/>
              <w:ind w:left="10"/>
              <w:rPr>
                <w:sz w:val="30"/>
              </w:rPr>
            </w:pPr>
            <w:r>
              <w:rPr>
                <w:sz w:val="30"/>
              </w:rPr>
              <w:t>住宿费</w:t>
            </w:r>
          </w:p>
        </w:tc>
        <w:tc>
          <w:tcPr>
            <w:tcW w:w="1605" w:type="dxa"/>
            <w:tcBorders>
              <w:bottom w:val="single" w:sz="12" w:space="0" w:color="9F9F9F"/>
              <w:right w:val="single" w:sz="12" w:space="0" w:color="9F9F9F"/>
            </w:tcBorders>
          </w:tcPr>
          <w:p>
            <w:pPr>
              <w:pStyle w:val="TableParagraph"/>
              <w:spacing w:before="110"/>
              <w:ind w:left="3"/>
              <w:rPr>
                <w:sz w:val="30"/>
              </w:rPr>
            </w:pPr>
            <w:r>
              <w:rPr>
                <w:sz w:val="30"/>
              </w:rPr>
              <w:t>伙食费</w:t>
            </w:r>
          </w:p>
        </w:tc>
        <w:tc>
          <w:tcPr>
            <w:tcW w:w="1606" w:type="dxa"/>
            <w:tcBorders>
              <w:left w:val="single" w:sz="12" w:space="0" w:color="9F9F9F"/>
              <w:bottom w:val="single" w:sz="12" w:space="0" w:color="9F9F9F"/>
              <w:right w:val="single" w:sz="12" w:space="0" w:color="9F9F9F"/>
            </w:tcBorders>
          </w:tcPr>
          <w:p>
            <w:pPr>
              <w:pStyle w:val="TableParagraph"/>
              <w:spacing w:before="110"/>
              <w:ind w:left="9"/>
              <w:rPr>
                <w:sz w:val="30"/>
              </w:rPr>
            </w:pPr>
            <w:r>
              <w:rPr>
                <w:sz w:val="30"/>
              </w:rPr>
              <w:t>其他费用</w:t>
            </w:r>
          </w:p>
        </w:tc>
        <w:tc>
          <w:tcPr>
            <w:tcW w:w="1740" w:type="dxa"/>
            <w:tcBorders>
              <w:left w:val="single" w:sz="12" w:space="0" w:color="9F9F9F"/>
              <w:bottom w:val="single" w:sz="12" w:space="0" w:color="9F9F9F"/>
              <w:right w:val="single" w:sz="12" w:space="0" w:color="9F9F9F"/>
            </w:tcBorders>
          </w:tcPr>
          <w:p>
            <w:pPr>
              <w:pStyle w:val="TableParagraph"/>
              <w:tabs>
                <w:tab w:pos="609" w:val="left" w:leader="none"/>
              </w:tabs>
              <w:spacing w:before="110"/>
              <w:ind w:left="9"/>
              <w:rPr>
                <w:sz w:val="30"/>
              </w:rPr>
            </w:pPr>
            <w:r>
              <w:rPr>
                <w:sz w:val="30"/>
              </w:rPr>
              <w:t>合</w:t>
              <w:tab/>
              <w:t>计</w:t>
            </w:r>
          </w:p>
        </w:tc>
      </w:tr>
      <w:tr>
        <w:trPr>
          <w:trHeight w:val="625" w:hRule="atLeast"/>
        </w:trPr>
        <w:tc>
          <w:tcPr>
            <w:tcW w:w="2073" w:type="dxa"/>
            <w:tcBorders>
              <w:top w:val="single" w:sz="12" w:space="0" w:color="9F9F9F"/>
              <w:left w:val="single" w:sz="12" w:space="0" w:color="EFEFEF"/>
              <w:bottom w:val="single" w:sz="12" w:space="0" w:color="9F9F9F"/>
              <w:right w:val="single" w:sz="12" w:space="0" w:color="9F9F9F"/>
            </w:tcBorders>
          </w:tcPr>
          <w:p>
            <w:pPr>
              <w:pStyle w:val="TableParagraph"/>
              <w:spacing w:before="117"/>
              <w:ind w:left="6"/>
              <w:rPr>
                <w:sz w:val="30"/>
              </w:rPr>
            </w:pPr>
            <w:r>
              <w:rPr>
                <w:sz w:val="30"/>
              </w:rPr>
              <w:t>一类会议</w:t>
            </w:r>
          </w:p>
        </w:tc>
        <w:tc>
          <w:tcPr>
            <w:tcW w:w="1307" w:type="dxa"/>
            <w:tcBorders>
              <w:top w:val="single" w:sz="12" w:space="0" w:color="9F9F9F"/>
              <w:left w:val="single" w:sz="12" w:space="0" w:color="9F9F9F"/>
              <w:bottom w:val="single" w:sz="12" w:space="0" w:color="9F9F9F"/>
            </w:tcBorders>
          </w:tcPr>
          <w:p>
            <w:pPr>
              <w:pStyle w:val="TableParagraph"/>
              <w:spacing w:before="117"/>
              <w:ind w:left="10"/>
              <w:rPr>
                <w:sz w:val="30"/>
              </w:rPr>
            </w:pPr>
            <w:r>
              <w:rPr>
                <w:sz w:val="30"/>
              </w:rPr>
              <w:t>500</w:t>
            </w:r>
          </w:p>
        </w:tc>
        <w:tc>
          <w:tcPr>
            <w:tcW w:w="1605" w:type="dxa"/>
            <w:tcBorders>
              <w:top w:val="single" w:sz="12" w:space="0" w:color="9F9F9F"/>
              <w:bottom w:val="single" w:sz="12" w:space="0" w:color="9F9F9F"/>
              <w:right w:val="single" w:sz="12" w:space="0" w:color="9F9F9F"/>
            </w:tcBorders>
          </w:tcPr>
          <w:p>
            <w:pPr>
              <w:pStyle w:val="TableParagraph"/>
              <w:spacing w:before="117"/>
              <w:ind w:left="3"/>
              <w:rPr>
                <w:sz w:val="30"/>
              </w:rPr>
            </w:pPr>
            <w:r>
              <w:rPr>
                <w:sz w:val="30"/>
              </w:rPr>
              <w:t>150</w:t>
            </w:r>
          </w:p>
        </w:tc>
        <w:tc>
          <w:tcPr>
            <w:tcW w:w="1606" w:type="dxa"/>
            <w:tcBorders>
              <w:top w:val="single" w:sz="12" w:space="0" w:color="9F9F9F"/>
              <w:left w:val="single" w:sz="12" w:space="0" w:color="9F9F9F"/>
              <w:bottom w:val="single" w:sz="12" w:space="0" w:color="9F9F9F"/>
              <w:right w:val="single" w:sz="12" w:space="0" w:color="9F9F9F"/>
            </w:tcBorders>
          </w:tcPr>
          <w:p>
            <w:pPr>
              <w:pStyle w:val="TableParagraph"/>
              <w:spacing w:before="117"/>
              <w:ind w:left="9"/>
              <w:rPr>
                <w:sz w:val="30"/>
              </w:rPr>
            </w:pPr>
            <w:r>
              <w:rPr>
                <w:sz w:val="30"/>
              </w:rPr>
              <w:t>110</w:t>
            </w:r>
          </w:p>
        </w:tc>
        <w:tc>
          <w:tcPr>
            <w:tcW w:w="1740" w:type="dxa"/>
            <w:tcBorders>
              <w:top w:val="single" w:sz="12" w:space="0" w:color="9F9F9F"/>
              <w:left w:val="single" w:sz="12" w:space="0" w:color="9F9F9F"/>
              <w:bottom w:val="single" w:sz="12" w:space="0" w:color="9F9F9F"/>
              <w:right w:val="single" w:sz="12" w:space="0" w:color="9F9F9F"/>
            </w:tcBorders>
          </w:tcPr>
          <w:p>
            <w:pPr>
              <w:pStyle w:val="TableParagraph"/>
              <w:spacing w:before="117"/>
              <w:ind w:left="9"/>
              <w:rPr>
                <w:sz w:val="30"/>
              </w:rPr>
            </w:pPr>
            <w:r>
              <w:rPr>
                <w:sz w:val="30"/>
              </w:rPr>
              <w:t>760</w:t>
            </w:r>
          </w:p>
        </w:tc>
      </w:tr>
      <w:tr>
        <w:trPr>
          <w:trHeight w:val="622" w:hRule="atLeast"/>
        </w:trPr>
        <w:tc>
          <w:tcPr>
            <w:tcW w:w="2073" w:type="dxa"/>
            <w:tcBorders>
              <w:top w:val="single" w:sz="12" w:space="0" w:color="9F9F9F"/>
              <w:left w:val="single" w:sz="12" w:space="0" w:color="EFEFEF"/>
              <w:bottom w:val="single" w:sz="12" w:space="0" w:color="9F9F9F"/>
              <w:right w:val="single" w:sz="12" w:space="0" w:color="9F9F9F"/>
            </w:tcBorders>
          </w:tcPr>
          <w:p>
            <w:pPr>
              <w:pStyle w:val="TableParagraph"/>
              <w:spacing w:before="117"/>
              <w:ind w:left="6"/>
              <w:rPr>
                <w:sz w:val="30"/>
              </w:rPr>
            </w:pPr>
            <w:r>
              <w:rPr>
                <w:sz w:val="30"/>
              </w:rPr>
              <w:t>二类会议</w:t>
            </w:r>
          </w:p>
        </w:tc>
        <w:tc>
          <w:tcPr>
            <w:tcW w:w="1307" w:type="dxa"/>
            <w:tcBorders>
              <w:top w:val="single" w:sz="12" w:space="0" w:color="9F9F9F"/>
              <w:left w:val="single" w:sz="12" w:space="0" w:color="9F9F9F"/>
              <w:bottom w:val="single" w:sz="12" w:space="0" w:color="9F9F9F"/>
            </w:tcBorders>
          </w:tcPr>
          <w:p>
            <w:pPr>
              <w:pStyle w:val="TableParagraph"/>
              <w:spacing w:before="117"/>
              <w:ind w:left="10"/>
              <w:rPr>
                <w:sz w:val="30"/>
              </w:rPr>
            </w:pPr>
            <w:r>
              <w:rPr>
                <w:sz w:val="30"/>
              </w:rPr>
              <w:t>400</w:t>
            </w:r>
          </w:p>
        </w:tc>
        <w:tc>
          <w:tcPr>
            <w:tcW w:w="1605" w:type="dxa"/>
            <w:tcBorders>
              <w:top w:val="single" w:sz="12" w:space="0" w:color="9F9F9F"/>
              <w:bottom w:val="single" w:sz="12" w:space="0" w:color="9F9F9F"/>
              <w:right w:val="single" w:sz="12" w:space="0" w:color="9F9F9F"/>
            </w:tcBorders>
          </w:tcPr>
          <w:p>
            <w:pPr>
              <w:pStyle w:val="TableParagraph"/>
              <w:spacing w:before="117"/>
              <w:ind w:left="3"/>
              <w:rPr>
                <w:sz w:val="30"/>
              </w:rPr>
            </w:pPr>
            <w:r>
              <w:rPr>
                <w:sz w:val="30"/>
              </w:rPr>
              <w:t>150</w:t>
            </w:r>
          </w:p>
        </w:tc>
        <w:tc>
          <w:tcPr>
            <w:tcW w:w="1606" w:type="dxa"/>
            <w:tcBorders>
              <w:top w:val="single" w:sz="12" w:space="0" w:color="9F9F9F"/>
              <w:left w:val="single" w:sz="12" w:space="0" w:color="9F9F9F"/>
              <w:bottom w:val="single" w:sz="12" w:space="0" w:color="9F9F9F"/>
              <w:right w:val="single" w:sz="12" w:space="0" w:color="9F9F9F"/>
            </w:tcBorders>
          </w:tcPr>
          <w:p>
            <w:pPr>
              <w:pStyle w:val="TableParagraph"/>
              <w:spacing w:before="117"/>
              <w:ind w:left="9"/>
              <w:rPr>
                <w:sz w:val="30"/>
              </w:rPr>
            </w:pPr>
            <w:r>
              <w:rPr>
                <w:sz w:val="30"/>
              </w:rPr>
              <w:t>100</w:t>
            </w:r>
          </w:p>
        </w:tc>
        <w:tc>
          <w:tcPr>
            <w:tcW w:w="1740" w:type="dxa"/>
            <w:tcBorders>
              <w:top w:val="single" w:sz="12" w:space="0" w:color="9F9F9F"/>
              <w:left w:val="single" w:sz="12" w:space="0" w:color="9F9F9F"/>
              <w:bottom w:val="single" w:sz="12" w:space="0" w:color="9F9F9F"/>
              <w:right w:val="single" w:sz="12" w:space="0" w:color="9F9F9F"/>
            </w:tcBorders>
          </w:tcPr>
          <w:p>
            <w:pPr>
              <w:pStyle w:val="TableParagraph"/>
              <w:spacing w:before="117"/>
              <w:ind w:left="9"/>
              <w:rPr>
                <w:sz w:val="30"/>
              </w:rPr>
            </w:pPr>
            <w:r>
              <w:rPr>
                <w:sz w:val="30"/>
              </w:rPr>
              <w:t>650</w:t>
            </w:r>
          </w:p>
        </w:tc>
      </w:tr>
      <w:tr>
        <w:trPr>
          <w:trHeight w:val="617" w:hRule="atLeast"/>
        </w:trPr>
        <w:tc>
          <w:tcPr>
            <w:tcW w:w="2073" w:type="dxa"/>
            <w:tcBorders>
              <w:top w:val="single" w:sz="12" w:space="0" w:color="9F9F9F"/>
              <w:left w:val="single" w:sz="12" w:space="0" w:color="EFEFEF"/>
              <w:right w:val="single" w:sz="12" w:space="0" w:color="9F9F9F"/>
            </w:tcBorders>
          </w:tcPr>
          <w:p>
            <w:pPr>
              <w:pStyle w:val="TableParagraph"/>
              <w:spacing w:before="117"/>
              <w:ind w:left="6"/>
              <w:rPr>
                <w:sz w:val="30"/>
              </w:rPr>
            </w:pPr>
            <w:r>
              <w:rPr>
                <w:sz w:val="30"/>
              </w:rPr>
              <w:t>三、四类会议</w:t>
            </w:r>
          </w:p>
        </w:tc>
        <w:tc>
          <w:tcPr>
            <w:tcW w:w="1307" w:type="dxa"/>
            <w:tcBorders>
              <w:top w:val="single" w:sz="12" w:space="0" w:color="9F9F9F"/>
              <w:left w:val="single" w:sz="12" w:space="0" w:color="9F9F9F"/>
            </w:tcBorders>
          </w:tcPr>
          <w:p>
            <w:pPr>
              <w:pStyle w:val="TableParagraph"/>
              <w:spacing w:before="117"/>
              <w:ind w:left="10"/>
              <w:rPr>
                <w:sz w:val="30"/>
              </w:rPr>
            </w:pPr>
            <w:r>
              <w:rPr>
                <w:sz w:val="30"/>
              </w:rPr>
              <w:t>340</w:t>
            </w:r>
          </w:p>
        </w:tc>
        <w:tc>
          <w:tcPr>
            <w:tcW w:w="1605" w:type="dxa"/>
            <w:tcBorders>
              <w:top w:val="single" w:sz="12" w:space="0" w:color="9F9F9F"/>
              <w:right w:val="single" w:sz="12" w:space="0" w:color="9F9F9F"/>
            </w:tcBorders>
          </w:tcPr>
          <w:p>
            <w:pPr>
              <w:pStyle w:val="TableParagraph"/>
              <w:spacing w:before="117"/>
              <w:ind w:left="3"/>
              <w:rPr>
                <w:sz w:val="30"/>
              </w:rPr>
            </w:pPr>
            <w:r>
              <w:rPr>
                <w:sz w:val="30"/>
              </w:rPr>
              <w:t>130</w:t>
            </w:r>
          </w:p>
        </w:tc>
        <w:tc>
          <w:tcPr>
            <w:tcW w:w="1606" w:type="dxa"/>
            <w:tcBorders>
              <w:top w:val="single" w:sz="12" w:space="0" w:color="9F9F9F"/>
              <w:left w:val="single" w:sz="12" w:space="0" w:color="9F9F9F"/>
              <w:right w:val="single" w:sz="12" w:space="0" w:color="9F9F9F"/>
            </w:tcBorders>
          </w:tcPr>
          <w:p>
            <w:pPr>
              <w:pStyle w:val="TableParagraph"/>
              <w:spacing w:before="117"/>
              <w:ind w:left="9"/>
              <w:rPr>
                <w:sz w:val="30"/>
              </w:rPr>
            </w:pPr>
            <w:r>
              <w:rPr>
                <w:sz w:val="30"/>
              </w:rPr>
              <w:t>80</w:t>
            </w:r>
          </w:p>
        </w:tc>
        <w:tc>
          <w:tcPr>
            <w:tcW w:w="1740" w:type="dxa"/>
            <w:tcBorders>
              <w:top w:val="single" w:sz="12" w:space="0" w:color="9F9F9F"/>
              <w:left w:val="single" w:sz="12" w:space="0" w:color="9F9F9F"/>
              <w:right w:val="single" w:sz="12" w:space="0" w:color="9F9F9F"/>
            </w:tcBorders>
          </w:tcPr>
          <w:p>
            <w:pPr>
              <w:pStyle w:val="TableParagraph"/>
              <w:spacing w:before="117"/>
              <w:ind w:left="9"/>
              <w:rPr>
                <w:sz w:val="30"/>
              </w:rPr>
            </w:pPr>
            <w:r>
              <w:rPr>
                <w:sz w:val="30"/>
              </w:rPr>
              <w:t>550</w:t>
            </w:r>
          </w:p>
        </w:tc>
      </w:tr>
    </w:tbl>
    <w:p>
      <w:pPr>
        <w:pStyle w:val="BodyText"/>
        <w:spacing w:before="6"/>
        <w:rPr>
          <w:sz w:val="26"/>
        </w:rPr>
      </w:pPr>
    </w:p>
    <w:p>
      <w:pPr>
        <w:spacing w:line="364" w:lineRule="auto" w:before="55"/>
        <w:ind w:left="780" w:right="1194" w:firstLine="0"/>
        <w:jc w:val="left"/>
        <w:rPr>
          <w:sz w:val="32"/>
        </w:rPr>
      </w:pPr>
      <w:r>
        <w:rPr>
          <w:sz w:val="32"/>
        </w:rPr>
        <w:t>综合定额标准是会议费开支的上限。各单位应在综合定额标准以内结算报销。</w:t>
      </w:r>
    </w:p>
    <w:p>
      <w:pPr>
        <w:tabs>
          <w:tab w:pos="2381" w:val="left" w:leader="none"/>
        </w:tabs>
        <w:spacing w:line="364" w:lineRule="auto" w:before="280"/>
        <w:ind w:left="780" w:right="1080" w:firstLine="0"/>
        <w:jc w:val="left"/>
        <w:rPr>
          <w:sz w:val="32"/>
        </w:rPr>
      </w:pPr>
      <w:r>
        <w:rPr>
          <w:sz w:val="32"/>
        </w:rPr>
        <w:t>第十六条</w:t>
        <w:tab/>
        <w:t>一类会议费在部门预算专项经费中列支</w:t>
      </w:r>
      <w:r>
        <w:rPr>
          <w:spacing w:val="-84"/>
          <w:sz w:val="32"/>
        </w:rPr>
        <w:t>，</w:t>
      </w:r>
      <w:r>
        <w:rPr>
          <w:sz w:val="32"/>
        </w:rPr>
        <w:t>二</w:t>
      </w:r>
      <w:r>
        <w:rPr>
          <w:spacing w:val="-87"/>
          <w:sz w:val="32"/>
        </w:rPr>
        <w:t>、</w:t>
      </w:r>
      <w:r>
        <w:rPr>
          <w:sz w:val="32"/>
        </w:rPr>
        <w:t>三</w:t>
      </w:r>
      <w:r>
        <w:rPr>
          <w:spacing w:val="-16"/>
          <w:sz w:val="32"/>
        </w:rPr>
        <w:t>、</w:t>
      </w:r>
      <w:r>
        <w:rPr>
          <w:sz w:val="32"/>
        </w:rPr>
        <w:t>四类会议费原则上在部门预算公用经费中列支。</w:t>
      </w:r>
    </w:p>
    <w:p>
      <w:pPr>
        <w:spacing w:line="309" w:lineRule="auto" w:before="269"/>
        <w:ind w:left="780" w:right="1196" w:firstLine="0"/>
        <w:jc w:val="left"/>
        <w:rPr>
          <w:rFonts w:ascii="等线" w:eastAsia="等线" w:hint="eastAsia"/>
          <w:b/>
          <w:sz w:val="32"/>
        </w:rPr>
      </w:pPr>
      <w:r>
        <w:rPr>
          <w:rFonts w:ascii="等线" w:eastAsia="等线" w:hint="eastAsia"/>
          <w:b/>
          <w:sz w:val="32"/>
        </w:rPr>
        <w:t>会议费由会议召开单位承担，不得向参会人员收取，不得以任何方式向下属机构、企事业单位、地方转嫁或摊派。</w:t>
      </w:r>
    </w:p>
    <w:p>
      <w:pPr>
        <w:pStyle w:val="BodyText"/>
        <w:spacing w:before="10"/>
        <w:rPr>
          <w:rFonts w:ascii="等线"/>
          <w:b/>
          <w:sz w:val="19"/>
        </w:rPr>
      </w:pPr>
    </w:p>
    <w:p>
      <w:pPr>
        <w:spacing w:line="364" w:lineRule="auto" w:before="0"/>
        <w:ind w:left="780" w:right="1238" w:firstLine="0"/>
        <w:jc w:val="both"/>
        <w:rPr>
          <w:sz w:val="32"/>
        </w:rPr>
      </w:pPr>
      <w:r>
        <w:rPr>
          <w:spacing w:val="-2"/>
          <w:sz w:val="32"/>
        </w:rPr>
        <w:t>第十七条 各单位在会议结束后应当及时办理报销手续。会议费报销时应当提供会议审批文件、会议通知及实际参会人</w:t>
      </w:r>
      <w:r>
        <w:rPr>
          <w:spacing w:val="-4"/>
          <w:sz w:val="32"/>
        </w:rPr>
        <w:t>员签到表、定点会议场所等会议服务单位提供的费用原始明细单据、电子结算单等凭证。财务部门要严格按规定审核会议费开支，对未列入年度会议计划，以及超范围、超标准开</w:t>
      </w:r>
      <w:r>
        <w:rPr>
          <w:sz w:val="32"/>
        </w:rPr>
        <w:t>支的经费不予报销。</w:t>
      </w:r>
    </w:p>
    <w:p>
      <w:pPr>
        <w:spacing w:after="0" w:line="364" w:lineRule="auto"/>
        <w:jc w:val="both"/>
        <w:rPr>
          <w:sz w:val="32"/>
        </w:rPr>
        <w:sectPr>
          <w:pgSz w:w="11910" w:h="16840"/>
          <w:pgMar w:header="0" w:footer="1035" w:top="1500" w:bottom="1300" w:left="1020" w:right="560"/>
        </w:sectPr>
      </w:pPr>
    </w:p>
    <w:p>
      <w:pPr>
        <w:spacing w:line="364" w:lineRule="auto" w:before="27"/>
        <w:ind w:left="780" w:right="1238" w:firstLine="0"/>
        <w:jc w:val="both"/>
        <w:rPr>
          <w:sz w:val="32"/>
        </w:rPr>
      </w:pPr>
      <w:r>
        <w:rPr>
          <w:spacing w:val="-1"/>
          <w:sz w:val="32"/>
        </w:rPr>
        <w:t>第十八条 各单位会议费支付，应当严格按照国库集中支付</w:t>
      </w:r>
      <w:r>
        <w:rPr>
          <w:spacing w:val="-2"/>
          <w:sz w:val="32"/>
        </w:rPr>
        <w:t>制度和公务卡管理制度的有关规定执行，以银行转账或公务</w:t>
      </w:r>
      <w:r>
        <w:rPr>
          <w:sz w:val="32"/>
        </w:rPr>
        <w:t>卡方式结算，禁止以现金方式结算。</w:t>
      </w:r>
    </w:p>
    <w:p>
      <w:pPr>
        <w:spacing w:before="283"/>
        <w:ind w:left="780" w:right="0" w:firstLine="0"/>
        <w:jc w:val="left"/>
        <w:rPr>
          <w:sz w:val="32"/>
        </w:rPr>
      </w:pPr>
      <w:r>
        <w:rPr>
          <w:sz w:val="32"/>
        </w:rPr>
        <w:t>具备条件的，会议费应当由单位财务部门直接结算。</w:t>
      </w:r>
    </w:p>
    <w:p>
      <w:pPr>
        <w:pStyle w:val="BodyText"/>
        <w:spacing w:before="5"/>
        <w:rPr>
          <w:sz w:val="38"/>
        </w:rPr>
      </w:pPr>
    </w:p>
    <w:p>
      <w:pPr>
        <w:spacing w:before="0"/>
        <w:ind w:left="0" w:right="460" w:firstLine="0"/>
        <w:jc w:val="center"/>
        <w:rPr>
          <w:rFonts w:ascii="黑体" w:eastAsia="黑体" w:hint="eastAsia"/>
          <w:b/>
          <w:sz w:val="32"/>
        </w:rPr>
      </w:pPr>
      <w:r>
        <w:rPr>
          <w:rFonts w:ascii="黑体" w:eastAsia="黑体" w:hint="eastAsia"/>
          <w:b/>
          <w:sz w:val="32"/>
        </w:rPr>
        <w:t>第四章 会议费公示和年度报告制度</w:t>
      </w:r>
    </w:p>
    <w:p>
      <w:pPr>
        <w:pStyle w:val="BodyText"/>
        <w:spacing w:before="9"/>
        <w:rPr>
          <w:rFonts w:ascii="黑体"/>
          <w:b/>
          <w:sz w:val="38"/>
        </w:rPr>
      </w:pPr>
    </w:p>
    <w:p>
      <w:pPr>
        <w:spacing w:line="364" w:lineRule="auto" w:before="0"/>
        <w:ind w:left="780" w:right="1240" w:firstLine="0"/>
        <w:jc w:val="both"/>
        <w:rPr>
          <w:sz w:val="32"/>
        </w:rPr>
      </w:pPr>
      <w:r>
        <w:rPr>
          <w:spacing w:val="-2"/>
          <w:sz w:val="32"/>
        </w:rPr>
        <w:t>第十九条 各单位应当将非涉密会议的名称、主要内容、参</w:t>
      </w:r>
      <w:r>
        <w:rPr>
          <w:spacing w:val="-4"/>
          <w:sz w:val="32"/>
        </w:rPr>
        <w:t>会人数、经费开支等情况在单位内部公示或提供查询，具备</w:t>
      </w:r>
      <w:r>
        <w:rPr>
          <w:sz w:val="32"/>
        </w:rPr>
        <w:t>条件的应当向社会公开。</w:t>
      </w:r>
    </w:p>
    <w:p>
      <w:pPr>
        <w:spacing w:line="364" w:lineRule="auto" w:before="283"/>
        <w:ind w:left="780" w:right="1237" w:firstLine="0"/>
        <w:jc w:val="both"/>
        <w:rPr>
          <w:sz w:val="32"/>
        </w:rPr>
      </w:pPr>
      <w:r>
        <w:rPr>
          <w:spacing w:val="2"/>
          <w:sz w:val="32"/>
        </w:rPr>
        <w:t>第二十条 一级预算单位应当于每年 </w:t>
      </w:r>
      <w:r>
        <w:rPr>
          <w:sz w:val="32"/>
        </w:rPr>
        <w:t>3</w:t>
      </w:r>
      <w:r>
        <w:rPr>
          <w:spacing w:val="-14"/>
          <w:sz w:val="32"/>
        </w:rPr>
        <w:t> 月底前，将本级和下</w:t>
      </w:r>
      <w:r>
        <w:rPr>
          <w:spacing w:val="-1"/>
          <w:sz w:val="32"/>
        </w:rPr>
        <w:t>属预算单位上年度会议计划和执行情况</w:t>
      </w:r>
      <w:r>
        <w:rPr>
          <w:sz w:val="32"/>
        </w:rPr>
        <w:t>（</w:t>
      </w:r>
      <w:r>
        <w:rPr>
          <w:spacing w:val="-3"/>
          <w:sz w:val="32"/>
        </w:rPr>
        <w:t>包括会议名称、主</w:t>
      </w:r>
      <w:r>
        <w:rPr>
          <w:spacing w:val="-4"/>
          <w:sz w:val="32"/>
        </w:rPr>
        <w:t>要内容、时间地点、代表人数、工作人员数、经费开支及列</w:t>
      </w:r>
      <w:r>
        <w:rPr>
          <w:sz w:val="32"/>
        </w:rPr>
        <w:t>支渠道等</w:t>
      </w:r>
      <w:r>
        <w:rPr>
          <w:spacing w:val="-8"/>
          <w:sz w:val="32"/>
        </w:rPr>
        <w:t>）</w:t>
      </w:r>
      <w:r>
        <w:rPr>
          <w:spacing w:val="-1"/>
          <w:sz w:val="32"/>
        </w:rPr>
        <w:t>汇总后报财政部。党中央各部门同时抄送中直管理局，国务院各部门同时抄送国管局。</w:t>
      </w:r>
    </w:p>
    <w:p>
      <w:pPr>
        <w:spacing w:line="364" w:lineRule="auto" w:before="283"/>
        <w:ind w:left="780" w:right="1241" w:firstLine="0"/>
        <w:jc w:val="both"/>
        <w:rPr>
          <w:sz w:val="32"/>
        </w:rPr>
      </w:pPr>
      <w:r>
        <w:rPr>
          <w:sz w:val="32"/>
        </w:rPr>
        <w:t>第二十一条 财政部对各单位报送的会议年度报告进行汇总分析，针对执行中存在的问题，及时完善相关制度。</w:t>
      </w:r>
    </w:p>
    <w:p>
      <w:pPr>
        <w:spacing w:before="282"/>
        <w:ind w:left="0" w:right="456" w:firstLine="0"/>
        <w:jc w:val="center"/>
        <w:rPr>
          <w:rFonts w:ascii="黑体" w:eastAsia="黑体" w:hint="eastAsia"/>
          <w:b/>
          <w:sz w:val="32"/>
        </w:rPr>
      </w:pPr>
      <w:r>
        <w:rPr>
          <w:rFonts w:ascii="黑体" w:eastAsia="黑体" w:hint="eastAsia"/>
          <w:b/>
          <w:sz w:val="32"/>
        </w:rPr>
        <w:t>第五章 管理职责</w:t>
      </w:r>
    </w:p>
    <w:p>
      <w:pPr>
        <w:pStyle w:val="BodyText"/>
        <w:spacing w:before="8"/>
        <w:rPr>
          <w:rFonts w:ascii="黑体"/>
          <w:b/>
          <w:sz w:val="38"/>
        </w:rPr>
      </w:pPr>
    </w:p>
    <w:p>
      <w:pPr>
        <w:tabs>
          <w:tab w:pos="2700" w:val="left" w:leader="none"/>
        </w:tabs>
        <w:spacing w:before="1"/>
        <w:ind w:left="780" w:right="0" w:firstLine="0"/>
        <w:jc w:val="left"/>
        <w:rPr>
          <w:sz w:val="32"/>
        </w:rPr>
      </w:pPr>
      <w:r>
        <w:rPr>
          <w:sz w:val="32"/>
        </w:rPr>
        <w:t>第二十二条</w:t>
        <w:tab/>
        <w:t>财政部的主要职责是：</w:t>
      </w:r>
    </w:p>
    <w:p>
      <w:pPr>
        <w:spacing w:after="0"/>
        <w:jc w:val="left"/>
        <w:rPr>
          <w:sz w:val="32"/>
        </w:rPr>
        <w:sectPr>
          <w:pgSz w:w="11910" w:h="16840"/>
          <w:pgMar w:header="0" w:footer="1035" w:top="1500" w:bottom="1300" w:left="1020" w:right="560"/>
        </w:sectPr>
      </w:pPr>
    </w:p>
    <w:p>
      <w:pPr>
        <w:spacing w:line="364" w:lineRule="auto" w:before="27"/>
        <w:ind w:left="780" w:right="1195" w:firstLine="0"/>
        <w:jc w:val="left"/>
        <w:rPr>
          <w:sz w:val="32"/>
        </w:rPr>
      </w:pPr>
      <w:r>
        <w:rPr>
          <w:sz w:val="32"/>
        </w:rPr>
        <w:t>（一）会同国管局、中直管理局等部门制定或修订中央本级会议费管理办法，并对执行情况进行监督检查；</w:t>
      </w:r>
    </w:p>
    <w:p>
      <w:pPr>
        <w:spacing w:before="282"/>
        <w:ind w:left="780" w:right="0" w:firstLine="0"/>
        <w:jc w:val="left"/>
        <w:rPr>
          <w:sz w:val="32"/>
        </w:rPr>
      </w:pPr>
      <w:r>
        <w:rPr>
          <w:sz w:val="32"/>
        </w:rPr>
        <w:t>（二）按规定对各单位报送的二类会议计划进行审核会签；</w:t>
      </w:r>
    </w:p>
    <w:p>
      <w:pPr>
        <w:pStyle w:val="BodyText"/>
        <w:spacing w:before="5"/>
        <w:rPr>
          <w:sz w:val="38"/>
        </w:rPr>
      </w:pPr>
    </w:p>
    <w:p>
      <w:pPr>
        <w:spacing w:before="0"/>
        <w:ind w:left="780" w:right="0" w:firstLine="0"/>
        <w:jc w:val="left"/>
        <w:rPr>
          <w:sz w:val="32"/>
        </w:rPr>
      </w:pPr>
      <w:r>
        <w:rPr>
          <w:sz w:val="32"/>
        </w:rPr>
        <w:t>（三）对会议费支付结算实施动态监控；</w:t>
      </w:r>
    </w:p>
    <w:p>
      <w:pPr>
        <w:pStyle w:val="BodyText"/>
        <w:spacing w:before="8"/>
        <w:rPr>
          <w:sz w:val="38"/>
        </w:rPr>
      </w:pPr>
    </w:p>
    <w:p>
      <w:pPr>
        <w:spacing w:line="364" w:lineRule="auto" w:before="0"/>
        <w:ind w:left="780" w:right="1194" w:firstLine="0"/>
        <w:jc w:val="left"/>
        <w:rPr>
          <w:sz w:val="32"/>
        </w:rPr>
      </w:pPr>
      <w:r>
        <w:rPr>
          <w:sz w:val="32"/>
        </w:rPr>
        <w:t>（四）对各单位报送的会议年度报告进行汇总分析，提出加强管理的措施。</w:t>
      </w:r>
    </w:p>
    <w:p>
      <w:pPr>
        <w:tabs>
          <w:tab w:pos="2700" w:val="left" w:leader="none"/>
        </w:tabs>
        <w:spacing w:before="283"/>
        <w:ind w:left="780" w:right="0" w:firstLine="0"/>
        <w:jc w:val="left"/>
        <w:rPr>
          <w:sz w:val="32"/>
        </w:rPr>
      </w:pPr>
      <w:r>
        <w:rPr>
          <w:sz w:val="32"/>
        </w:rPr>
        <w:t>第二十三条</w:t>
        <w:tab/>
        <w:t>国管局的主要职责是：</w:t>
      </w:r>
    </w:p>
    <w:p>
      <w:pPr>
        <w:pStyle w:val="BodyText"/>
        <w:spacing w:before="6"/>
        <w:rPr>
          <w:sz w:val="38"/>
        </w:rPr>
      </w:pPr>
    </w:p>
    <w:p>
      <w:pPr>
        <w:spacing w:line="364" w:lineRule="auto" w:before="0"/>
        <w:ind w:left="780" w:right="1194" w:firstLine="0"/>
        <w:jc w:val="left"/>
        <w:rPr>
          <w:sz w:val="32"/>
        </w:rPr>
      </w:pPr>
      <w:r>
        <w:rPr>
          <w:sz w:val="32"/>
        </w:rPr>
        <w:t>（一）配合财政部制定或修订中央和国家机关会议费管理办法；</w:t>
      </w:r>
    </w:p>
    <w:p>
      <w:pPr>
        <w:spacing w:before="282"/>
        <w:ind w:left="780" w:right="0" w:firstLine="0"/>
        <w:jc w:val="left"/>
        <w:rPr>
          <w:sz w:val="32"/>
        </w:rPr>
      </w:pPr>
      <w:r>
        <w:rPr>
          <w:sz w:val="32"/>
        </w:rPr>
        <w:t>（二）负责国务院召开的一类会议的总务工作；</w:t>
      </w:r>
    </w:p>
    <w:p>
      <w:pPr>
        <w:pStyle w:val="BodyText"/>
        <w:spacing w:before="8"/>
        <w:rPr>
          <w:sz w:val="38"/>
        </w:rPr>
      </w:pPr>
    </w:p>
    <w:p>
      <w:pPr>
        <w:spacing w:line="364" w:lineRule="auto" w:before="1"/>
        <w:ind w:left="780" w:right="1195" w:firstLine="0"/>
        <w:jc w:val="left"/>
        <w:rPr>
          <w:sz w:val="32"/>
        </w:rPr>
      </w:pPr>
      <w:r>
        <w:rPr>
          <w:sz w:val="32"/>
        </w:rPr>
        <w:t>（三）配合财政部对国务院各部委、各直属机构会议费执行情况进行监督检查。</w:t>
      </w:r>
    </w:p>
    <w:p>
      <w:pPr>
        <w:tabs>
          <w:tab w:pos="2700" w:val="left" w:leader="none"/>
        </w:tabs>
        <w:spacing w:before="280"/>
        <w:ind w:left="780" w:right="0" w:firstLine="0"/>
        <w:jc w:val="left"/>
        <w:rPr>
          <w:sz w:val="32"/>
        </w:rPr>
      </w:pPr>
      <w:r>
        <w:rPr>
          <w:sz w:val="32"/>
        </w:rPr>
        <w:t>第二十四条</w:t>
        <w:tab/>
        <w:t>中直管理局的主要职责是：</w:t>
      </w:r>
    </w:p>
    <w:p>
      <w:pPr>
        <w:pStyle w:val="BodyText"/>
        <w:spacing w:before="7"/>
        <w:rPr>
          <w:sz w:val="38"/>
        </w:rPr>
      </w:pPr>
    </w:p>
    <w:p>
      <w:pPr>
        <w:spacing w:line="364" w:lineRule="auto" w:before="1"/>
        <w:ind w:left="780" w:right="1194" w:firstLine="0"/>
        <w:jc w:val="left"/>
        <w:rPr>
          <w:sz w:val="32"/>
        </w:rPr>
      </w:pPr>
      <w:r>
        <w:rPr>
          <w:sz w:val="32"/>
        </w:rPr>
        <w:t>（一）配合财政部制定或修订中央和国家机关会议费管理办法；</w:t>
      </w:r>
    </w:p>
    <w:p>
      <w:pPr>
        <w:spacing w:before="283"/>
        <w:ind w:left="780" w:right="0" w:firstLine="0"/>
        <w:jc w:val="left"/>
        <w:rPr>
          <w:sz w:val="32"/>
        </w:rPr>
      </w:pPr>
      <w:r>
        <w:rPr>
          <w:sz w:val="32"/>
        </w:rPr>
        <w:t>（二）负责党中央召开的一类会议的总务工作；</w:t>
      </w:r>
    </w:p>
    <w:p>
      <w:pPr>
        <w:spacing w:after="0"/>
        <w:jc w:val="left"/>
        <w:rPr>
          <w:sz w:val="32"/>
        </w:rPr>
        <w:sectPr>
          <w:pgSz w:w="11910" w:h="16840"/>
          <w:pgMar w:header="0" w:footer="1035" w:top="1500" w:bottom="1300" w:left="1020" w:right="560"/>
        </w:sectPr>
      </w:pPr>
    </w:p>
    <w:p>
      <w:pPr>
        <w:spacing w:line="364" w:lineRule="auto" w:before="27"/>
        <w:ind w:left="780" w:right="1194" w:firstLine="0"/>
        <w:jc w:val="left"/>
        <w:rPr>
          <w:sz w:val="32"/>
        </w:rPr>
      </w:pPr>
      <w:r>
        <w:rPr>
          <w:sz w:val="32"/>
        </w:rPr>
        <w:t>（三）配合财政部对中央各部门会议费执行情况进行监督检查。</w:t>
      </w:r>
    </w:p>
    <w:p>
      <w:pPr>
        <w:tabs>
          <w:tab w:pos="2700" w:val="left" w:leader="none"/>
        </w:tabs>
        <w:spacing w:before="282"/>
        <w:ind w:left="780" w:right="0" w:firstLine="0"/>
        <w:jc w:val="left"/>
        <w:rPr>
          <w:sz w:val="32"/>
        </w:rPr>
      </w:pPr>
      <w:r>
        <w:rPr>
          <w:sz w:val="32"/>
        </w:rPr>
        <w:t>第二十五条</w:t>
        <w:tab/>
        <w:t>各单位的主要职责是：</w:t>
      </w:r>
    </w:p>
    <w:p>
      <w:pPr>
        <w:pStyle w:val="BodyText"/>
        <w:spacing w:before="5"/>
        <w:rPr>
          <w:sz w:val="38"/>
        </w:rPr>
      </w:pPr>
    </w:p>
    <w:p>
      <w:pPr>
        <w:spacing w:before="0"/>
        <w:ind w:left="780" w:right="0" w:firstLine="0"/>
        <w:jc w:val="left"/>
        <w:rPr>
          <w:sz w:val="32"/>
        </w:rPr>
      </w:pPr>
      <w:r>
        <w:rPr>
          <w:sz w:val="32"/>
        </w:rPr>
        <w:t>（一）负责制定本单位会议费管理的实施细则；</w:t>
      </w:r>
    </w:p>
    <w:p>
      <w:pPr>
        <w:pStyle w:val="BodyText"/>
        <w:spacing w:before="8"/>
        <w:rPr>
          <w:sz w:val="38"/>
        </w:rPr>
      </w:pPr>
    </w:p>
    <w:p>
      <w:pPr>
        <w:spacing w:line="364" w:lineRule="auto" w:before="0"/>
        <w:ind w:left="780" w:right="1195" w:firstLine="0"/>
        <w:jc w:val="left"/>
        <w:rPr>
          <w:sz w:val="32"/>
        </w:rPr>
      </w:pPr>
      <w:r>
        <w:rPr>
          <w:sz w:val="32"/>
        </w:rPr>
        <w:t>（二）负责单位年度会议计划编制和三类、四类会议的审批管理；</w:t>
      </w:r>
    </w:p>
    <w:p>
      <w:pPr>
        <w:spacing w:line="364" w:lineRule="auto" w:before="283"/>
        <w:ind w:left="780" w:right="1238" w:firstLine="0"/>
        <w:jc w:val="both"/>
        <w:rPr>
          <w:sz w:val="32"/>
        </w:rPr>
      </w:pPr>
      <w:r>
        <w:rPr>
          <w:sz w:val="32"/>
        </w:rPr>
        <w:t>（三</w:t>
      </w:r>
      <w:r>
        <w:rPr>
          <w:spacing w:val="-5"/>
          <w:sz w:val="32"/>
        </w:rPr>
        <w:t>）</w:t>
      </w:r>
      <w:r>
        <w:rPr>
          <w:spacing w:val="-3"/>
          <w:sz w:val="32"/>
        </w:rPr>
        <w:t>负责安排会议预算并按规定管理、使用会议费，做好</w:t>
      </w:r>
      <w:r>
        <w:rPr>
          <w:spacing w:val="-2"/>
          <w:sz w:val="32"/>
        </w:rPr>
        <w:t>相应的财务管理和会计核算工作，对内部会议费报销进行审</w:t>
      </w:r>
      <w:r>
        <w:rPr>
          <w:sz w:val="32"/>
        </w:rPr>
        <w:t>核把关，确保票据来源合法，内容真实、完整、合规；</w:t>
      </w:r>
    </w:p>
    <w:p>
      <w:pPr>
        <w:spacing w:line="364" w:lineRule="auto" w:before="281"/>
        <w:ind w:left="780" w:right="1195" w:firstLine="0"/>
        <w:jc w:val="left"/>
        <w:rPr>
          <w:sz w:val="32"/>
        </w:rPr>
      </w:pPr>
      <w:r>
        <w:rPr>
          <w:sz w:val="32"/>
        </w:rPr>
        <w:t>（四）按规定报送会议年度报告，加强对本单位会议费使用的内控管理。</w:t>
      </w:r>
    </w:p>
    <w:p>
      <w:pPr>
        <w:spacing w:before="283"/>
        <w:ind w:left="0" w:right="457" w:firstLine="0"/>
        <w:jc w:val="center"/>
        <w:rPr>
          <w:rFonts w:ascii="黑体" w:eastAsia="黑体" w:hint="eastAsia"/>
          <w:b/>
          <w:sz w:val="32"/>
        </w:rPr>
      </w:pPr>
      <w:r>
        <w:rPr>
          <w:rFonts w:ascii="黑体" w:eastAsia="黑体" w:hint="eastAsia"/>
          <w:b/>
          <w:sz w:val="32"/>
        </w:rPr>
        <w:t>第六章 监督检查和责任追究</w:t>
      </w:r>
    </w:p>
    <w:p>
      <w:pPr>
        <w:pStyle w:val="BodyText"/>
        <w:spacing w:before="8"/>
        <w:rPr>
          <w:rFonts w:ascii="黑体"/>
          <w:b/>
          <w:sz w:val="38"/>
        </w:rPr>
      </w:pPr>
    </w:p>
    <w:p>
      <w:pPr>
        <w:spacing w:line="364" w:lineRule="auto" w:before="0"/>
        <w:ind w:left="780" w:right="1238" w:firstLine="0"/>
        <w:jc w:val="both"/>
        <w:rPr>
          <w:sz w:val="32"/>
        </w:rPr>
      </w:pPr>
      <w:r>
        <w:rPr>
          <w:spacing w:val="-1"/>
          <w:sz w:val="32"/>
        </w:rPr>
        <w:t>第二十六条 财政部、国管局、中直管理局会同有关部门对</w:t>
      </w:r>
      <w:r>
        <w:rPr>
          <w:spacing w:val="10"/>
          <w:w w:val="95"/>
          <w:sz w:val="32"/>
        </w:rPr>
        <w:t>各单位会议费管理和使用情况进行监督检查。主要内容包 </w:t>
      </w:r>
      <w:r>
        <w:rPr>
          <w:spacing w:val="10"/>
          <w:sz w:val="32"/>
        </w:rPr>
        <w:t>括：</w:t>
      </w:r>
    </w:p>
    <w:p>
      <w:pPr>
        <w:spacing w:before="281"/>
        <w:ind w:left="780" w:right="0" w:firstLine="0"/>
        <w:jc w:val="left"/>
        <w:rPr>
          <w:sz w:val="32"/>
        </w:rPr>
      </w:pPr>
      <w:r>
        <w:rPr>
          <w:sz w:val="32"/>
        </w:rPr>
        <w:t>（一）会议计划的编报、审批是否符合规定；</w:t>
      </w:r>
    </w:p>
    <w:p>
      <w:pPr>
        <w:pStyle w:val="BodyText"/>
        <w:spacing w:before="8"/>
        <w:rPr>
          <w:sz w:val="38"/>
        </w:rPr>
      </w:pPr>
    </w:p>
    <w:p>
      <w:pPr>
        <w:spacing w:before="0"/>
        <w:ind w:left="780" w:right="0" w:firstLine="0"/>
        <w:jc w:val="left"/>
        <w:rPr>
          <w:sz w:val="32"/>
        </w:rPr>
      </w:pPr>
      <w:r>
        <w:rPr>
          <w:sz w:val="32"/>
        </w:rPr>
        <w:t>（二）会议费开支范围和开支标准是否符合规定；</w:t>
      </w:r>
    </w:p>
    <w:p>
      <w:pPr>
        <w:pStyle w:val="BodyText"/>
        <w:spacing w:before="8"/>
        <w:rPr>
          <w:sz w:val="38"/>
        </w:rPr>
      </w:pPr>
    </w:p>
    <w:p>
      <w:pPr>
        <w:spacing w:before="0"/>
        <w:ind w:left="780" w:right="0" w:firstLine="0"/>
        <w:jc w:val="left"/>
        <w:rPr>
          <w:sz w:val="32"/>
        </w:rPr>
      </w:pPr>
      <w:r>
        <w:rPr>
          <w:sz w:val="32"/>
        </w:rPr>
        <w:t>（三）会议费报销和支付是否符合规定；</w:t>
      </w:r>
    </w:p>
    <w:p>
      <w:pPr>
        <w:spacing w:after="0"/>
        <w:jc w:val="left"/>
        <w:rPr>
          <w:sz w:val="32"/>
        </w:rPr>
        <w:sectPr>
          <w:pgSz w:w="11910" w:h="16840"/>
          <w:pgMar w:header="0" w:footer="1035" w:top="1500" w:bottom="1300" w:left="1020" w:right="560"/>
        </w:sectPr>
      </w:pPr>
    </w:p>
    <w:p>
      <w:pPr>
        <w:spacing w:line="364" w:lineRule="auto" w:before="27"/>
        <w:ind w:left="780" w:right="1195" w:firstLine="0"/>
        <w:jc w:val="left"/>
        <w:rPr>
          <w:sz w:val="32"/>
        </w:rPr>
      </w:pPr>
      <w:r>
        <w:rPr>
          <w:sz w:val="32"/>
        </w:rPr>
        <w:t>（四）会议会期、规模是否符合规定，会议是否在规定的地点和场所召开；</w:t>
      </w:r>
    </w:p>
    <w:p>
      <w:pPr>
        <w:spacing w:line="364" w:lineRule="auto" w:before="282"/>
        <w:ind w:left="780" w:right="1195" w:firstLine="0"/>
        <w:jc w:val="left"/>
        <w:rPr>
          <w:sz w:val="32"/>
        </w:rPr>
      </w:pPr>
      <w:r>
        <w:rPr>
          <w:sz w:val="32"/>
        </w:rPr>
        <w:t>（五）是否向下属机构、企事业单位或地方转嫁、摊派会议费；</w:t>
      </w:r>
    </w:p>
    <w:p>
      <w:pPr>
        <w:spacing w:before="280"/>
        <w:ind w:left="780" w:right="0" w:firstLine="0"/>
        <w:jc w:val="left"/>
        <w:rPr>
          <w:sz w:val="32"/>
        </w:rPr>
      </w:pPr>
      <w:r>
        <w:rPr>
          <w:sz w:val="32"/>
        </w:rPr>
        <w:t>（六）会议费管理和使用的其他情况。</w:t>
      </w:r>
    </w:p>
    <w:p>
      <w:pPr>
        <w:pStyle w:val="BodyText"/>
        <w:spacing w:before="8"/>
        <w:rPr>
          <w:sz w:val="37"/>
        </w:rPr>
      </w:pPr>
    </w:p>
    <w:p>
      <w:pPr>
        <w:spacing w:line="340" w:lineRule="auto" w:before="0"/>
        <w:ind w:left="780" w:right="1197" w:firstLine="0"/>
        <w:jc w:val="both"/>
        <w:rPr>
          <w:sz w:val="32"/>
        </w:rPr>
      </w:pPr>
      <w:r>
        <w:rPr>
          <w:sz w:val="32"/>
        </w:rPr>
        <w:t>第二十七条 </w:t>
      </w:r>
      <w:r>
        <w:rPr>
          <w:rFonts w:ascii="等线" w:hAnsi="等线" w:eastAsia="等线" w:hint="eastAsia"/>
          <w:b/>
          <w:sz w:val="32"/>
        </w:rPr>
        <w:t>严禁各单位借会议名义组织会餐或安排宴请</w:t>
      </w:r>
      <w:r>
        <w:rPr>
          <w:sz w:val="32"/>
        </w:rPr>
        <w:t>； 严禁套取会议费设立“小金库”；严禁在会议费中列支公务接待费。</w:t>
      </w:r>
    </w:p>
    <w:p>
      <w:pPr>
        <w:pStyle w:val="BodyText"/>
        <w:spacing w:before="10"/>
        <w:rPr>
          <w:sz w:val="24"/>
        </w:rPr>
      </w:pPr>
    </w:p>
    <w:p>
      <w:pPr>
        <w:pStyle w:val="Heading7"/>
        <w:spacing w:line="364" w:lineRule="auto"/>
        <w:ind w:right="1241"/>
        <w:jc w:val="both"/>
      </w:pPr>
      <w:r>
        <w:rPr>
          <w:spacing w:val="-3"/>
        </w:rPr>
        <w:t>各单位应严格执行会议用房标准，不得安排高档套房；会议</w:t>
      </w:r>
      <w:r>
        <w:rPr>
          <w:spacing w:val="-4"/>
        </w:rPr>
        <w:t>用餐严格控制菜品种类、数量和份量，安排自助餐，严禁提供高档菜肴，不安排宴请，不上烟酒；会议会场一律不摆花</w:t>
      </w:r>
      <w:r>
        <w:rPr/>
        <w:t>草，不制作背景板，不提供水果。</w:t>
      </w:r>
    </w:p>
    <w:p>
      <w:pPr>
        <w:spacing w:line="364" w:lineRule="auto" w:before="282"/>
        <w:ind w:left="780" w:right="1226" w:firstLine="0"/>
        <w:jc w:val="both"/>
        <w:rPr>
          <w:sz w:val="32"/>
        </w:rPr>
      </w:pPr>
      <w:r>
        <w:rPr>
          <w:sz w:val="32"/>
        </w:rPr>
        <w:t>不得使用会议费购臵电脑、复印机、打印机、传真机等固定资产以及开支与本次会议无关的其他费用；不得组织会议代表旅游和与会议无关的参观；严禁组织高消费娱乐、健身活动；严禁以任何名义发放纪念品；不得额外配发洗漱用品。</w:t>
      </w:r>
    </w:p>
    <w:p>
      <w:pPr>
        <w:spacing w:line="364" w:lineRule="auto" w:before="284"/>
        <w:ind w:left="780" w:right="1240" w:firstLine="0"/>
        <w:jc w:val="both"/>
        <w:rPr>
          <w:sz w:val="32"/>
        </w:rPr>
      </w:pPr>
      <w:r>
        <w:rPr>
          <w:sz w:val="32"/>
        </w:rPr>
        <w:t>第二十八条 违反本办法规定，有下列行为之一的，依法依规追究会议举办单位和相关人员的责任：</w:t>
      </w:r>
    </w:p>
    <w:p>
      <w:pPr>
        <w:spacing w:before="283"/>
        <w:ind w:left="780" w:right="0" w:firstLine="0"/>
        <w:jc w:val="left"/>
        <w:rPr>
          <w:sz w:val="32"/>
        </w:rPr>
      </w:pPr>
      <w:r>
        <w:rPr>
          <w:sz w:val="32"/>
        </w:rPr>
        <w:t>（一）计划外召开会议的；</w:t>
      </w:r>
    </w:p>
    <w:p>
      <w:pPr>
        <w:spacing w:after="0"/>
        <w:jc w:val="left"/>
        <w:rPr>
          <w:sz w:val="32"/>
        </w:rPr>
        <w:sectPr>
          <w:pgSz w:w="11910" w:h="16840"/>
          <w:pgMar w:header="0" w:footer="1035" w:top="1500" w:bottom="1300" w:left="1020" w:right="560"/>
        </w:sectPr>
      </w:pPr>
    </w:p>
    <w:p>
      <w:pPr>
        <w:spacing w:before="27"/>
        <w:ind w:left="780" w:right="0" w:firstLine="0"/>
        <w:jc w:val="left"/>
        <w:rPr>
          <w:sz w:val="32"/>
        </w:rPr>
      </w:pPr>
      <w:r>
        <w:rPr>
          <w:sz w:val="32"/>
        </w:rPr>
        <w:t>（二）以虚报、冒领手段骗取会议费的；</w:t>
      </w:r>
    </w:p>
    <w:p>
      <w:pPr>
        <w:pStyle w:val="BodyText"/>
        <w:spacing w:before="7"/>
        <w:rPr>
          <w:sz w:val="38"/>
        </w:rPr>
      </w:pPr>
    </w:p>
    <w:p>
      <w:pPr>
        <w:spacing w:before="0"/>
        <w:ind w:left="780" w:right="0" w:firstLine="0"/>
        <w:jc w:val="left"/>
        <w:rPr>
          <w:sz w:val="32"/>
        </w:rPr>
      </w:pPr>
      <w:r>
        <w:rPr>
          <w:sz w:val="32"/>
        </w:rPr>
        <w:t>（三）虚报会议人数、天数等进行报销的；</w:t>
      </w:r>
    </w:p>
    <w:p>
      <w:pPr>
        <w:pStyle w:val="BodyText"/>
        <w:spacing w:before="6"/>
        <w:rPr>
          <w:sz w:val="38"/>
        </w:rPr>
      </w:pPr>
    </w:p>
    <w:p>
      <w:pPr>
        <w:spacing w:line="364" w:lineRule="auto" w:before="0"/>
        <w:ind w:left="780" w:right="1195" w:firstLine="0"/>
        <w:jc w:val="left"/>
        <w:rPr>
          <w:sz w:val="32"/>
        </w:rPr>
      </w:pPr>
      <w:r>
        <w:rPr>
          <w:sz w:val="32"/>
        </w:rPr>
        <w:t>（四）违规扩大会议费开支范围，擅自提高会议费开支标准的；</w:t>
      </w:r>
    </w:p>
    <w:p>
      <w:pPr>
        <w:spacing w:before="282"/>
        <w:ind w:left="780" w:right="0" w:firstLine="0"/>
        <w:jc w:val="left"/>
        <w:rPr>
          <w:sz w:val="32"/>
        </w:rPr>
      </w:pPr>
      <w:r>
        <w:rPr>
          <w:sz w:val="32"/>
        </w:rPr>
        <w:t>（五）违规报销与会议无关费用的；</w:t>
      </w:r>
    </w:p>
    <w:p>
      <w:pPr>
        <w:pStyle w:val="BodyText"/>
        <w:spacing w:before="9"/>
        <w:rPr>
          <w:sz w:val="38"/>
        </w:rPr>
      </w:pPr>
    </w:p>
    <w:p>
      <w:pPr>
        <w:spacing w:before="0"/>
        <w:ind w:left="780" w:right="0" w:firstLine="0"/>
        <w:jc w:val="left"/>
        <w:rPr>
          <w:sz w:val="32"/>
        </w:rPr>
      </w:pPr>
      <w:r>
        <w:rPr>
          <w:sz w:val="32"/>
        </w:rPr>
        <w:t>（六）其他违反本办法行为的。</w:t>
      </w:r>
    </w:p>
    <w:p>
      <w:pPr>
        <w:pStyle w:val="BodyText"/>
        <w:spacing w:before="5"/>
        <w:rPr>
          <w:sz w:val="38"/>
        </w:rPr>
      </w:pPr>
    </w:p>
    <w:p>
      <w:pPr>
        <w:spacing w:line="364" w:lineRule="auto" w:before="0"/>
        <w:ind w:left="780" w:right="1226" w:firstLine="0"/>
        <w:jc w:val="both"/>
        <w:rPr>
          <w:sz w:val="32"/>
        </w:rPr>
      </w:pPr>
      <w:r>
        <w:rPr>
          <w:sz w:val="32"/>
        </w:rPr>
        <w:t>有前款所列行为之一的，由财政部会同有关部门责令改正， 追回资金，并经报批后予以通报。对直接负责的主管人员和相关负责人，报请其所在单位按规定给予行政处分。如行为涉嫌违法的，移交司法机关处理。</w:t>
      </w:r>
    </w:p>
    <w:p>
      <w:pPr>
        <w:spacing w:line="364" w:lineRule="auto" w:before="285"/>
        <w:ind w:left="780" w:right="1238" w:firstLine="0"/>
        <w:jc w:val="both"/>
        <w:rPr>
          <w:sz w:val="32"/>
        </w:rPr>
      </w:pPr>
      <w:r>
        <w:rPr>
          <w:spacing w:val="-3"/>
          <w:sz w:val="32"/>
        </w:rPr>
        <w:t>定点会议场所或单位内部宾馆、招待所、培训中心有关工作人员违反规定的，按照财政部定点会议场所管理的有关规定</w:t>
      </w:r>
      <w:r>
        <w:rPr>
          <w:sz w:val="32"/>
        </w:rPr>
        <w:t>处理。</w:t>
      </w:r>
    </w:p>
    <w:p>
      <w:pPr>
        <w:spacing w:before="283"/>
        <w:ind w:left="0" w:right="456" w:firstLine="0"/>
        <w:jc w:val="center"/>
        <w:rPr>
          <w:rFonts w:ascii="黑体" w:eastAsia="黑体" w:hint="eastAsia"/>
          <w:b/>
          <w:sz w:val="32"/>
        </w:rPr>
      </w:pPr>
      <w:r>
        <w:rPr>
          <w:rFonts w:ascii="黑体" w:eastAsia="黑体" w:hint="eastAsia"/>
          <w:b/>
          <w:sz w:val="32"/>
        </w:rPr>
        <w:t>第七章 附则</w:t>
      </w:r>
    </w:p>
    <w:p>
      <w:pPr>
        <w:pStyle w:val="BodyText"/>
        <w:spacing w:before="5"/>
        <w:rPr>
          <w:rFonts w:ascii="黑体"/>
          <w:b/>
          <w:sz w:val="38"/>
        </w:rPr>
      </w:pPr>
    </w:p>
    <w:p>
      <w:pPr>
        <w:spacing w:line="364" w:lineRule="auto" w:before="1"/>
        <w:ind w:left="780" w:right="1238" w:firstLine="0"/>
        <w:jc w:val="both"/>
        <w:rPr>
          <w:sz w:val="32"/>
        </w:rPr>
      </w:pPr>
      <w:r>
        <w:rPr>
          <w:sz w:val="32"/>
        </w:rPr>
        <w:t>第二十九条 各单位应当按照本办法规定，结合本单位业务特点和工作需要，制定会议费管理具体规定。</w:t>
      </w:r>
    </w:p>
    <w:p>
      <w:pPr>
        <w:spacing w:after="0" w:line="364" w:lineRule="auto"/>
        <w:jc w:val="both"/>
        <w:rPr>
          <w:sz w:val="32"/>
        </w:rPr>
        <w:sectPr>
          <w:pgSz w:w="11910" w:h="16840"/>
          <w:pgMar w:header="0" w:footer="1035" w:top="1500" w:bottom="1300" w:left="1020" w:right="560"/>
        </w:sectPr>
      </w:pPr>
    </w:p>
    <w:p>
      <w:pPr>
        <w:spacing w:line="364" w:lineRule="auto" w:before="27"/>
        <w:ind w:left="780" w:right="1226" w:firstLine="0"/>
        <w:jc w:val="both"/>
        <w:rPr>
          <w:sz w:val="32"/>
        </w:rPr>
      </w:pPr>
      <w:r>
        <w:rPr>
          <w:sz w:val="32"/>
        </w:rPr>
        <w:t>第三十条 党中央、国务院直属事业单位的会议费管理参照本办法执行。中央和国家机关各部门所属事业单位的会议费管理由各部门依据从严从紧原则参照本办法作出具体规定。</w:t>
      </w:r>
    </w:p>
    <w:p>
      <w:pPr>
        <w:tabs>
          <w:tab w:pos="2700" w:val="left" w:leader="none"/>
        </w:tabs>
        <w:spacing w:line="364" w:lineRule="auto" w:before="283"/>
        <w:ind w:left="780" w:right="1077" w:firstLine="0"/>
        <w:jc w:val="left"/>
        <w:rPr>
          <w:sz w:val="32"/>
        </w:rPr>
      </w:pPr>
      <w:r>
        <w:rPr>
          <w:sz w:val="32"/>
        </w:rPr>
        <w:t>第三十一条</w:t>
        <w:tab/>
        <w:t>本办法由财政部负责解释，自</w:t>
      </w:r>
      <w:r>
        <w:rPr>
          <w:spacing w:val="-34"/>
          <w:sz w:val="32"/>
        </w:rPr>
        <w:t> </w:t>
      </w:r>
      <w:r>
        <w:rPr>
          <w:sz w:val="32"/>
        </w:rPr>
        <w:t>2016</w:t>
      </w:r>
      <w:r>
        <w:rPr>
          <w:spacing w:val="-35"/>
          <w:sz w:val="32"/>
        </w:rPr>
        <w:t> </w:t>
      </w:r>
      <w:r>
        <w:rPr>
          <w:sz w:val="32"/>
        </w:rPr>
        <w:t>年</w:t>
      </w:r>
      <w:r>
        <w:rPr>
          <w:spacing w:val="-34"/>
          <w:sz w:val="32"/>
        </w:rPr>
        <w:t> </w:t>
      </w:r>
      <w:r>
        <w:rPr>
          <w:sz w:val="32"/>
        </w:rPr>
        <w:t>7</w:t>
      </w:r>
      <w:r>
        <w:rPr>
          <w:spacing w:val="-36"/>
          <w:sz w:val="32"/>
        </w:rPr>
        <w:t> </w:t>
      </w:r>
      <w:r>
        <w:rPr>
          <w:sz w:val="32"/>
        </w:rPr>
        <w:t>月</w:t>
      </w:r>
      <w:r>
        <w:rPr>
          <w:spacing w:val="-38"/>
          <w:sz w:val="32"/>
        </w:rPr>
        <w:t> </w:t>
      </w:r>
      <w:r>
        <w:rPr>
          <w:sz w:val="32"/>
        </w:rPr>
        <w:t>1 </w:t>
      </w:r>
      <w:r>
        <w:rPr>
          <w:spacing w:val="-1"/>
          <w:sz w:val="32"/>
        </w:rPr>
        <w:t>日起施行</w:t>
      </w:r>
      <w:r>
        <w:rPr>
          <w:spacing w:val="-197"/>
          <w:sz w:val="32"/>
        </w:rPr>
        <w:t>。</w:t>
      </w:r>
      <w:r>
        <w:rPr>
          <w:spacing w:val="-1"/>
          <w:sz w:val="32"/>
        </w:rPr>
        <w:t>《中央和国</w:t>
      </w:r>
      <w:r>
        <w:rPr>
          <w:sz w:val="32"/>
        </w:rPr>
        <w:t>家机关会议费管理办法</w:t>
      </w:r>
      <w:r>
        <w:rPr>
          <w:spacing w:val="-197"/>
          <w:sz w:val="32"/>
        </w:rPr>
        <w:t>》</w:t>
      </w:r>
      <w:r>
        <w:rPr>
          <w:sz w:val="32"/>
        </w:rPr>
        <w:t>（财</w:t>
      </w:r>
      <w:r>
        <w:rPr>
          <w:spacing w:val="-97"/>
          <w:sz w:val="32"/>
        </w:rPr>
        <w:t>行</w:t>
      </w:r>
      <w:r>
        <w:rPr>
          <w:sz w:val="32"/>
        </w:rPr>
        <w:t>„2013‟ 286</w:t>
      </w:r>
      <w:r>
        <w:rPr>
          <w:spacing w:val="-81"/>
          <w:sz w:val="32"/>
        </w:rPr>
        <w:t> </w:t>
      </w:r>
      <w:r>
        <w:rPr>
          <w:sz w:val="32"/>
        </w:rPr>
        <w:t>号）同时废止。</w:t>
      </w:r>
    </w:p>
    <w:p>
      <w:pPr>
        <w:spacing w:after="0" w:line="364" w:lineRule="auto"/>
        <w:jc w:val="left"/>
        <w:rPr>
          <w:sz w:val="32"/>
        </w:rPr>
        <w:sectPr>
          <w:pgSz w:w="11910" w:h="16840"/>
          <w:pgMar w:header="0" w:footer="1035" w:top="1500" w:bottom="1300" w:left="1020" w:right="560"/>
        </w:sectPr>
      </w:pPr>
    </w:p>
    <w:p>
      <w:pPr>
        <w:pStyle w:val="Heading4"/>
        <w:spacing w:line="615" w:lineRule="exact"/>
        <w:ind w:right="456"/>
      </w:pPr>
      <w:bookmarkStart w:name="_TOC_250023" w:id="4"/>
      <w:bookmarkEnd w:id="4"/>
      <w:r>
        <w:rPr/>
        <w:t>双清论坛操作流程与要求</w:t>
      </w:r>
    </w:p>
    <w:p>
      <w:pPr>
        <w:pStyle w:val="BodyText"/>
        <w:spacing w:before="3"/>
        <w:rPr>
          <w:rFonts w:ascii="方正小标宋简体"/>
          <w:b/>
          <w:sz w:val="29"/>
        </w:rPr>
      </w:pPr>
    </w:p>
    <w:p>
      <w:pPr>
        <w:spacing w:line="328" w:lineRule="auto" w:before="1"/>
        <w:ind w:left="780" w:right="1236" w:firstLine="640"/>
        <w:jc w:val="both"/>
        <w:rPr>
          <w:sz w:val="32"/>
        </w:rPr>
      </w:pPr>
      <w:r>
        <w:rPr>
          <w:spacing w:val="-1"/>
          <w:sz w:val="32"/>
        </w:rPr>
        <w:t>根据国家自然科学基金委员会双清论坛管理办法</w:t>
      </w:r>
      <w:r>
        <w:rPr>
          <w:spacing w:val="-3"/>
          <w:sz w:val="32"/>
        </w:rPr>
        <w:t>（2020 </w:t>
      </w:r>
      <w:r>
        <w:rPr>
          <w:spacing w:val="-23"/>
          <w:sz w:val="32"/>
        </w:rPr>
        <w:t>年 </w:t>
      </w:r>
      <w:r>
        <w:rPr>
          <w:sz w:val="32"/>
        </w:rPr>
        <w:t>1</w:t>
      </w:r>
      <w:r>
        <w:rPr>
          <w:spacing w:val="-30"/>
          <w:sz w:val="32"/>
        </w:rPr>
        <w:t> 月 </w:t>
      </w:r>
      <w:r>
        <w:rPr>
          <w:sz w:val="32"/>
        </w:rPr>
        <w:t>20</w:t>
      </w:r>
      <w:r>
        <w:rPr>
          <w:spacing w:val="-7"/>
          <w:sz w:val="32"/>
        </w:rPr>
        <w:t> 日委务会议修订通过</w:t>
      </w:r>
      <w:r>
        <w:rPr>
          <w:sz w:val="32"/>
        </w:rPr>
        <w:t>）</w:t>
      </w:r>
      <w:r>
        <w:rPr>
          <w:spacing w:val="-2"/>
          <w:sz w:val="32"/>
        </w:rPr>
        <w:t>及我委相关会议费管理规</w:t>
      </w:r>
      <w:r>
        <w:rPr>
          <w:spacing w:val="-4"/>
          <w:sz w:val="32"/>
        </w:rPr>
        <w:t>定，为更好地组织实施双清论坛年度计划，政策局编制了双</w:t>
      </w:r>
      <w:r>
        <w:rPr>
          <w:spacing w:val="-6"/>
          <w:sz w:val="32"/>
        </w:rPr>
        <w:t>清论坛操作流程与要求，供各部门在组织筹备双清论坛时参</w:t>
      </w:r>
      <w:r>
        <w:rPr>
          <w:sz w:val="32"/>
        </w:rPr>
        <w:t>考。</w:t>
      </w:r>
    </w:p>
    <w:p>
      <w:pPr>
        <w:spacing w:line="328" w:lineRule="auto" w:before="0"/>
        <w:ind w:left="780" w:right="1228" w:firstLine="479"/>
        <w:jc w:val="both"/>
        <w:rPr>
          <w:sz w:val="32"/>
        </w:rPr>
      </w:pPr>
      <w:r>
        <w:rPr>
          <w:spacing w:val="6"/>
          <w:w w:val="95"/>
          <w:sz w:val="32"/>
        </w:rPr>
        <w:t>双清论坛年度计划经主任办公会议批准后，各论坛主办 </w:t>
      </w:r>
      <w:r>
        <w:rPr>
          <w:spacing w:val="10"/>
          <w:w w:val="95"/>
          <w:sz w:val="32"/>
        </w:rPr>
        <w:t>部门应当强化责任意识，主动与相关参与部门和政策局沟 </w:t>
      </w:r>
      <w:r>
        <w:rPr>
          <w:spacing w:val="-1"/>
          <w:sz w:val="32"/>
        </w:rPr>
        <w:t>通，确保将论坛组织管理工作要求落到实处，按照要求完成</w:t>
      </w:r>
      <w:r>
        <w:rPr>
          <w:spacing w:val="-3"/>
          <w:sz w:val="32"/>
        </w:rPr>
        <w:t>年度论坛计划，实现论坛预期成效。双清论坛组织过程中的主要进程节点和注意事项如下。</w:t>
      </w:r>
    </w:p>
    <w:p>
      <w:pPr>
        <w:spacing w:line="364" w:lineRule="auto" w:before="220"/>
        <w:ind w:left="780" w:right="1238" w:firstLine="0"/>
        <w:jc w:val="left"/>
        <w:rPr>
          <w:rFonts w:ascii="黑体" w:eastAsia="黑体" w:hint="eastAsia"/>
          <w:b/>
          <w:sz w:val="32"/>
        </w:rPr>
      </w:pPr>
      <w:r>
        <w:rPr>
          <w:rFonts w:ascii="黑体" w:eastAsia="黑体" w:hint="eastAsia"/>
          <w:b/>
          <w:spacing w:val="14"/>
          <w:sz w:val="32"/>
        </w:rPr>
        <w:t>一、会前</w:t>
      </w:r>
      <w:r>
        <w:rPr>
          <w:rFonts w:ascii="黑体" w:eastAsia="黑体" w:hint="eastAsia"/>
          <w:b/>
          <w:sz w:val="32"/>
        </w:rPr>
        <w:t>1-2</w:t>
      </w:r>
      <w:r>
        <w:rPr>
          <w:rFonts w:ascii="黑体" w:eastAsia="黑体" w:hint="eastAsia"/>
          <w:b/>
          <w:spacing w:val="-12"/>
          <w:sz w:val="32"/>
        </w:rPr>
        <w:t> 个月：确定论坛执行主席、组建学术秘书组、</w:t>
      </w:r>
      <w:r>
        <w:rPr>
          <w:rFonts w:ascii="黑体" w:eastAsia="黑体" w:hint="eastAsia"/>
          <w:b/>
          <w:spacing w:val="-10"/>
          <w:sz w:val="32"/>
        </w:rPr>
        <w:t>遴选会议代表、发布会议预通知</w:t>
      </w:r>
    </w:p>
    <w:p>
      <w:pPr>
        <w:spacing w:before="180"/>
        <w:ind w:left="1423" w:right="0" w:firstLine="0"/>
        <w:jc w:val="left"/>
        <w:rPr>
          <w:rFonts w:ascii="Microsoft JhengHei" w:eastAsia="Microsoft JhengHei" w:hint="eastAsia"/>
          <w:b/>
          <w:sz w:val="32"/>
        </w:rPr>
      </w:pPr>
      <w:r>
        <w:rPr>
          <w:rFonts w:ascii="Microsoft JhengHei" w:eastAsia="Microsoft JhengHei" w:hint="eastAsia"/>
          <w:b/>
          <w:sz w:val="32"/>
        </w:rPr>
        <w:t>（一）论坛组织筹备。</w:t>
      </w:r>
    </w:p>
    <w:p>
      <w:pPr>
        <w:spacing w:line="328" w:lineRule="auto" w:before="76"/>
        <w:ind w:left="780" w:right="1238" w:firstLine="640"/>
        <w:jc w:val="both"/>
        <w:rPr>
          <w:sz w:val="32"/>
        </w:rPr>
      </w:pPr>
      <w:r>
        <w:rPr>
          <w:spacing w:val="-4"/>
          <w:sz w:val="32"/>
        </w:rPr>
        <w:t>主办部门、相关参与部门和政策局积极沟通，就论坛时间、论坛举办地点、论坛执行主席人选、学术秘书组成员等</w:t>
      </w:r>
      <w:r>
        <w:rPr>
          <w:spacing w:val="-3"/>
          <w:sz w:val="32"/>
        </w:rPr>
        <w:t>事项达成初步意向，在此基础上确定论坛正式代表名单，并</w:t>
      </w:r>
      <w:r>
        <w:rPr>
          <w:spacing w:val="7"/>
          <w:w w:val="95"/>
          <w:sz w:val="32"/>
        </w:rPr>
        <w:t>发布预通知</w:t>
      </w:r>
      <w:r>
        <w:rPr>
          <w:spacing w:val="5"/>
          <w:w w:val="95"/>
          <w:sz w:val="32"/>
        </w:rPr>
        <w:t>（</w:t>
      </w:r>
      <w:r>
        <w:rPr>
          <w:spacing w:val="4"/>
          <w:w w:val="95"/>
          <w:sz w:val="32"/>
        </w:rPr>
        <w:t>见附件一</w:t>
      </w:r>
      <w:r>
        <w:rPr>
          <w:spacing w:val="-152"/>
          <w:w w:val="95"/>
          <w:sz w:val="32"/>
        </w:rPr>
        <w:t>）</w:t>
      </w:r>
      <w:r>
        <w:rPr>
          <w:spacing w:val="3"/>
          <w:w w:val="95"/>
          <w:sz w:val="32"/>
        </w:rPr>
        <w:t>。论坛预通知由主办部门和政策局 </w:t>
      </w:r>
      <w:r>
        <w:rPr>
          <w:spacing w:val="-4"/>
          <w:sz w:val="32"/>
        </w:rPr>
        <w:t>协商草拟，内容包括：论坛主题和议题、对参会专家代表的</w:t>
      </w:r>
      <w:r>
        <w:rPr>
          <w:sz w:val="32"/>
        </w:rPr>
        <w:t>要求和期望、以及会议初步安排。</w:t>
      </w:r>
    </w:p>
    <w:p>
      <w:pPr>
        <w:pStyle w:val="ListParagraph"/>
        <w:numPr>
          <w:ilvl w:val="0"/>
          <w:numId w:val="1"/>
        </w:numPr>
        <w:tabs>
          <w:tab w:pos="243" w:val="left" w:leader="none"/>
        </w:tabs>
        <w:spacing w:line="459" w:lineRule="exact" w:before="0" w:after="0"/>
        <w:ind w:left="1654" w:right="1240" w:hanging="1654"/>
        <w:jc w:val="right"/>
        <w:rPr>
          <w:rFonts w:ascii="宋体" w:eastAsia="宋体" w:hint="eastAsia"/>
          <w:sz w:val="32"/>
        </w:rPr>
      </w:pPr>
      <w:r>
        <w:rPr>
          <w:rFonts w:ascii="等线" w:eastAsia="等线" w:hint="eastAsia"/>
          <w:b/>
          <w:spacing w:val="4"/>
          <w:w w:val="95"/>
          <w:sz w:val="32"/>
        </w:rPr>
        <w:t>确定论坛执行主席。</w:t>
      </w:r>
      <w:r>
        <w:rPr>
          <w:rFonts w:ascii="宋体" w:eastAsia="宋体" w:hint="eastAsia"/>
          <w:w w:val="95"/>
          <w:sz w:val="32"/>
        </w:rPr>
        <w:t>双清论坛实行执行主席负责制，</w:t>
      </w:r>
    </w:p>
    <w:p>
      <w:pPr>
        <w:pStyle w:val="Heading7"/>
        <w:spacing w:before="91"/>
        <w:ind w:left="0" w:right="1238"/>
        <w:jc w:val="right"/>
      </w:pPr>
      <w:r>
        <w:rPr>
          <w:spacing w:val="-1"/>
          <w:w w:val="95"/>
        </w:rPr>
        <w:t>确定执行主席是双清论坛组织过程中最重要的环节之一。主</w:t>
      </w:r>
    </w:p>
    <w:p>
      <w:pPr>
        <w:spacing w:after="0"/>
        <w:jc w:val="right"/>
        <w:sectPr>
          <w:pgSz w:w="11910" w:h="16840"/>
          <w:pgMar w:header="0" w:footer="1035" w:top="1500" w:bottom="1300" w:left="1020" w:right="560"/>
        </w:sectPr>
      </w:pPr>
    </w:p>
    <w:p>
      <w:pPr>
        <w:spacing w:line="328" w:lineRule="auto" w:before="50"/>
        <w:ind w:left="780" w:right="1077" w:firstLine="0"/>
        <w:jc w:val="left"/>
        <w:rPr>
          <w:sz w:val="32"/>
        </w:rPr>
      </w:pPr>
      <w:r>
        <w:rPr>
          <w:spacing w:val="-5"/>
          <w:sz w:val="32"/>
        </w:rPr>
        <w:t>办部门会同相关参与部门邀请不超 </w:t>
      </w:r>
      <w:r>
        <w:rPr>
          <w:rFonts w:ascii="Times New Roman" w:eastAsia="Times New Roman"/>
          <w:sz w:val="32"/>
        </w:rPr>
        <w:t>3 </w:t>
      </w:r>
      <w:r>
        <w:rPr>
          <w:spacing w:val="-3"/>
          <w:sz w:val="32"/>
        </w:rPr>
        <w:t>名学术水平高、战略意</w:t>
      </w:r>
      <w:r>
        <w:rPr>
          <w:spacing w:val="-4"/>
          <w:sz w:val="32"/>
        </w:rPr>
        <w:t>识强、组织经验丰富的科学家或管理专家担任执行主席。执</w:t>
      </w:r>
      <w:r>
        <w:rPr>
          <w:spacing w:val="-19"/>
          <w:w w:val="99"/>
          <w:sz w:val="32"/>
        </w:rPr>
        <w:t>行主席的职责包括：</w:t>
      </w:r>
      <w:r>
        <w:rPr>
          <w:spacing w:val="2"/>
          <w:w w:val="99"/>
          <w:sz w:val="32"/>
        </w:rPr>
        <w:t>（</w:t>
      </w:r>
      <w:r>
        <w:rPr>
          <w:rFonts w:ascii="Times New Roman" w:eastAsia="Times New Roman"/>
          <w:spacing w:val="-2"/>
          <w:w w:val="99"/>
          <w:sz w:val="32"/>
        </w:rPr>
        <w:t>1</w:t>
      </w:r>
      <w:r>
        <w:rPr>
          <w:spacing w:val="-3"/>
          <w:w w:val="99"/>
          <w:sz w:val="32"/>
        </w:rPr>
        <w:t>）</w:t>
      </w:r>
      <w:r>
        <w:rPr>
          <w:spacing w:val="-15"/>
          <w:w w:val="99"/>
          <w:sz w:val="32"/>
        </w:rPr>
        <w:t>审核双清论坛议题建议；</w:t>
      </w:r>
      <w:r>
        <w:rPr>
          <w:spacing w:val="3"/>
          <w:w w:val="99"/>
          <w:sz w:val="32"/>
        </w:rPr>
        <w:t>（</w:t>
      </w:r>
      <w:r>
        <w:rPr>
          <w:rFonts w:ascii="Times New Roman" w:eastAsia="Times New Roman"/>
          <w:spacing w:val="-2"/>
          <w:w w:val="99"/>
          <w:sz w:val="32"/>
        </w:rPr>
        <w:t>2</w:t>
      </w:r>
      <w:r>
        <w:rPr>
          <w:spacing w:val="-3"/>
          <w:w w:val="99"/>
          <w:sz w:val="32"/>
        </w:rPr>
        <w:t>）</w:t>
      </w:r>
      <w:r>
        <w:rPr>
          <w:w w:val="99"/>
          <w:sz w:val="32"/>
        </w:rPr>
        <w:t>审核</w:t>
      </w:r>
      <w:r>
        <w:rPr>
          <w:spacing w:val="-9"/>
          <w:w w:val="99"/>
          <w:sz w:val="32"/>
        </w:rPr>
        <w:t>双清论坛代表名单及主题报告、专题报告人选建议；</w:t>
      </w:r>
      <w:r>
        <w:rPr>
          <w:spacing w:val="5"/>
          <w:w w:val="99"/>
          <w:sz w:val="32"/>
        </w:rPr>
        <w:t>（</w:t>
      </w:r>
      <w:r>
        <w:rPr>
          <w:rFonts w:ascii="Times New Roman" w:eastAsia="Times New Roman"/>
          <w:spacing w:val="-2"/>
          <w:w w:val="99"/>
          <w:sz w:val="32"/>
        </w:rPr>
        <w:t>3</w:t>
      </w:r>
      <w:r>
        <w:rPr>
          <w:spacing w:val="-3"/>
          <w:w w:val="99"/>
          <w:sz w:val="32"/>
        </w:rPr>
        <w:t>）主</w:t>
      </w:r>
      <w:r>
        <w:rPr>
          <w:spacing w:val="-2"/>
          <w:w w:val="99"/>
          <w:sz w:val="32"/>
        </w:rPr>
        <w:t>持双清论坛</w:t>
      </w:r>
      <w:r>
        <w:rPr>
          <w:w w:val="99"/>
          <w:sz w:val="32"/>
        </w:rPr>
        <w:t>（会议主持人原则上由大会主席轮流担任</w:t>
      </w:r>
      <w:r>
        <w:rPr>
          <w:spacing w:val="-162"/>
          <w:w w:val="99"/>
          <w:sz w:val="32"/>
        </w:rPr>
        <w:t>）</w:t>
      </w:r>
      <w:r>
        <w:rPr>
          <w:spacing w:val="-171"/>
          <w:w w:val="99"/>
          <w:sz w:val="32"/>
        </w:rPr>
        <w:t>；</w:t>
      </w:r>
      <w:r>
        <w:rPr>
          <w:spacing w:val="0"/>
          <w:w w:val="99"/>
          <w:sz w:val="32"/>
        </w:rPr>
        <w:t>（</w:t>
      </w:r>
      <w:r>
        <w:rPr>
          <w:rFonts w:ascii="Times New Roman" w:eastAsia="Times New Roman"/>
          <w:spacing w:val="-2"/>
          <w:w w:val="99"/>
          <w:sz w:val="32"/>
        </w:rPr>
        <w:t>4</w:t>
      </w:r>
      <w:r>
        <w:rPr>
          <w:spacing w:val="-3"/>
          <w:w w:val="99"/>
          <w:sz w:val="32"/>
        </w:rPr>
        <w:t>）</w:t>
      </w:r>
      <w:r>
        <w:rPr>
          <w:sz w:val="32"/>
        </w:rPr>
        <w:t>指导学术秘书组工作。</w:t>
      </w:r>
    </w:p>
    <w:p>
      <w:pPr>
        <w:pStyle w:val="ListParagraph"/>
        <w:numPr>
          <w:ilvl w:val="0"/>
          <w:numId w:val="1"/>
        </w:numPr>
        <w:tabs>
          <w:tab w:pos="1654" w:val="left" w:leader="none"/>
        </w:tabs>
        <w:spacing w:line="458" w:lineRule="exact" w:before="0" w:after="0"/>
        <w:ind w:left="1654" w:right="0" w:hanging="243"/>
        <w:jc w:val="left"/>
        <w:rPr>
          <w:rFonts w:ascii="宋体" w:eastAsia="宋体" w:hint="eastAsia"/>
          <w:sz w:val="32"/>
        </w:rPr>
      </w:pPr>
      <w:r>
        <w:rPr>
          <w:rFonts w:ascii="等线" w:eastAsia="等线" w:hint="eastAsia"/>
          <w:b/>
          <w:spacing w:val="4"/>
          <w:sz w:val="32"/>
        </w:rPr>
        <w:t>组建学术秘书组</w:t>
      </w:r>
      <w:r>
        <w:rPr>
          <w:rFonts w:ascii="宋体" w:eastAsia="宋体" w:hint="eastAsia"/>
          <w:sz w:val="32"/>
        </w:rPr>
        <w:t>。学术秘书组组长由主办部门工作人</w:t>
      </w:r>
    </w:p>
    <w:p>
      <w:pPr>
        <w:pStyle w:val="Heading7"/>
        <w:spacing w:line="328" w:lineRule="auto" w:before="92"/>
        <w:ind w:right="1236"/>
        <w:jc w:val="both"/>
      </w:pPr>
      <w:r>
        <w:rPr>
          <w:spacing w:val="-4"/>
        </w:rPr>
        <w:t>员担任，成员包括科学家代表、相关参与部门代表和政策局</w:t>
      </w:r>
      <w:r>
        <w:rPr>
          <w:spacing w:val="-5"/>
        </w:rPr>
        <w:t>代表。其中，科学家代表应能覆盖论坛主题相关的各研究领</w:t>
      </w:r>
      <w:r>
        <w:rPr>
          <w:spacing w:val="-14"/>
          <w:w w:val="99"/>
        </w:rPr>
        <w:t>域。学术秘书组的职责包括：</w:t>
      </w:r>
      <w:r>
        <w:rPr>
          <w:w w:val="99"/>
        </w:rPr>
        <w:t>（</w:t>
      </w:r>
      <w:r>
        <w:rPr>
          <w:rFonts w:ascii="Times New Roman" w:eastAsia="Times New Roman"/>
          <w:spacing w:val="-1"/>
          <w:w w:val="99"/>
        </w:rPr>
        <w:t>1</w:t>
      </w:r>
      <w:r>
        <w:rPr>
          <w:spacing w:val="-3"/>
          <w:w w:val="99"/>
        </w:rPr>
        <w:t>）</w:t>
      </w:r>
      <w:r>
        <w:rPr>
          <w:w w:val="99"/>
        </w:rPr>
        <w:t>向执行主席提出双清论坛</w:t>
      </w:r>
      <w:r>
        <w:rPr>
          <w:spacing w:val="-10"/>
          <w:w w:val="99"/>
        </w:rPr>
        <w:t>代表人选及专题报告、专题报告人选建议；</w:t>
      </w:r>
      <w:r>
        <w:rPr>
          <w:spacing w:val="4"/>
          <w:w w:val="99"/>
        </w:rPr>
        <w:t>（</w:t>
      </w:r>
      <w:r>
        <w:rPr>
          <w:rFonts w:ascii="Times New Roman" w:eastAsia="Times New Roman"/>
          <w:spacing w:val="1"/>
          <w:w w:val="99"/>
        </w:rPr>
        <w:t>2</w:t>
      </w:r>
      <w:r>
        <w:rPr>
          <w:spacing w:val="-5"/>
          <w:w w:val="99"/>
        </w:rPr>
        <w:t>）</w:t>
      </w:r>
      <w:r>
        <w:rPr>
          <w:spacing w:val="-3"/>
          <w:w w:val="99"/>
        </w:rPr>
        <w:t>征集专家报</w:t>
      </w:r>
      <w:r>
        <w:rPr>
          <w:spacing w:val="-24"/>
          <w:w w:val="99"/>
        </w:rPr>
        <w:t>告和论文摘要；</w:t>
      </w:r>
      <w:r>
        <w:rPr>
          <w:w w:val="99"/>
        </w:rPr>
        <w:t>（</w:t>
      </w:r>
      <w:r>
        <w:rPr>
          <w:rFonts w:ascii="Times New Roman" w:eastAsia="Times New Roman"/>
          <w:spacing w:val="1"/>
          <w:w w:val="99"/>
        </w:rPr>
        <w:t>3</w:t>
      </w:r>
      <w:r>
        <w:rPr>
          <w:spacing w:val="-3"/>
          <w:w w:val="99"/>
        </w:rPr>
        <w:t>）</w:t>
      </w:r>
      <w:r>
        <w:rPr>
          <w:spacing w:val="-15"/>
          <w:w w:val="99"/>
        </w:rPr>
        <w:t>编辑双清论坛会议手册；</w:t>
      </w:r>
      <w:r>
        <w:rPr>
          <w:spacing w:val="2"/>
          <w:w w:val="99"/>
        </w:rPr>
        <w:t>（</w:t>
      </w:r>
      <w:r>
        <w:rPr>
          <w:rFonts w:ascii="Times New Roman" w:eastAsia="Times New Roman"/>
          <w:spacing w:val="-2"/>
          <w:w w:val="99"/>
        </w:rPr>
        <w:t>4</w:t>
      </w:r>
      <w:r>
        <w:rPr>
          <w:spacing w:val="-5"/>
          <w:w w:val="99"/>
        </w:rPr>
        <w:t>）</w:t>
      </w:r>
      <w:r>
        <w:rPr>
          <w:w w:val="99"/>
        </w:rPr>
        <w:t>撰写双清</w:t>
      </w:r>
      <w:r>
        <w:rPr/>
        <w:t>论坛纪要、学术综述或战略研究报告。</w:t>
      </w:r>
    </w:p>
    <w:p>
      <w:pPr>
        <w:pStyle w:val="ListParagraph"/>
        <w:numPr>
          <w:ilvl w:val="0"/>
          <w:numId w:val="1"/>
        </w:numPr>
        <w:tabs>
          <w:tab w:pos="1654" w:val="left" w:leader="none"/>
        </w:tabs>
        <w:spacing w:line="458" w:lineRule="exact" w:before="0" w:after="0"/>
        <w:ind w:left="1654" w:right="0" w:hanging="243"/>
        <w:jc w:val="left"/>
        <w:rPr>
          <w:rFonts w:ascii="宋体" w:eastAsia="宋体" w:hint="eastAsia"/>
          <w:sz w:val="32"/>
        </w:rPr>
      </w:pPr>
      <w:r>
        <w:rPr>
          <w:rFonts w:ascii="等线" w:eastAsia="等线" w:hint="eastAsia"/>
          <w:b/>
          <w:spacing w:val="4"/>
          <w:sz w:val="32"/>
        </w:rPr>
        <w:t>遴选专家代表。</w:t>
      </w:r>
      <w:r>
        <w:rPr>
          <w:rFonts w:ascii="宋体" w:eastAsia="宋体" w:hint="eastAsia"/>
          <w:sz w:val="32"/>
        </w:rPr>
        <w:t>双清论坛正式参会代表总数一般不超</w:t>
      </w:r>
    </w:p>
    <w:p>
      <w:pPr>
        <w:pStyle w:val="Heading7"/>
        <w:spacing w:line="328" w:lineRule="auto" w:before="93"/>
        <w:ind w:right="1236"/>
        <w:jc w:val="both"/>
      </w:pPr>
      <w:r>
        <w:rPr>
          <w:spacing w:val="-5"/>
        </w:rPr>
        <w:t>过 </w:t>
      </w:r>
      <w:r>
        <w:rPr>
          <w:rFonts w:ascii="Times New Roman" w:eastAsia="Times New Roman"/>
        </w:rPr>
        <w:t>50</w:t>
      </w:r>
      <w:r>
        <w:rPr>
          <w:rFonts w:ascii="Times New Roman" w:eastAsia="Times New Roman"/>
          <w:spacing w:val="70"/>
        </w:rPr>
        <w:t> </w:t>
      </w:r>
      <w:r>
        <w:rPr>
          <w:spacing w:val="-1"/>
        </w:rPr>
        <w:t>人。主办部门、学术秘书组和论坛执行主席应当在考</w:t>
      </w:r>
      <w:r>
        <w:rPr>
          <w:spacing w:val="10"/>
          <w:w w:val="95"/>
        </w:rPr>
        <w:t>虑主题所涉及的研究领域和研究机构的多样性与平衡的基 </w:t>
      </w:r>
      <w:r>
        <w:rPr>
          <w:spacing w:val="-2"/>
        </w:rPr>
        <w:t>础上，结合学科交叉研究需求和管理工作需要，邀请相关领</w:t>
      </w:r>
      <w:r>
        <w:rPr>
          <w:spacing w:val="10"/>
          <w:w w:val="95"/>
        </w:rPr>
        <w:t>域具有较高学术造诣的科学家或具有丰富科研管理经验的 </w:t>
      </w:r>
      <w:r>
        <w:rPr>
          <w:spacing w:val="-2"/>
        </w:rPr>
        <w:t>管理专家，并要求参会代表提供发言摘要，作报告的专家应</w:t>
      </w:r>
      <w:r>
        <w:rPr>
          <w:spacing w:val="-7"/>
        </w:rPr>
        <w:t>按照相关要求提前准备好 </w:t>
      </w:r>
      <w:r>
        <w:rPr>
          <w:rFonts w:ascii="Times New Roman" w:eastAsia="Times New Roman"/>
        </w:rPr>
        <w:t>PPT</w:t>
      </w:r>
      <w:r>
        <w:rPr/>
        <w:t>。</w:t>
      </w:r>
    </w:p>
    <w:p>
      <w:pPr>
        <w:spacing w:line="473" w:lineRule="exact" w:before="0"/>
        <w:ind w:left="1423" w:right="0" w:firstLine="0"/>
        <w:jc w:val="left"/>
        <w:rPr>
          <w:rFonts w:ascii="Microsoft JhengHei" w:eastAsia="Microsoft JhengHei" w:hint="eastAsia"/>
          <w:b/>
          <w:sz w:val="32"/>
        </w:rPr>
      </w:pPr>
      <w:r>
        <w:rPr>
          <w:rFonts w:ascii="Microsoft JhengHei" w:eastAsia="Microsoft JhengHei" w:hint="eastAsia"/>
          <w:b/>
          <w:sz w:val="32"/>
        </w:rPr>
        <w:t>（二）论坛会务筹备。</w:t>
      </w:r>
    </w:p>
    <w:p>
      <w:pPr>
        <w:spacing w:line="328" w:lineRule="auto" w:before="77"/>
        <w:ind w:left="780" w:right="1226" w:firstLine="640"/>
        <w:jc w:val="both"/>
        <w:rPr>
          <w:sz w:val="32"/>
        </w:rPr>
      </w:pPr>
      <w:r>
        <w:rPr>
          <w:sz w:val="32"/>
        </w:rPr>
        <w:t>在京外召开的双清论坛，主办部门可以委托有关单位作为双清论坛承办部门，协助开展论坛筹备和组织实施工作。在确定承办部门之后，应将承办部门的会务负责人的联系方</w:t>
      </w:r>
    </w:p>
    <w:p>
      <w:pPr>
        <w:spacing w:after="0" w:line="328" w:lineRule="auto"/>
        <w:jc w:val="both"/>
        <w:rPr>
          <w:sz w:val="32"/>
        </w:rPr>
        <w:sectPr>
          <w:pgSz w:w="11910" w:h="16840"/>
          <w:pgMar w:header="0" w:footer="1035" w:top="1500" w:bottom="1300" w:left="1020" w:right="560"/>
        </w:sectPr>
      </w:pPr>
    </w:p>
    <w:p>
      <w:pPr>
        <w:spacing w:line="326" w:lineRule="auto" w:before="30"/>
        <w:ind w:left="780" w:right="1077" w:firstLine="0"/>
        <w:jc w:val="left"/>
        <w:rPr>
          <w:sz w:val="32"/>
        </w:rPr>
      </w:pPr>
      <w:r>
        <w:rPr>
          <w:spacing w:val="-14"/>
          <w:sz w:val="32"/>
        </w:rPr>
        <w:t>式及时告知政策局。政策局将与对方就会议预算、结算要求、</w:t>
      </w:r>
      <w:r>
        <w:rPr>
          <w:sz w:val="32"/>
        </w:rPr>
        <w:t>会务要求及论坛筹备等事宜进行沟通说明。</w:t>
      </w:r>
    </w:p>
    <w:p>
      <w:pPr>
        <w:spacing w:line="328" w:lineRule="auto" w:before="6"/>
        <w:ind w:left="780" w:right="1236" w:firstLine="640"/>
        <w:jc w:val="both"/>
        <w:rPr>
          <w:sz w:val="32"/>
        </w:rPr>
      </w:pPr>
      <w:r>
        <w:rPr>
          <w:spacing w:val="-3"/>
          <w:sz w:val="32"/>
        </w:rPr>
        <w:t>在京内召开的双清论坛，主办部门将论坛举办日期和举</w:t>
      </w:r>
      <w:r>
        <w:rPr>
          <w:spacing w:val="-2"/>
          <w:sz w:val="32"/>
        </w:rPr>
        <w:t>办地点基本确定后，及时联系告知政策局。政策局将与我委</w:t>
      </w:r>
      <w:r>
        <w:rPr>
          <w:spacing w:val="-4"/>
          <w:sz w:val="32"/>
        </w:rPr>
        <w:t>机关服务中心就预定会议地点、会议预算、会务要求等事宜进行沟通，做好相关会务筹备工作。</w:t>
      </w:r>
    </w:p>
    <w:p>
      <w:pPr>
        <w:spacing w:line="378" w:lineRule="exact" w:before="0"/>
        <w:ind w:left="1421" w:right="0" w:firstLine="0"/>
        <w:jc w:val="left"/>
        <w:rPr>
          <w:sz w:val="32"/>
        </w:rPr>
      </w:pPr>
      <w:r>
        <w:rPr>
          <w:sz w:val="32"/>
        </w:rPr>
        <w:t>根据《中央和国家机关会议费管理办法》中央和我委会</w:t>
      </w:r>
    </w:p>
    <w:p>
      <w:pPr>
        <w:spacing w:line="364" w:lineRule="auto" w:before="215"/>
        <w:ind w:left="780" w:right="1233" w:firstLine="0"/>
        <w:jc w:val="left"/>
        <w:rPr>
          <w:sz w:val="32"/>
        </w:rPr>
      </w:pPr>
      <w:r>
        <w:rPr>
          <w:spacing w:val="10"/>
          <w:w w:val="95"/>
          <w:sz w:val="32"/>
        </w:rPr>
        <w:t>议费管理要求，论坛时间、举办地点和参会人数有明确限 </w:t>
      </w:r>
      <w:r>
        <w:rPr>
          <w:spacing w:val="2"/>
          <w:sz w:val="32"/>
        </w:rPr>
        <w:t>定 ：</w:t>
      </w:r>
    </w:p>
    <w:p>
      <w:pPr>
        <w:spacing w:line="470" w:lineRule="exact" w:before="0"/>
        <w:ind w:left="1423" w:right="0" w:firstLine="0"/>
        <w:jc w:val="left"/>
        <w:rPr>
          <w:sz w:val="32"/>
        </w:rPr>
      </w:pPr>
      <w:r>
        <w:rPr>
          <w:rFonts w:ascii="Times New Roman" w:eastAsia="Times New Roman"/>
          <w:b/>
          <w:sz w:val="32"/>
        </w:rPr>
        <w:t>1</w:t>
      </w:r>
      <w:r>
        <w:rPr>
          <w:rFonts w:ascii="等线" w:eastAsia="等线" w:hint="eastAsia"/>
          <w:b/>
          <w:sz w:val="32"/>
        </w:rPr>
        <w:t>、会议时间不超过 </w:t>
      </w:r>
      <w:r>
        <w:rPr>
          <w:rFonts w:ascii="Times New Roman" w:eastAsia="Times New Roman"/>
          <w:b/>
          <w:sz w:val="32"/>
        </w:rPr>
        <w:t>3 </w:t>
      </w:r>
      <w:r>
        <w:rPr>
          <w:rFonts w:ascii="等线" w:eastAsia="等线" w:hint="eastAsia"/>
          <w:b/>
          <w:sz w:val="32"/>
        </w:rPr>
        <w:t>天</w:t>
      </w:r>
      <w:r>
        <w:rPr>
          <w:sz w:val="32"/>
        </w:rPr>
        <w:t>（其中，会期不得超过 </w:t>
      </w:r>
      <w:r>
        <w:rPr>
          <w:rFonts w:ascii="Times New Roman" w:eastAsia="Times New Roman"/>
          <w:sz w:val="32"/>
        </w:rPr>
        <w:t>2 </w:t>
      </w:r>
      <w:r>
        <w:rPr>
          <w:sz w:val="32"/>
        </w:rPr>
        <w:t>天，</w:t>
      </w:r>
    </w:p>
    <w:p>
      <w:pPr>
        <w:pStyle w:val="Heading7"/>
        <w:spacing w:before="155"/>
      </w:pPr>
      <w:r>
        <w:rPr>
          <w:spacing w:val="-7"/>
        </w:rPr>
        <w:t>报到和离会合计不得超过 </w:t>
      </w:r>
      <w:r>
        <w:rPr>
          <w:rFonts w:ascii="Times New Roman" w:eastAsia="Times New Roman"/>
        </w:rPr>
        <w:t>1 </w:t>
      </w:r>
      <w:r>
        <w:rPr/>
        <w:t>天</w:t>
      </w:r>
      <w:r>
        <w:rPr>
          <w:spacing w:val="-161"/>
        </w:rPr>
        <w:t>）；</w:t>
      </w:r>
    </w:p>
    <w:p>
      <w:pPr>
        <w:spacing w:line="309" w:lineRule="auto" w:before="201"/>
        <w:ind w:left="780" w:right="1229" w:firstLine="643"/>
        <w:jc w:val="left"/>
        <w:rPr>
          <w:sz w:val="32"/>
        </w:rPr>
      </w:pPr>
      <w:r>
        <w:rPr>
          <w:rFonts w:ascii="Times New Roman" w:eastAsia="Times New Roman"/>
          <w:b/>
          <w:w w:val="95"/>
          <w:sz w:val="32"/>
        </w:rPr>
        <w:t>2</w:t>
      </w:r>
      <w:r>
        <w:rPr>
          <w:rFonts w:ascii="等线" w:eastAsia="等线" w:hint="eastAsia"/>
          <w:b/>
          <w:w w:val="95"/>
          <w:sz w:val="32"/>
        </w:rPr>
        <w:t>、论坛举办地点原则上必须选在四星及四星以下的政 </w:t>
      </w:r>
      <w:r>
        <w:rPr>
          <w:rFonts w:ascii="等线" w:eastAsia="等线" w:hint="eastAsia"/>
          <w:b/>
          <w:sz w:val="32"/>
        </w:rPr>
        <w:t>府采购定点单位</w:t>
      </w:r>
      <w:r>
        <w:rPr>
          <w:sz w:val="32"/>
        </w:rPr>
        <w:t>。若个别论坛在选择举办地点时，因客观情</w:t>
      </w:r>
    </w:p>
    <w:p>
      <w:pPr>
        <w:pStyle w:val="Heading7"/>
        <w:spacing w:line="364" w:lineRule="auto" w:before="18"/>
        <w:ind w:right="1236"/>
        <w:jc w:val="both"/>
      </w:pPr>
      <w:r>
        <w:rPr>
          <w:spacing w:val="-2"/>
        </w:rPr>
        <w:t>况确实不能满足政采要求的，遇不符主办部门应在确定会议</w:t>
      </w:r>
      <w:r>
        <w:rPr>
          <w:spacing w:val="-3"/>
        </w:rPr>
        <w:t>地点前向政策局书面报告缘由，由政策局报财务局审批同意</w:t>
      </w:r>
      <w:r>
        <w:rPr/>
        <w:t>后方可执行；</w:t>
      </w:r>
    </w:p>
    <w:p>
      <w:pPr>
        <w:spacing w:line="471" w:lineRule="exact" w:before="0"/>
        <w:ind w:left="1423" w:right="0" w:firstLine="0"/>
        <w:jc w:val="left"/>
        <w:rPr>
          <w:rFonts w:ascii="等线" w:eastAsia="等线" w:hint="eastAsia"/>
          <w:b/>
          <w:sz w:val="32"/>
        </w:rPr>
      </w:pPr>
      <w:r>
        <w:rPr>
          <w:rFonts w:ascii="Times New Roman" w:eastAsia="Times New Roman"/>
          <w:b/>
          <w:sz w:val="32"/>
        </w:rPr>
        <w:t>3.</w:t>
      </w:r>
      <w:r>
        <w:rPr>
          <w:rFonts w:ascii="等线" w:eastAsia="等线" w:hint="eastAsia"/>
          <w:b/>
          <w:sz w:val="32"/>
        </w:rPr>
        <w:t>参会代表人数视论坛内容而定，总人数一般不得超过</w:t>
      </w:r>
    </w:p>
    <w:p>
      <w:pPr>
        <w:spacing w:line="316" w:lineRule="auto" w:before="143"/>
        <w:ind w:left="780" w:right="1239" w:firstLine="0"/>
        <w:jc w:val="both"/>
        <w:rPr>
          <w:sz w:val="32"/>
        </w:rPr>
      </w:pPr>
      <w:r>
        <w:rPr>
          <w:rFonts w:ascii="Times New Roman" w:eastAsia="Times New Roman"/>
          <w:b/>
          <w:sz w:val="32"/>
        </w:rPr>
        <w:t>50 </w:t>
      </w:r>
      <w:r>
        <w:rPr>
          <w:rFonts w:ascii="等线" w:eastAsia="等线" w:hint="eastAsia"/>
          <w:b/>
          <w:sz w:val="32"/>
        </w:rPr>
        <w:t>人</w:t>
      </w:r>
      <w:r>
        <w:rPr>
          <w:spacing w:val="-10"/>
          <w:sz w:val="32"/>
        </w:rPr>
        <w:t>。各部门应严格限定委外专家代表人数，根据工作需要</w:t>
      </w:r>
      <w:r>
        <w:rPr>
          <w:sz w:val="32"/>
        </w:rPr>
        <w:t>通知自然科学基金委相关部门工作人员出席会议。</w:t>
      </w:r>
    </w:p>
    <w:p>
      <w:pPr>
        <w:spacing w:line="328" w:lineRule="auto" w:before="108"/>
        <w:ind w:left="780" w:right="1224" w:firstLine="640"/>
        <w:jc w:val="both"/>
        <w:rPr>
          <w:sz w:val="32"/>
        </w:rPr>
      </w:pPr>
      <w:r>
        <w:rPr>
          <w:sz w:val="32"/>
        </w:rPr>
        <w:t>另外，依据中央关于精简会议活动的要求，一般不邀请当地政府参加开幕式；会场一般不摆放花草，不设布景墙； 不得安排宴请、参观游览等。</w:t>
      </w:r>
    </w:p>
    <w:p>
      <w:pPr>
        <w:spacing w:after="0" w:line="328" w:lineRule="auto"/>
        <w:jc w:val="both"/>
        <w:rPr>
          <w:sz w:val="32"/>
        </w:rPr>
        <w:sectPr>
          <w:pgSz w:w="11910" w:h="16840"/>
          <w:pgMar w:header="0" w:footer="1035" w:top="1520" w:bottom="1300" w:left="1020" w:right="560"/>
        </w:sectPr>
      </w:pPr>
    </w:p>
    <w:p>
      <w:pPr>
        <w:spacing w:line="364" w:lineRule="auto" w:before="29"/>
        <w:ind w:left="780" w:right="1228" w:firstLine="0"/>
        <w:jc w:val="left"/>
        <w:rPr>
          <w:rFonts w:ascii="黑体" w:eastAsia="黑体" w:hint="eastAsia"/>
          <w:b/>
          <w:sz w:val="32"/>
        </w:rPr>
      </w:pPr>
      <w:r>
        <w:rPr>
          <w:rFonts w:ascii="黑体" w:eastAsia="黑体" w:hint="eastAsia"/>
          <w:b/>
          <w:sz w:val="32"/>
        </w:rPr>
        <w:t>二、会前 2 周：确定与会专家名单、初步拟定论坛议程安排、发送正式邀请函</w:t>
      </w:r>
    </w:p>
    <w:p>
      <w:pPr>
        <w:spacing w:line="328" w:lineRule="auto" w:before="282"/>
        <w:ind w:left="780" w:right="1236" w:firstLine="640"/>
        <w:jc w:val="both"/>
        <w:rPr>
          <w:sz w:val="32"/>
        </w:rPr>
      </w:pPr>
      <w:r>
        <w:rPr>
          <w:spacing w:val="-7"/>
          <w:sz w:val="32"/>
        </w:rPr>
        <w:t>主办部门应在论坛正式召开 </w:t>
      </w:r>
      <w:r>
        <w:rPr>
          <w:rFonts w:ascii="Times New Roman" w:eastAsia="Times New Roman"/>
          <w:sz w:val="32"/>
        </w:rPr>
        <w:t>2 </w:t>
      </w:r>
      <w:r>
        <w:rPr>
          <w:spacing w:val="-4"/>
          <w:sz w:val="32"/>
        </w:rPr>
        <w:t>周前，协商相关参与部门</w:t>
      </w:r>
      <w:r>
        <w:rPr>
          <w:spacing w:val="-2"/>
          <w:sz w:val="32"/>
        </w:rPr>
        <w:t>和政策局确定参会专家名单和论坛正式举办时间和地点。主办部门根据初步确定的会议议程安排，拟定正式邀请函报政</w:t>
      </w:r>
      <w:r>
        <w:rPr>
          <w:spacing w:val="-1"/>
          <w:sz w:val="32"/>
        </w:rPr>
        <w:t>策局统一审核后发文</w:t>
      </w:r>
      <w:r>
        <w:rPr>
          <w:sz w:val="32"/>
        </w:rPr>
        <w:t>（</w:t>
      </w:r>
      <w:r>
        <w:rPr>
          <w:spacing w:val="-1"/>
          <w:sz w:val="32"/>
        </w:rPr>
        <w:t>函号由政策局提供，政策局和主办部门盖章，见附件一</w:t>
      </w:r>
      <w:r>
        <w:rPr>
          <w:spacing w:val="-161"/>
          <w:sz w:val="32"/>
        </w:rPr>
        <w:t>）</w:t>
      </w:r>
      <w:r>
        <w:rPr>
          <w:sz w:val="32"/>
        </w:rPr>
        <w:t>。</w:t>
      </w:r>
    </w:p>
    <w:p>
      <w:pPr>
        <w:spacing w:line="403" w:lineRule="exact" w:before="0"/>
        <w:ind w:left="1421" w:right="0" w:firstLine="0"/>
        <w:jc w:val="both"/>
        <w:rPr>
          <w:rFonts w:ascii="Times New Roman" w:eastAsia="Times New Roman"/>
          <w:sz w:val="32"/>
        </w:rPr>
      </w:pPr>
      <w:r>
        <w:rPr>
          <w:spacing w:val="-9"/>
          <w:sz w:val="32"/>
        </w:rPr>
        <w:t>审核作报告专家的 </w:t>
      </w:r>
      <w:r>
        <w:rPr>
          <w:rFonts w:ascii="Times New Roman" w:eastAsia="Times New Roman"/>
          <w:sz w:val="32"/>
        </w:rPr>
        <w:t>PPT</w:t>
      </w:r>
      <w:r>
        <w:rPr>
          <w:spacing w:val="-7"/>
          <w:sz w:val="32"/>
        </w:rPr>
        <w:t>：主办部门根据专家摘要和 </w:t>
      </w:r>
      <w:r>
        <w:rPr>
          <w:rFonts w:ascii="Times New Roman" w:eastAsia="Times New Roman"/>
          <w:sz w:val="32"/>
        </w:rPr>
        <w:t>PPT</w:t>
      </w:r>
    </w:p>
    <w:p>
      <w:pPr>
        <w:spacing w:line="328" w:lineRule="auto" w:before="150"/>
        <w:ind w:left="1421" w:right="1239" w:hanging="641"/>
        <w:jc w:val="left"/>
        <w:rPr>
          <w:sz w:val="32"/>
        </w:rPr>
      </w:pPr>
      <w:r>
        <w:rPr>
          <w:sz w:val="32"/>
        </w:rPr>
        <w:t>核校是否符合论坛要求，并就有关情况与专家及时沟通。 </w:t>
      </w:r>
      <w:r>
        <w:rPr>
          <w:spacing w:val="-3"/>
          <w:w w:val="95"/>
          <w:sz w:val="32"/>
        </w:rPr>
        <w:t>政策局根据专家名单、论坛日程安排，做好会议预算和</w:t>
      </w:r>
    </w:p>
    <w:p>
      <w:pPr>
        <w:spacing w:line="407" w:lineRule="exact" w:before="0"/>
        <w:ind w:left="780" w:right="0" w:firstLine="0"/>
        <w:jc w:val="left"/>
        <w:rPr>
          <w:sz w:val="32"/>
        </w:rPr>
      </w:pPr>
      <w:r>
        <w:rPr>
          <w:sz w:val="32"/>
        </w:rPr>
        <w:t>会务安排。</w:t>
      </w:r>
    </w:p>
    <w:p>
      <w:pPr>
        <w:pStyle w:val="BodyText"/>
        <w:spacing w:before="2"/>
        <w:rPr>
          <w:sz w:val="30"/>
        </w:rPr>
      </w:pPr>
    </w:p>
    <w:p>
      <w:pPr>
        <w:pStyle w:val="Heading6"/>
      </w:pPr>
      <w:bookmarkStart w:name="_TOC_250022" w:id="5"/>
      <w:bookmarkEnd w:id="5"/>
      <w:r>
        <w:rPr/>
        <w:t>三、会前 1 周：完成论坛筹备、报送会议预算</w:t>
      </w:r>
    </w:p>
    <w:p>
      <w:pPr>
        <w:pStyle w:val="BodyText"/>
        <w:spacing w:before="10"/>
        <w:rPr>
          <w:rFonts w:ascii="黑体"/>
          <w:b/>
          <w:sz w:val="38"/>
        </w:rPr>
      </w:pPr>
    </w:p>
    <w:p>
      <w:pPr>
        <w:spacing w:line="328" w:lineRule="auto" w:before="1"/>
        <w:ind w:left="780" w:right="1077" w:firstLine="640"/>
        <w:jc w:val="left"/>
        <w:rPr>
          <w:sz w:val="32"/>
        </w:rPr>
      </w:pPr>
      <w:r>
        <w:rPr>
          <w:spacing w:val="-2"/>
          <w:sz w:val="32"/>
        </w:rPr>
        <w:t>根据论坛日程安排，主办部门和政策局共同编制会议手</w:t>
      </w:r>
      <w:r>
        <w:rPr>
          <w:spacing w:val="-2"/>
          <w:w w:val="99"/>
          <w:sz w:val="32"/>
        </w:rPr>
        <w:t>册，要确保在论坛召开前</w:t>
      </w:r>
      <w:r>
        <w:rPr>
          <w:spacing w:val="-79"/>
          <w:sz w:val="32"/>
        </w:rPr>
        <w:t> </w:t>
      </w:r>
      <w:r>
        <w:rPr>
          <w:rFonts w:ascii="Times New Roman" w:eastAsia="Times New Roman"/>
          <w:w w:val="99"/>
          <w:sz w:val="32"/>
        </w:rPr>
        <w:t>1</w:t>
      </w:r>
      <w:r>
        <w:rPr>
          <w:rFonts w:ascii="Times New Roman" w:eastAsia="Times New Roman"/>
          <w:sz w:val="32"/>
        </w:rPr>
        <w:t> </w:t>
      </w:r>
      <w:r>
        <w:rPr>
          <w:spacing w:val="-1"/>
          <w:w w:val="99"/>
          <w:sz w:val="32"/>
        </w:rPr>
        <w:t>周定稿会议手册</w:t>
      </w:r>
      <w:r>
        <w:rPr>
          <w:w w:val="99"/>
          <w:sz w:val="32"/>
        </w:rPr>
        <w:t>（详见附件二</w:t>
      </w:r>
      <w:r>
        <w:rPr>
          <w:spacing w:val="-166"/>
          <w:w w:val="99"/>
          <w:sz w:val="32"/>
        </w:rPr>
        <w:t>）</w:t>
      </w:r>
      <w:r>
        <w:rPr>
          <w:spacing w:val="-7"/>
          <w:w w:val="99"/>
          <w:sz w:val="32"/>
        </w:rPr>
        <w:t>，</w:t>
      </w:r>
      <w:r>
        <w:rPr>
          <w:sz w:val="32"/>
        </w:rPr>
        <w:t>政策局负责印制会议手册和专家代表证。</w:t>
      </w:r>
    </w:p>
    <w:p>
      <w:pPr>
        <w:spacing w:line="463" w:lineRule="exact" w:before="0"/>
        <w:ind w:left="1423" w:right="0" w:firstLine="0"/>
        <w:jc w:val="left"/>
        <w:rPr>
          <w:sz w:val="32"/>
        </w:rPr>
      </w:pPr>
      <w:r>
        <w:rPr>
          <w:rFonts w:ascii="等线" w:eastAsia="等线" w:hint="eastAsia"/>
          <w:b/>
          <w:sz w:val="32"/>
        </w:rPr>
        <w:t>（一）关于开幕式。</w:t>
      </w:r>
      <w:r>
        <w:rPr>
          <w:sz w:val="32"/>
        </w:rPr>
        <w:t>开幕式安排应考虑会议连续性，一</w:t>
      </w:r>
    </w:p>
    <w:p>
      <w:pPr>
        <w:pStyle w:val="Heading7"/>
        <w:spacing w:before="90"/>
      </w:pPr>
      <w:r>
        <w:rPr/>
        <w:t>般为 </w:t>
      </w:r>
      <w:r>
        <w:rPr>
          <w:rFonts w:ascii="Times New Roman" w:eastAsia="Times New Roman"/>
        </w:rPr>
        <w:t>30 </w:t>
      </w:r>
      <w:r>
        <w:rPr/>
        <w:t>分钟左右。</w:t>
      </w:r>
    </w:p>
    <w:p>
      <w:pPr>
        <w:spacing w:line="307" w:lineRule="auto" w:before="139"/>
        <w:ind w:left="780" w:right="1201" w:firstLine="643"/>
        <w:jc w:val="both"/>
        <w:rPr>
          <w:sz w:val="32"/>
        </w:rPr>
      </w:pPr>
      <w:r>
        <w:rPr>
          <w:rFonts w:ascii="等线" w:eastAsia="等线" w:hint="eastAsia"/>
          <w:b/>
          <w:sz w:val="32"/>
        </w:rPr>
        <w:t>（二）关于主题报告和专题报告。</w:t>
      </w:r>
      <w:r>
        <w:rPr>
          <w:sz w:val="32"/>
        </w:rPr>
        <w:t>双清论坛主题报告、专题报告主要包括报告议题的战略意义、发展状况、关键科学问题等内容。主题报告应起到引导性和概述性作用。围绕</w:t>
      </w:r>
    </w:p>
    <w:p>
      <w:pPr>
        <w:spacing w:line="326" w:lineRule="auto" w:before="27"/>
        <w:ind w:left="780" w:right="1076" w:firstLine="0"/>
        <w:jc w:val="both"/>
        <w:rPr>
          <w:sz w:val="32"/>
        </w:rPr>
      </w:pPr>
      <w:r>
        <w:rPr>
          <w:spacing w:val="-17"/>
          <w:sz w:val="32"/>
        </w:rPr>
        <w:t>论坛主题和议题安排，建议每个议题可以安排 </w:t>
      </w:r>
      <w:r>
        <w:rPr>
          <w:rFonts w:ascii="Times New Roman" w:eastAsia="Times New Roman"/>
          <w:sz w:val="32"/>
        </w:rPr>
        <w:t>1 </w:t>
      </w:r>
      <w:r>
        <w:rPr>
          <w:spacing w:val="-3"/>
          <w:sz w:val="32"/>
        </w:rPr>
        <w:t>个主题报告， </w:t>
      </w:r>
      <w:r>
        <w:rPr>
          <w:sz w:val="32"/>
        </w:rPr>
        <w:t>但应根据论坛议题和会期安排，合理确定主题报告总数。</w:t>
      </w:r>
    </w:p>
    <w:p>
      <w:pPr>
        <w:spacing w:before="3"/>
        <w:ind w:left="1421" w:right="0" w:firstLine="0"/>
        <w:jc w:val="left"/>
        <w:rPr>
          <w:sz w:val="32"/>
        </w:rPr>
      </w:pPr>
      <w:r>
        <w:rPr>
          <w:sz w:val="32"/>
        </w:rPr>
        <w:t>根据论坛议题安排相关专题报告，应控制专题报告数</w:t>
      </w:r>
    </w:p>
    <w:p>
      <w:pPr>
        <w:spacing w:after="0"/>
        <w:jc w:val="left"/>
        <w:rPr>
          <w:sz w:val="32"/>
        </w:rPr>
        <w:sectPr>
          <w:pgSz w:w="11910" w:h="16840"/>
          <w:pgMar w:header="0" w:footer="1035" w:top="1500" w:bottom="1300" w:left="1020" w:right="560"/>
        </w:sectPr>
      </w:pPr>
    </w:p>
    <w:p>
      <w:pPr>
        <w:spacing w:before="30"/>
        <w:ind w:left="780" w:right="0" w:firstLine="0"/>
        <w:jc w:val="left"/>
        <w:rPr>
          <w:sz w:val="32"/>
        </w:rPr>
      </w:pPr>
      <w:r>
        <w:rPr>
          <w:sz w:val="32"/>
        </w:rPr>
        <w:t>量，确保论坛的整体讨论时间不少于报告时间。</w:t>
      </w:r>
    </w:p>
    <w:p>
      <w:pPr>
        <w:spacing w:line="285" w:lineRule="auto" w:before="136"/>
        <w:ind w:left="780" w:right="1075" w:firstLine="643"/>
        <w:jc w:val="left"/>
        <w:rPr>
          <w:sz w:val="32"/>
        </w:rPr>
      </w:pPr>
      <w:r>
        <w:rPr>
          <w:rFonts w:ascii="等线" w:eastAsia="等线" w:hint="eastAsia"/>
          <w:b/>
          <w:sz w:val="32"/>
        </w:rPr>
        <w:t>（三</w:t>
      </w:r>
      <w:r>
        <w:rPr>
          <w:rFonts w:ascii="等线" w:eastAsia="等线" w:hint="eastAsia"/>
          <w:b/>
          <w:spacing w:val="-92"/>
          <w:sz w:val="32"/>
        </w:rPr>
        <w:t>）</w:t>
      </w:r>
      <w:r>
        <w:rPr>
          <w:rFonts w:ascii="等线" w:eastAsia="等线" w:hint="eastAsia"/>
          <w:b/>
          <w:spacing w:val="-13"/>
          <w:sz w:val="32"/>
        </w:rPr>
        <w:t>关于讨论形式。</w:t>
      </w:r>
      <w:r>
        <w:rPr>
          <w:spacing w:val="-1"/>
          <w:sz w:val="32"/>
        </w:rPr>
        <w:t>目前论坛一般采用三种讨论形式： </w:t>
      </w:r>
      <w:r>
        <w:rPr>
          <w:spacing w:val="-6"/>
          <w:sz w:val="32"/>
        </w:rPr>
        <w:t>一是每个报告结束后，预留有 </w:t>
      </w:r>
      <w:r>
        <w:rPr>
          <w:rFonts w:ascii="Times New Roman" w:eastAsia="Times New Roman"/>
          <w:sz w:val="32"/>
        </w:rPr>
        <w:t>5-10 </w:t>
      </w:r>
      <w:r>
        <w:rPr>
          <w:sz w:val="32"/>
        </w:rPr>
        <w:t>分钟的提问和讨论时间，</w:t>
      </w:r>
    </w:p>
    <w:p>
      <w:pPr>
        <w:spacing w:line="328" w:lineRule="auto" w:before="73"/>
        <w:ind w:left="780" w:right="1075" w:firstLine="0"/>
        <w:jc w:val="left"/>
        <w:rPr>
          <w:sz w:val="32"/>
        </w:rPr>
      </w:pPr>
      <w:r>
        <w:rPr>
          <w:spacing w:val="-14"/>
          <w:sz w:val="32"/>
        </w:rPr>
        <w:t>主要为活跃气氛，引发思考。二是在一个阶段的报告结束后， </w:t>
      </w:r>
      <w:r>
        <w:rPr>
          <w:spacing w:val="-2"/>
          <w:sz w:val="32"/>
        </w:rPr>
        <w:t>集中进行提问和研讨，目的是激发思想碰撞，形成有价值的</w:t>
      </w:r>
      <w:r>
        <w:rPr>
          <w:spacing w:val="-4"/>
          <w:sz w:val="32"/>
        </w:rPr>
        <w:t>学术思想和科学问题。三是大会集中研讨，主要围绕秘书组</w:t>
      </w:r>
      <w:r>
        <w:rPr>
          <w:spacing w:val="-5"/>
          <w:sz w:val="32"/>
        </w:rPr>
        <w:t>针对主题报告、专题报告和发言凝练和概述的研究方向及关键科学问题进行集中讨论。</w:t>
      </w:r>
    </w:p>
    <w:p>
      <w:pPr>
        <w:spacing w:line="461" w:lineRule="exact" w:before="0"/>
        <w:ind w:left="1423" w:right="0" w:firstLine="0"/>
        <w:jc w:val="left"/>
        <w:rPr>
          <w:sz w:val="32"/>
        </w:rPr>
      </w:pPr>
      <w:r>
        <w:rPr>
          <w:rFonts w:ascii="等线" w:eastAsia="等线" w:hint="eastAsia"/>
          <w:b/>
          <w:sz w:val="32"/>
        </w:rPr>
        <w:t>（四）预算编制及申请。</w:t>
      </w:r>
      <w:r>
        <w:rPr>
          <w:sz w:val="32"/>
        </w:rPr>
        <w:t>政策局根据参会代表名单和人</w:t>
      </w:r>
    </w:p>
    <w:p>
      <w:pPr>
        <w:pStyle w:val="Heading7"/>
        <w:spacing w:line="328" w:lineRule="auto" w:before="91"/>
        <w:ind w:right="1238"/>
        <w:jc w:val="both"/>
      </w:pPr>
      <w:r>
        <w:rPr>
          <w:spacing w:val="-6"/>
          <w:w w:val="95"/>
        </w:rPr>
        <w:t>数规模制定预算，编制《会议预算表》，由政策局负责人审 </w:t>
      </w:r>
      <w:r>
        <w:rPr>
          <w:spacing w:val="-7"/>
        </w:rPr>
        <w:t>批后，递交机关财务处审批。机关服务中心根据该预算落实</w:t>
      </w:r>
      <w:r>
        <w:rPr/>
        <w:t>会务筹备和安排等事项。</w:t>
      </w:r>
    </w:p>
    <w:p>
      <w:pPr>
        <w:pStyle w:val="Heading6"/>
        <w:spacing w:before="232"/>
      </w:pPr>
      <w:bookmarkStart w:name="_TOC_250021" w:id="6"/>
      <w:bookmarkEnd w:id="6"/>
      <w:r>
        <w:rPr/>
        <w:t>四、会议期间：建议召开筹备会、落实论坛相关要求</w:t>
      </w:r>
    </w:p>
    <w:p>
      <w:pPr>
        <w:pStyle w:val="BodyText"/>
        <w:spacing w:before="10"/>
        <w:rPr>
          <w:rFonts w:ascii="黑体"/>
          <w:b/>
          <w:sz w:val="37"/>
        </w:rPr>
      </w:pPr>
    </w:p>
    <w:p>
      <w:pPr>
        <w:spacing w:line="307" w:lineRule="auto" w:before="1"/>
        <w:ind w:left="780" w:right="1236" w:firstLine="643"/>
        <w:jc w:val="both"/>
        <w:rPr>
          <w:sz w:val="32"/>
        </w:rPr>
      </w:pPr>
      <w:r>
        <w:rPr>
          <w:rFonts w:ascii="等线" w:eastAsia="等线" w:hint="eastAsia"/>
          <w:b/>
          <w:sz w:val="32"/>
        </w:rPr>
        <w:t>（一</w:t>
      </w:r>
      <w:r>
        <w:rPr>
          <w:rFonts w:ascii="等线" w:eastAsia="等线" w:hint="eastAsia"/>
          <w:b/>
          <w:spacing w:val="-12"/>
          <w:sz w:val="32"/>
        </w:rPr>
        <w:t>）</w:t>
      </w:r>
      <w:r>
        <w:rPr>
          <w:rFonts w:ascii="等线" w:eastAsia="等线" w:hint="eastAsia"/>
          <w:b/>
          <w:spacing w:val="-2"/>
          <w:sz w:val="32"/>
        </w:rPr>
        <w:t>建议召开筹备会。</w:t>
      </w:r>
      <w:r>
        <w:rPr>
          <w:spacing w:val="-1"/>
          <w:sz w:val="32"/>
        </w:rPr>
        <w:t>建议会前一天下午或晚上召集</w:t>
      </w:r>
      <w:r>
        <w:rPr>
          <w:spacing w:val="-4"/>
          <w:sz w:val="32"/>
        </w:rPr>
        <w:t>论坛主席、组委会成员、秘书组成员等召开筹备会。在会上</w:t>
      </w:r>
      <w:r>
        <w:rPr>
          <w:spacing w:val="-2"/>
          <w:w w:val="95"/>
          <w:sz w:val="32"/>
        </w:rPr>
        <w:t>主办部门负责人再次将筹办当期论坛的目的、会中要求和会</w:t>
      </w:r>
    </w:p>
    <w:p>
      <w:pPr>
        <w:spacing w:line="328" w:lineRule="auto" w:before="27"/>
        <w:ind w:left="780" w:right="1225" w:firstLine="0"/>
        <w:jc w:val="both"/>
        <w:rPr>
          <w:sz w:val="32"/>
        </w:rPr>
      </w:pPr>
      <w:r>
        <w:rPr>
          <w:spacing w:val="-1"/>
          <w:sz w:val="32"/>
        </w:rPr>
        <w:t>后要形成的文件</w:t>
      </w:r>
      <w:r>
        <w:rPr>
          <w:sz w:val="32"/>
        </w:rPr>
        <w:t>（会议纪要、学术综述或战略研究报告</w:t>
      </w:r>
      <w:r>
        <w:rPr>
          <w:spacing w:val="-3"/>
          <w:sz w:val="32"/>
        </w:rPr>
        <w:t>）</w:t>
      </w:r>
      <w:r>
        <w:rPr>
          <w:sz w:val="32"/>
        </w:rPr>
        <w:t>告</w:t>
      </w:r>
      <w:r>
        <w:rPr>
          <w:spacing w:val="-1"/>
          <w:sz w:val="32"/>
        </w:rPr>
        <w:t>知论坛执行主席和学术秘书组。论坛执行主席简要介绍会议</w:t>
      </w:r>
      <w:r>
        <w:rPr>
          <w:spacing w:val="10"/>
          <w:sz w:val="32"/>
        </w:rPr>
        <w:t>筹备情况及对论坛进程控制的预期，并就如何实现论坛目</w:t>
      </w:r>
      <w:r>
        <w:rPr>
          <w:spacing w:val="-1"/>
          <w:sz w:val="32"/>
        </w:rPr>
        <w:t>的、形成会议文件对学术秘书组成员进行任务分工。筹备会</w:t>
      </w:r>
      <w:r>
        <w:rPr>
          <w:spacing w:val="-2"/>
          <w:w w:val="95"/>
          <w:sz w:val="32"/>
        </w:rPr>
        <w:t>议可以就实际参会和日程安排情况，对部分环节进行调整。</w:t>
      </w:r>
    </w:p>
    <w:p>
      <w:pPr>
        <w:spacing w:line="459" w:lineRule="exact" w:before="0"/>
        <w:ind w:left="1423" w:right="0" w:firstLine="0"/>
        <w:jc w:val="left"/>
        <w:rPr>
          <w:sz w:val="32"/>
        </w:rPr>
      </w:pPr>
      <w:r>
        <w:rPr>
          <w:rFonts w:ascii="等线" w:eastAsia="等线" w:hint="eastAsia"/>
          <w:b/>
          <w:sz w:val="32"/>
        </w:rPr>
        <w:t>（二</w:t>
      </w:r>
      <w:r>
        <w:rPr>
          <w:rFonts w:ascii="等线" w:eastAsia="等线" w:hint="eastAsia"/>
          <w:b/>
          <w:spacing w:val="-94"/>
          <w:sz w:val="32"/>
        </w:rPr>
        <w:t>）</w:t>
      </w:r>
      <w:r>
        <w:rPr>
          <w:rFonts w:ascii="等线" w:eastAsia="等线" w:hint="eastAsia"/>
          <w:b/>
          <w:spacing w:val="-11"/>
          <w:sz w:val="32"/>
        </w:rPr>
        <w:t>关于会议代表替换。</w:t>
      </w:r>
      <w:r>
        <w:rPr>
          <w:sz w:val="32"/>
        </w:rPr>
        <w:t>如果受邀会议代表不能参会，</w:t>
      </w:r>
    </w:p>
    <w:p>
      <w:pPr>
        <w:pStyle w:val="Heading7"/>
        <w:spacing w:before="93"/>
      </w:pPr>
      <w:r>
        <w:rPr/>
        <w:t>代替其参加论坛的人员应征求主办部门和论坛执行主席同</w:t>
      </w:r>
    </w:p>
    <w:p>
      <w:pPr>
        <w:spacing w:after="0"/>
        <w:sectPr>
          <w:pgSz w:w="11910" w:h="16840"/>
          <w:pgMar w:header="0" w:footer="1035" w:top="1520" w:bottom="1300" w:left="1020" w:right="560"/>
        </w:sectPr>
      </w:pPr>
    </w:p>
    <w:p>
      <w:pPr>
        <w:spacing w:line="328" w:lineRule="auto" w:before="30"/>
        <w:ind w:left="780" w:right="1236" w:firstLine="0"/>
        <w:jc w:val="both"/>
        <w:rPr>
          <w:sz w:val="32"/>
        </w:rPr>
      </w:pPr>
      <w:r>
        <w:rPr>
          <w:spacing w:val="-4"/>
          <w:sz w:val="32"/>
        </w:rPr>
        <w:t>意。我们建议，如果原受邀会议代表没有做报告的安排，原</w:t>
      </w:r>
      <w:r>
        <w:rPr>
          <w:spacing w:val="-2"/>
          <w:sz w:val="32"/>
        </w:rPr>
        <w:t>则上不再邀请其提出的其他替代人选；如果替代的人员所做报告不是原受邀代表的想法和观点，一般建议取消其报告安</w:t>
      </w:r>
      <w:r>
        <w:rPr>
          <w:sz w:val="32"/>
        </w:rPr>
        <w:t>排，将相应的报告时间调整为讨论时间。</w:t>
      </w:r>
    </w:p>
    <w:p>
      <w:pPr>
        <w:spacing w:line="461" w:lineRule="exact" w:before="0"/>
        <w:ind w:left="1129" w:right="944" w:firstLine="0"/>
        <w:jc w:val="center"/>
        <w:rPr>
          <w:sz w:val="32"/>
        </w:rPr>
      </w:pPr>
      <w:r>
        <w:rPr>
          <w:rFonts w:ascii="等线" w:eastAsia="等线" w:hint="eastAsia"/>
          <w:b/>
          <w:sz w:val="32"/>
        </w:rPr>
        <w:t>（三）密切与论坛执行主席沟通。</w:t>
      </w:r>
      <w:r>
        <w:rPr>
          <w:sz w:val="32"/>
        </w:rPr>
        <w:t>在论坛召开期间，论</w:t>
      </w:r>
    </w:p>
    <w:p>
      <w:pPr>
        <w:pStyle w:val="Heading7"/>
        <w:spacing w:line="328" w:lineRule="auto" w:before="94"/>
        <w:ind w:right="1233"/>
        <w:jc w:val="both"/>
      </w:pPr>
      <w:r>
        <w:rPr>
          <w:spacing w:val="-3"/>
        </w:rPr>
        <w:t>坛执行主席应密切沟通，引导专家报告和发言围绕论坛的设计目标；学术秘书组应及时与执行主席进行沟通，力求将专</w:t>
      </w:r>
      <w:r>
        <w:rPr>
          <w:spacing w:val="-5"/>
        </w:rPr>
        <w:t>家报告和发言中的好观点、好想法吸收到会议总结，凝练出关键的科学问题供大会集中研讨。</w:t>
      </w:r>
    </w:p>
    <w:p>
      <w:pPr>
        <w:pStyle w:val="Heading6"/>
        <w:spacing w:before="230"/>
      </w:pPr>
      <w:bookmarkStart w:name="_TOC_250020" w:id="7"/>
      <w:bookmarkEnd w:id="7"/>
      <w:r>
        <w:rPr/>
        <w:t>五、会后：完成会议成果文件、做好论坛成果传播</w:t>
      </w:r>
    </w:p>
    <w:p>
      <w:pPr>
        <w:pStyle w:val="BodyText"/>
        <w:spacing w:before="10"/>
        <w:rPr>
          <w:rFonts w:ascii="黑体"/>
          <w:b/>
          <w:sz w:val="38"/>
        </w:rPr>
      </w:pPr>
    </w:p>
    <w:p>
      <w:pPr>
        <w:spacing w:line="328" w:lineRule="auto" w:before="1"/>
        <w:ind w:left="780" w:right="1221" w:firstLine="640"/>
        <w:jc w:val="both"/>
        <w:rPr>
          <w:sz w:val="32"/>
        </w:rPr>
      </w:pPr>
      <w:r>
        <w:rPr>
          <w:spacing w:val="-1"/>
          <w:sz w:val="32"/>
        </w:rPr>
        <w:t>论坛主办部门应向政策局提交双清论坛会议纪要</w:t>
      </w:r>
      <w:r>
        <w:rPr>
          <w:sz w:val="32"/>
        </w:rPr>
        <w:t>（详见附件三</w:t>
      </w:r>
      <w:r>
        <w:rPr>
          <w:spacing w:val="-159"/>
          <w:sz w:val="32"/>
        </w:rPr>
        <w:t>）</w:t>
      </w:r>
      <w:r>
        <w:rPr>
          <w:spacing w:val="-26"/>
          <w:sz w:val="32"/>
        </w:rPr>
        <w:t>、学述综述或战略研究报告</w:t>
      </w:r>
      <w:r>
        <w:rPr>
          <w:sz w:val="32"/>
        </w:rPr>
        <w:t>（详见附件四</w:t>
      </w:r>
      <w:r>
        <w:rPr>
          <w:spacing w:val="-161"/>
          <w:sz w:val="32"/>
        </w:rPr>
        <w:t>）</w:t>
      </w:r>
      <w:r>
        <w:rPr>
          <w:spacing w:val="-57"/>
          <w:sz w:val="32"/>
        </w:rPr>
        <w:t>。根据 </w:t>
      </w:r>
      <w:r>
        <w:rPr>
          <w:rFonts w:ascii="Times New Roman" w:eastAsia="Times New Roman"/>
          <w:sz w:val="32"/>
        </w:rPr>
        <w:t>2020 </w:t>
      </w:r>
      <w:r>
        <w:rPr>
          <w:spacing w:val="-3"/>
          <w:sz w:val="32"/>
        </w:rPr>
        <w:t>年最新印发的《双清论坛管理办法》要求，双清论坛会议纪</w:t>
      </w:r>
      <w:r>
        <w:rPr>
          <w:spacing w:val="-5"/>
          <w:sz w:val="32"/>
        </w:rPr>
        <w:t>要应全面、客观地反映双清论坛代表的学术观点，应当于论</w:t>
      </w:r>
      <w:r>
        <w:rPr>
          <w:spacing w:val="-22"/>
          <w:sz w:val="32"/>
        </w:rPr>
        <w:t>坛结束后 </w:t>
      </w:r>
      <w:r>
        <w:rPr>
          <w:rFonts w:ascii="Times New Roman" w:eastAsia="Times New Roman"/>
          <w:sz w:val="32"/>
        </w:rPr>
        <w:t>20</w:t>
      </w:r>
      <w:r>
        <w:rPr>
          <w:rFonts w:ascii="Times New Roman" w:eastAsia="Times New Roman"/>
          <w:spacing w:val="-4"/>
          <w:sz w:val="32"/>
        </w:rPr>
        <w:t> </w:t>
      </w:r>
      <w:r>
        <w:rPr>
          <w:spacing w:val="-2"/>
          <w:sz w:val="32"/>
        </w:rPr>
        <w:t>日内提交政策局</w:t>
      </w:r>
      <w:r>
        <w:rPr>
          <w:sz w:val="32"/>
        </w:rPr>
        <w:t>（模板见附件三</w:t>
      </w:r>
      <w:r>
        <w:rPr>
          <w:spacing w:val="-158"/>
          <w:sz w:val="32"/>
        </w:rPr>
        <w:t>）</w:t>
      </w:r>
      <w:r>
        <w:rPr>
          <w:spacing w:val="-2"/>
          <w:sz w:val="32"/>
        </w:rPr>
        <w:t>。学术综述或</w:t>
      </w:r>
      <w:r>
        <w:rPr>
          <w:spacing w:val="10"/>
          <w:w w:val="95"/>
          <w:sz w:val="32"/>
        </w:rPr>
        <w:t>战略研究报告应体现研讨主题的战略意义、国内外研究现 </w:t>
      </w:r>
      <w:r>
        <w:rPr>
          <w:spacing w:val="-1"/>
          <w:sz w:val="32"/>
        </w:rPr>
        <w:t>状、本次论坛凝练的科学问题，建议优先发展领域及保障措</w:t>
      </w:r>
      <w:r>
        <w:rPr>
          <w:spacing w:val="-2"/>
          <w:sz w:val="32"/>
        </w:rPr>
        <w:t>施内容，应当于论坛结束后 </w:t>
      </w:r>
      <w:r>
        <w:rPr>
          <w:rFonts w:ascii="Times New Roman" w:eastAsia="Times New Roman"/>
          <w:sz w:val="32"/>
        </w:rPr>
        <w:t>30</w:t>
      </w:r>
      <w:r>
        <w:rPr>
          <w:rFonts w:ascii="Times New Roman" w:eastAsia="Times New Roman"/>
          <w:spacing w:val="70"/>
          <w:sz w:val="32"/>
        </w:rPr>
        <w:t> </w:t>
      </w:r>
      <w:r>
        <w:rPr>
          <w:sz w:val="32"/>
        </w:rPr>
        <w:t>日内提交政策局（模板见附件四</w:t>
      </w:r>
      <w:r>
        <w:rPr>
          <w:spacing w:val="-159"/>
          <w:sz w:val="32"/>
        </w:rPr>
        <w:t>）</w:t>
      </w:r>
      <w:r>
        <w:rPr>
          <w:sz w:val="32"/>
        </w:rPr>
        <w:t>。</w:t>
      </w:r>
    </w:p>
    <w:p>
      <w:pPr>
        <w:spacing w:line="372" w:lineRule="exact" w:before="0"/>
        <w:ind w:left="1129" w:right="936" w:firstLine="0"/>
        <w:jc w:val="center"/>
        <w:rPr>
          <w:sz w:val="32"/>
        </w:rPr>
      </w:pPr>
      <w:r>
        <w:rPr>
          <w:w w:val="95"/>
          <w:sz w:val="32"/>
        </w:rPr>
        <w:t>各主办部门要充分发挥论坛主席和学术秘书组的作用，</w:t>
      </w:r>
    </w:p>
    <w:p>
      <w:pPr>
        <w:spacing w:line="364" w:lineRule="auto" w:before="214"/>
        <w:ind w:left="780" w:right="1238" w:firstLine="0"/>
        <w:jc w:val="both"/>
        <w:rPr>
          <w:sz w:val="32"/>
        </w:rPr>
      </w:pPr>
      <w:r>
        <w:rPr>
          <w:spacing w:val="-3"/>
          <w:sz w:val="32"/>
        </w:rPr>
        <w:t>引导专家提出创新观点，凝练关键科学问题。主办部门和负</w:t>
      </w:r>
      <w:r>
        <w:rPr>
          <w:spacing w:val="-2"/>
          <w:sz w:val="32"/>
        </w:rPr>
        <w:t>责宣传的部门要重视双清论坛研讨成果的集成和传播，通过</w:t>
      </w:r>
      <w:r>
        <w:rPr>
          <w:spacing w:val="-3"/>
          <w:w w:val="95"/>
          <w:sz w:val="32"/>
        </w:rPr>
        <w:t>在中英文刊物发表论坛成果、设臵双清论坛专栏、组织提炼</w:t>
      </w:r>
    </w:p>
    <w:p>
      <w:pPr>
        <w:spacing w:after="0" w:line="364" w:lineRule="auto"/>
        <w:jc w:val="both"/>
        <w:rPr>
          <w:sz w:val="32"/>
        </w:rPr>
        <w:sectPr>
          <w:pgSz w:w="11910" w:h="16840"/>
          <w:pgMar w:header="0" w:footer="1035" w:top="1520" w:bottom="1300" w:left="1020" w:right="560"/>
        </w:sectPr>
      </w:pPr>
    </w:p>
    <w:p>
      <w:pPr>
        <w:spacing w:line="364" w:lineRule="auto" w:before="27"/>
        <w:ind w:left="780" w:right="1236" w:firstLine="0"/>
        <w:jc w:val="both"/>
        <w:rPr>
          <w:sz w:val="32"/>
        </w:rPr>
      </w:pPr>
      <w:r>
        <w:rPr>
          <w:spacing w:val="-20"/>
          <w:sz w:val="32"/>
        </w:rPr>
        <w:t>重要政策建议并以《内参》、《简报》向上级报送等方式，加</w:t>
      </w:r>
      <w:r>
        <w:rPr>
          <w:spacing w:val="-17"/>
          <w:sz w:val="32"/>
        </w:rPr>
        <w:t>强论坛成果的推送和传播力度。各部门应注意信息公开的内</w:t>
      </w:r>
      <w:r>
        <w:rPr>
          <w:spacing w:val="-5"/>
          <w:sz w:val="32"/>
        </w:rPr>
        <w:t>容，严格审核上网公布的论坛材料和相关信息。双清论坛承</w:t>
      </w:r>
      <w:r>
        <w:rPr>
          <w:spacing w:val="10"/>
          <w:w w:val="95"/>
          <w:sz w:val="32"/>
        </w:rPr>
        <w:t>办部门的宣传材料应当经主办部门和政策局审核同意后发 </w:t>
      </w:r>
      <w:r>
        <w:rPr>
          <w:spacing w:val="10"/>
          <w:sz w:val="32"/>
        </w:rPr>
        <w:t>布。</w:t>
      </w:r>
    </w:p>
    <w:p>
      <w:pPr>
        <w:pStyle w:val="Heading6"/>
        <w:spacing w:before="265"/>
      </w:pPr>
      <w:bookmarkStart w:name="_TOC_250019" w:id="8"/>
      <w:bookmarkEnd w:id="8"/>
      <w:r>
        <w:rPr/>
        <w:t>六、会后：尽快完成财务结算</w:t>
      </w:r>
    </w:p>
    <w:p>
      <w:pPr>
        <w:pStyle w:val="BodyText"/>
        <w:spacing w:before="11"/>
        <w:rPr>
          <w:rFonts w:ascii="黑体"/>
          <w:b/>
          <w:sz w:val="38"/>
        </w:rPr>
      </w:pPr>
    </w:p>
    <w:p>
      <w:pPr>
        <w:spacing w:line="328" w:lineRule="auto" w:before="0"/>
        <w:ind w:left="780" w:right="1235" w:firstLine="647"/>
        <w:jc w:val="both"/>
        <w:rPr>
          <w:sz w:val="32"/>
        </w:rPr>
      </w:pPr>
      <w:r>
        <w:rPr>
          <w:spacing w:val="-3"/>
          <w:sz w:val="32"/>
        </w:rPr>
        <w:t>双清论坛结束后，论坛举办各方需协助提供以下财务报</w:t>
      </w:r>
      <w:r>
        <w:rPr>
          <w:spacing w:val="7"/>
          <w:w w:val="99"/>
          <w:sz w:val="32"/>
        </w:rPr>
        <w:t>销材料（</w:t>
      </w:r>
      <w:r>
        <w:rPr>
          <w:spacing w:val="5"/>
          <w:w w:val="99"/>
          <w:sz w:val="32"/>
        </w:rPr>
        <w:t>见附件六</w:t>
      </w:r>
      <w:r>
        <w:rPr>
          <w:spacing w:val="-152"/>
          <w:w w:val="99"/>
          <w:sz w:val="32"/>
        </w:rPr>
        <w:t>）</w:t>
      </w:r>
      <w:r>
        <w:rPr>
          <w:spacing w:val="4"/>
          <w:w w:val="99"/>
          <w:sz w:val="32"/>
        </w:rPr>
        <w:t>：会议签到表、发票</w:t>
      </w:r>
      <w:r>
        <w:rPr>
          <w:spacing w:val="7"/>
          <w:w w:val="99"/>
          <w:sz w:val="32"/>
        </w:rPr>
        <w:t>（</w:t>
      </w:r>
      <w:r>
        <w:rPr>
          <w:spacing w:val="3"/>
          <w:w w:val="99"/>
          <w:sz w:val="32"/>
        </w:rPr>
        <w:t>抬头：国家自然</w:t>
      </w:r>
      <w:r>
        <w:rPr>
          <w:spacing w:val="4"/>
          <w:w w:val="95"/>
          <w:sz w:val="32"/>
        </w:rPr>
        <w:t>科学基金委员会机关服务中心</w:t>
      </w:r>
      <w:r>
        <w:rPr>
          <w:spacing w:val="-150"/>
          <w:w w:val="95"/>
          <w:sz w:val="32"/>
        </w:rPr>
        <w:t>）</w:t>
      </w:r>
      <w:r>
        <w:rPr>
          <w:spacing w:val="3"/>
          <w:w w:val="95"/>
          <w:sz w:val="32"/>
        </w:rPr>
        <w:t>、支出清单、政府采购电子 </w:t>
      </w:r>
      <w:r>
        <w:rPr>
          <w:spacing w:val="10"/>
          <w:w w:val="95"/>
          <w:sz w:val="32"/>
        </w:rPr>
        <w:t>结算单。机关服务中心根据会议财务支出的相关材料编制</w:t>
      </w:r>
    </w:p>
    <w:p>
      <w:pPr>
        <w:spacing w:line="326" w:lineRule="auto" w:before="0"/>
        <w:ind w:left="780" w:right="1165" w:firstLine="0"/>
        <w:jc w:val="left"/>
        <w:rPr>
          <w:sz w:val="32"/>
        </w:rPr>
      </w:pPr>
      <w:r>
        <w:rPr>
          <w:w w:val="95"/>
          <w:sz w:val="32"/>
        </w:rPr>
        <w:t>《会议结算表》，由政策局负责人审核后，完成财务报销程 </w:t>
      </w:r>
      <w:r>
        <w:rPr>
          <w:sz w:val="32"/>
        </w:rPr>
        <w:t>序。</w:t>
      </w:r>
    </w:p>
    <w:p>
      <w:pPr>
        <w:pStyle w:val="Heading6"/>
        <w:spacing w:before="236"/>
      </w:pPr>
      <w:bookmarkStart w:name="_TOC_250018" w:id="9"/>
      <w:bookmarkEnd w:id="9"/>
      <w:r>
        <w:rPr/>
        <w:t>七、双清论坛组织举办的相关要求</w:t>
      </w:r>
    </w:p>
    <w:p>
      <w:pPr>
        <w:pStyle w:val="BodyText"/>
        <w:spacing w:before="9"/>
        <w:rPr>
          <w:rFonts w:ascii="黑体"/>
          <w:b/>
          <w:sz w:val="38"/>
        </w:rPr>
      </w:pPr>
    </w:p>
    <w:p>
      <w:pPr>
        <w:spacing w:line="295" w:lineRule="auto" w:before="0"/>
        <w:ind w:left="780" w:right="1072" w:firstLine="631"/>
        <w:jc w:val="left"/>
        <w:rPr>
          <w:sz w:val="32"/>
        </w:rPr>
      </w:pPr>
      <w:r>
        <w:rPr>
          <w:rFonts w:ascii="等线" w:eastAsia="等线" w:hint="eastAsia"/>
          <w:b/>
          <w:sz w:val="32"/>
        </w:rPr>
        <w:t>（一</w:t>
      </w:r>
      <w:r>
        <w:rPr>
          <w:rFonts w:ascii="等线" w:eastAsia="等线" w:hint="eastAsia"/>
          <w:b/>
          <w:spacing w:val="-96"/>
          <w:sz w:val="32"/>
        </w:rPr>
        <w:t>）</w:t>
      </w:r>
      <w:r>
        <w:rPr>
          <w:rFonts w:ascii="等线" w:eastAsia="等线" w:hint="eastAsia"/>
          <w:b/>
          <w:spacing w:val="-10"/>
          <w:sz w:val="32"/>
        </w:rPr>
        <w:t>坚持双清论坛定位，深入落实科学基金改革部署。</w:t>
      </w:r>
      <w:r>
        <w:rPr>
          <w:spacing w:val="10"/>
          <w:sz w:val="32"/>
        </w:rPr>
        <w:t>主办部门应坚持将新时代科学基金资助导向全面贯彻到双</w:t>
      </w:r>
    </w:p>
    <w:p>
      <w:pPr>
        <w:pStyle w:val="Heading7"/>
        <w:spacing w:line="338" w:lineRule="auto" w:before="78"/>
        <w:ind w:right="1236"/>
        <w:jc w:val="both"/>
      </w:pPr>
      <w:r>
        <w:rPr>
          <w:spacing w:val="-2"/>
        </w:rPr>
        <w:t>清论坛研讨和关键科学问题凝练中，将论坛研讨与科学基金中长期发展规划等工作相结合，确保双清论坛为完善面向世</w:t>
      </w:r>
      <w:r>
        <w:rPr>
          <w:spacing w:val="10"/>
          <w:w w:val="95"/>
        </w:rPr>
        <w:t>界科学前沿的科学问题凝练机制和面向国家重大需求的科 </w:t>
      </w:r>
      <w:r>
        <w:rPr>
          <w:spacing w:val="-1"/>
        </w:rPr>
        <w:t>学问题凝练机制，以及原创探索计划等项目的组织实施发挥</w:t>
      </w:r>
      <w:r>
        <w:rPr/>
        <w:t>积极作用。</w:t>
      </w:r>
    </w:p>
    <w:p>
      <w:pPr>
        <w:spacing w:line="478" w:lineRule="exact" w:before="0"/>
        <w:ind w:left="1129" w:right="793" w:firstLine="0"/>
        <w:jc w:val="center"/>
        <w:rPr>
          <w:rFonts w:ascii="等线" w:eastAsia="等线" w:hint="eastAsia"/>
          <w:b/>
          <w:sz w:val="32"/>
        </w:rPr>
      </w:pPr>
      <w:r>
        <w:rPr>
          <w:rFonts w:ascii="等线" w:eastAsia="等线" w:hint="eastAsia"/>
          <w:b/>
          <w:sz w:val="32"/>
        </w:rPr>
        <w:t>（二</w:t>
      </w:r>
      <w:r>
        <w:rPr>
          <w:rFonts w:ascii="等线" w:eastAsia="等线" w:hint="eastAsia"/>
          <w:b/>
          <w:spacing w:val="-97"/>
          <w:sz w:val="32"/>
        </w:rPr>
        <w:t>）</w:t>
      </w:r>
      <w:r>
        <w:rPr>
          <w:rFonts w:ascii="等线" w:eastAsia="等线" w:hint="eastAsia"/>
          <w:b/>
          <w:spacing w:val="-7"/>
          <w:sz w:val="32"/>
        </w:rPr>
        <w:t>重视跨部门合作和交叉主题研讨，促进学科交叉。</w:t>
      </w:r>
    </w:p>
    <w:p>
      <w:pPr>
        <w:spacing w:after="0" w:line="478" w:lineRule="exact"/>
        <w:jc w:val="center"/>
        <w:rPr>
          <w:rFonts w:ascii="等线" w:eastAsia="等线" w:hint="eastAsia"/>
          <w:sz w:val="32"/>
        </w:rPr>
        <w:sectPr>
          <w:pgSz w:w="11910" w:h="16840"/>
          <w:pgMar w:header="0" w:footer="1035" w:top="1500" w:bottom="1300" w:left="1020" w:right="560"/>
        </w:sectPr>
      </w:pPr>
    </w:p>
    <w:p>
      <w:pPr>
        <w:spacing w:line="340" w:lineRule="auto" w:before="25"/>
        <w:ind w:left="780" w:right="1238" w:firstLine="0"/>
        <w:jc w:val="both"/>
        <w:rPr>
          <w:sz w:val="32"/>
        </w:rPr>
      </w:pPr>
      <w:r>
        <w:rPr>
          <w:spacing w:val="-2"/>
          <w:sz w:val="32"/>
        </w:rPr>
        <w:t>主办部门要重视科研范式变革带来的机遇与挑战，设定的双清论坛研讨主题要充分体现学科交叉特征。要聚焦当前国内</w:t>
      </w:r>
      <w:r>
        <w:rPr>
          <w:spacing w:val="-3"/>
          <w:sz w:val="32"/>
        </w:rPr>
        <w:t>国际面临的重大挑战，注重遴选具有全局和前瞻意识的科学</w:t>
      </w:r>
      <w:r>
        <w:rPr>
          <w:spacing w:val="-4"/>
          <w:sz w:val="32"/>
        </w:rPr>
        <w:t>家参会，坚持营造科学民主的交流氛围，着力激发科学家创新思想，广泛收集各领域各层次科学家的意见建议。要充分</w:t>
      </w:r>
      <w:r>
        <w:rPr>
          <w:spacing w:val="-3"/>
          <w:sz w:val="32"/>
        </w:rPr>
        <w:t>体现双清论坛的学术、战略性性和引领性，避免参会专家仅报告和研讨自己感兴趣的议题，不能将论坛变成为项目立项</w:t>
      </w:r>
      <w:r>
        <w:rPr>
          <w:sz w:val="32"/>
        </w:rPr>
        <w:t>而组织的研讨会。</w:t>
      </w:r>
    </w:p>
    <w:p>
      <w:pPr>
        <w:spacing w:line="451" w:lineRule="exact" w:before="0"/>
        <w:ind w:left="1129" w:right="922" w:firstLine="0"/>
        <w:jc w:val="center"/>
        <w:rPr>
          <w:rFonts w:ascii="等线" w:eastAsia="等线" w:hint="eastAsia"/>
          <w:b/>
          <w:sz w:val="32"/>
        </w:rPr>
      </w:pPr>
      <w:r>
        <w:rPr>
          <w:rFonts w:ascii="等线" w:eastAsia="等线" w:hint="eastAsia"/>
          <w:b/>
          <w:sz w:val="32"/>
        </w:rPr>
        <w:t>（三）严格执行我委会议费管理规定，坚持节俭办会。</w:t>
      </w:r>
    </w:p>
    <w:p>
      <w:pPr>
        <w:spacing w:line="338" w:lineRule="auto" w:before="112"/>
        <w:ind w:left="780" w:right="1236" w:firstLine="0"/>
        <w:jc w:val="both"/>
        <w:rPr>
          <w:sz w:val="32"/>
        </w:rPr>
      </w:pPr>
      <w:r>
        <w:rPr>
          <w:spacing w:val="-3"/>
          <w:sz w:val="32"/>
        </w:rPr>
        <w:t>各部门应按照精简高效、厉行节约的原则举办论坛，会议地点必须选择政府采购定点单位，严格按照《办法》和我委会</w:t>
      </w:r>
      <w:r>
        <w:rPr>
          <w:spacing w:val="-5"/>
          <w:sz w:val="32"/>
        </w:rPr>
        <w:t>议费管理规定确定参会人数和会议天数。京外召开的双清论坛，主办部门可以委托承办部门协助，并将《国家自然科学</w:t>
      </w:r>
      <w:r>
        <w:rPr>
          <w:spacing w:val="-18"/>
          <w:sz w:val="32"/>
        </w:rPr>
        <w:t>基金委员会工作人员公务活动八项规定》、《国家自然科学基金委员会工作人员职业道德与行为规范》、《国家自然科学基</w:t>
      </w:r>
      <w:r>
        <w:rPr>
          <w:spacing w:val="10"/>
          <w:w w:val="95"/>
          <w:sz w:val="32"/>
        </w:rPr>
        <w:t>金委员会工作人员外出从事讲学咨询等活动取酬的若干规 </w:t>
      </w:r>
      <w:r>
        <w:rPr>
          <w:spacing w:val="7"/>
          <w:w w:val="95"/>
          <w:sz w:val="32"/>
        </w:rPr>
        <w:t>定（</w:t>
      </w:r>
      <w:r>
        <w:rPr>
          <w:spacing w:val="5"/>
          <w:w w:val="95"/>
          <w:sz w:val="32"/>
        </w:rPr>
        <w:t>试行</w:t>
      </w:r>
      <w:r>
        <w:rPr>
          <w:spacing w:val="-154"/>
          <w:w w:val="95"/>
          <w:sz w:val="32"/>
        </w:rPr>
        <w:t>）</w:t>
      </w:r>
      <w:r>
        <w:rPr>
          <w:spacing w:val="-14"/>
          <w:w w:val="95"/>
          <w:sz w:val="32"/>
        </w:rPr>
        <w:t>》、《中共国家自然科学基金委员会党组贯彻落实 </w:t>
      </w:r>
      <w:r>
        <w:rPr>
          <w:spacing w:val="-14"/>
          <w:sz w:val="32"/>
        </w:rPr>
        <w:t>中央八项规定精神实施细则》等文件和论坛组办的相关要求</w:t>
      </w:r>
      <w:r>
        <w:rPr>
          <w:sz w:val="32"/>
        </w:rPr>
        <w:t>告知承办部门，严格依规依纪组织召开论坛。</w:t>
      </w:r>
    </w:p>
    <w:p>
      <w:pPr>
        <w:spacing w:after="0" w:line="338" w:lineRule="auto"/>
        <w:jc w:val="both"/>
        <w:rPr>
          <w:sz w:val="32"/>
        </w:rPr>
        <w:sectPr>
          <w:pgSz w:w="11910" w:h="16840"/>
          <w:pgMar w:header="0" w:footer="1035" w:top="1540" w:bottom="1300" w:left="1020" w:right="560"/>
        </w:sectPr>
      </w:pPr>
    </w:p>
    <w:p>
      <w:pPr>
        <w:pStyle w:val="BodyText"/>
        <w:rPr>
          <w:sz w:val="17"/>
        </w:rPr>
      </w:pPr>
    </w:p>
    <w:p>
      <w:pPr>
        <w:spacing w:line="693" w:lineRule="exact" w:before="0"/>
        <w:ind w:left="0" w:right="455" w:firstLine="0"/>
        <w:jc w:val="center"/>
        <w:rPr>
          <w:rFonts w:ascii="方正小标宋简体" w:eastAsia="方正小标宋简体" w:hint="eastAsia"/>
          <w:b/>
          <w:sz w:val="40"/>
        </w:rPr>
      </w:pPr>
      <w:bookmarkStart w:name="_TOC_250017" w:id="10"/>
      <w:bookmarkEnd w:id="10"/>
      <w:r>
        <w:rPr>
          <w:rFonts w:ascii="方正小标宋简体" w:eastAsia="方正小标宋简体" w:hint="eastAsia"/>
          <w:b/>
          <w:sz w:val="40"/>
        </w:rPr>
        <w:t>双清论坛成果格式要求</w:t>
      </w:r>
    </w:p>
    <w:p>
      <w:pPr>
        <w:pStyle w:val="BodyText"/>
        <w:spacing w:before="15"/>
        <w:rPr>
          <w:rFonts w:ascii="方正小标宋简体"/>
          <w:b/>
          <w:sz w:val="25"/>
        </w:rPr>
      </w:pPr>
    </w:p>
    <w:p>
      <w:pPr>
        <w:pStyle w:val="Heading6"/>
      </w:pPr>
      <w:bookmarkStart w:name="_TOC_250016" w:id="11"/>
      <w:bookmarkEnd w:id="11"/>
      <w:r>
        <w:rPr/>
        <w:t>（一）会议纪要提纲及要求</w:t>
      </w:r>
    </w:p>
    <w:p>
      <w:pPr>
        <w:pStyle w:val="BodyText"/>
        <w:spacing w:before="11"/>
        <w:rPr>
          <w:rFonts w:ascii="黑体"/>
          <w:b/>
          <w:sz w:val="38"/>
        </w:rPr>
      </w:pPr>
    </w:p>
    <w:p>
      <w:pPr>
        <w:pStyle w:val="Heading7"/>
        <w:ind w:left="1421"/>
      </w:pPr>
      <w:r>
        <w:rPr/>
        <w:t>双清论坛会议纪要应包括以下内容：</w:t>
      </w:r>
    </w:p>
    <w:p>
      <w:pPr>
        <w:pStyle w:val="ListParagraph"/>
        <w:numPr>
          <w:ilvl w:val="0"/>
          <w:numId w:val="2"/>
        </w:numPr>
        <w:tabs>
          <w:tab w:pos="1561" w:val="left" w:leader="none"/>
        </w:tabs>
        <w:spacing w:line="326" w:lineRule="auto" w:before="149" w:after="0"/>
        <w:ind w:left="1560" w:right="1238" w:hanging="360"/>
        <w:jc w:val="left"/>
        <w:rPr>
          <w:rFonts w:ascii="宋体" w:eastAsia="宋体" w:hint="eastAsia"/>
          <w:sz w:val="32"/>
        </w:rPr>
      </w:pPr>
      <w:r>
        <w:rPr>
          <w:rFonts w:ascii="宋体" w:eastAsia="宋体" w:hint="eastAsia"/>
          <w:spacing w:val="-14"/>
          <w:sz w:val="32"/>
        </w:rPr>
        <w:t>论坛主题，举办时间和地点、主办单位与承办单位，论</w:t>
      </w:r>
      <w:r>
        <w:rPr>
          <w:rFonts w:ascii="宋体" w:eastAsia="宋体" w:hint="eastAsia"/>
          <w:sz w:val="32"/>
        </w:rPr>
        <w:t>坛主席，参会代表的单位（数）、总人数及特点。</w:t>
      </w:r>
    </w:p>
    <w:p>
      <w:pPr>
        <w:pStyle w:val="ListParagraph"/>
        <w:numPr>
          <w:ilvl w:val="0"/>
          <w:numId w:val="2"/>
        </w:numPr>
        <w:tabs>
          <w:tab w:pos="1561" w:val="left" w:leader="none"/>
        </w:tabs>
        <w:spacing w:line="326" w:lineRule="auto" w:before="6" w:after="0"/>
        <w:ind w:left="1560" w:right="1237" w:hanging="360"/>
        <w:jc w:val="left"/>
        <w:rPr>
          <w:rFonts w:ascii="宋体" w:eastAsia="宋体" w:hint="eastAsia"/>
          <w:sz w:val="32"/>
        </w:rPr>
      </w:pPr>
      <w:r>
        <w:rPr>
          <w:rFonts w:ascii="宋体" w:eastAsia="宋体" w:hint="eastAsia"/>
          <w:spacing w:val="-12"/>
          <w:sz w:val="32"/>
        </w:rPr>
        <w:t>摘要开幕式简述领导讲话及致辞。着重提炼讲话中观点</w:t>
      </w:r>
      <w:r>
        <w:rPr>
          <w:rFonts w:ascii="宋体" w:eastAsia="宋体" w:hint="eastAsia"/>
          <w:sz w:val="32"/>
        </w:rPr>
        <w:t>和想法，尤其是有新表述、新思路、新见解等。</w:t>
      </w:r>
    </w:p>
    <w:p>
      <w:pPr>
        <w:pStyle w:val="ListParagraph"/>
        <w:numPr>
          <w:ilvl w:val="0"/>
          <w:numId w:val="2"/>
        </w:numPr>
        <w:tabs>
          <w:tab w:pos="1561" w:val="left" w:leader="none"/>
        </w:tabs>
        <w:spacing w:line="240" w:lineRule="auto" w:before="3" w:after="0"/>
        <w:ind w:left="1560" w:right="0" w:hanging="361"/>
        <w:jc w:val="left"/>
        <w:rPr>
          <w:rFonts w:ascii="宋体" w:eastAsia="宋体" w:hint="eastAsia"/>
          <w:sz w:val="32"/>
        </w:rPr>
      </w:pPr>
      <w:r>
        <w:rPr>
          <w:rFonts w:ascii="宋体" w:eastAsia="宋体" w:hint="eastAsia"/>
          <w:sz w:val="32"/>
        </w:rPr>
        <w:t>简介主题内容及意义</w:t>
      </w:r>
    </w:p>
    <w:p>
      <w:pPr>
        <w:pStyle w:val="ListParagraph"/>
        <w:numPr>
          <w:ilvl w:val="0"/>
          <w:numId w:val="2"/>
        </w:numPr>
        <w:tabs>
          <w:tab w:pos="1561" w:val="left" w:leader="none"/>
        </w:tabs>
        <w:spacing w:line="326" w:lineRule="auto" w:before="152" w:after="0"/>
        <w:ind w:left="1560" w:right="1236" w:hanging="360"/>
        <w:jc w:val="both"/>
        <w:rPr>
          <w:rFonts w:ascii="宋体" w:eastAsia="宋体" w:hint="eastAsia"/>
          <w:sz w:val="32"/>
        </w:rPr>
      </w:pPr>
      <w:r>
        <w:rPr>
          <w:rFonts w:ascii="宋体" w:eastAsia="宋体" w:hint="eastAsia"/>
          <w:spacing w:val="-11"/>
          <w:sz w:val="32"/>
        </w:rPr>
        <w:t>概述会议的主要报告内容及讨论情况，重点是报告中的</w:t>
      </w:r>
      <w:r>
        <w:rPr>
          <w:rFonts w:ascii="宋体" w:eastAsia="宋体" w:hint="eastAsia"/>
          <w:spacing w:val="-14"/>
          <w:sz w:val="32"/>
        </w:rPr>
        <w:t>创新性观点和思想，以及研讨过程中聚焦的热点问题和</w:t>
      </w:r>
      <w:r>
        <w:rPr>
          <w:rFonts w:ascii="宋体" w:eastAsia="宋体" w:hint="eastAsia"/>
          <w:sz w:val="32"/>
        </w:rPr>
        <w:t>共识。</w:t>
      </w:r>
    </w:p>
    <w:p>
      <w:pPr>
        <w:pStyle w:val="ListParagraph"/>
        <w:numPr>
          <w:ilvl w:val="0"/>
          <w:numId w:val="2"/>
        </w:numPr>
        <w:tabs>
          <w:tab w:pos="1561" w:val="left" w:leader="none"/>
        </w:tabs>
        <w:spacing w:line="240" w:lineRule="auto" w:before="7" w:after="0"/>
        <w:ind w:left="1560" w:right="0" w:hanging="361"/>
        <w:jc w:val="both"/>
        <w:rPr>
          <w:rFonts w:ascii="宋体" w:eastAsia="宋体" w:hint="eastAsia"/>
          <w:sz w:val="32"/>
        </w:rPr>
      </w:pPr>
      <w:r>
        <w:rPr>
          <w:rFonts w:ascii="宋体" w:eastAsia="宋体" w:hint="eastAsia"/>
          <w:spacing w:val="-1"/>
          <w:sz w:val="32"/>
        </w:rPr>
        <w:t>提出的科学问题及资助部署建议，其中第 </w:t>
      </w:r>
      <w:r>
        <w:rPr>
          <w:rFonts w:ascii="宋体" w:eastAsia="宋体" w:hint="eastAsia"/>
          <w:sz w:val="32"/>
        </w:rPr>
        <w:t>4 点和第 5</w:t>
      </w:r>
    </w:p>
    <w:p>
      <w:pPr>
        <w:spacing w:before="150"/>
        <w:ind w:left="1560" w:right="0" w:firstLine="0"/>
        <w:jc w:val="left"/>
        <w:rPr>
          <w:sz w:val="32"/>
        </w:rPr>
      </w:pPr>
      <w:r>
        <w:rPr>
          <w:sz w:val="32"/>
        </w:rPr>
        <w:t>点是纪要重要的组成部分，也是论坛的主要成果。</w:t>
      </w:r>
    </w:p>
    <w:p>
      <w:pPr>
        <w:pStyle w:val="ListParagraph"/>
        <w:numPr>
          <w:ilvl w:val="0"/>
          <w:numId w:val="2"/>
        </w:numPr>
        <w:tabs>
          <w:tab w:pos="1561" w:val="left" w:leader="none"/>
        </w:tabs>
        <w:spacing w:line="240" w:lineRule="auto" w:before="149" w:after="0"/>
        <w:ind w:left="1560" w:right="0" w:hanging="361"/>
        <w:jc w:val="left"/>
        <w:rPr>
          <w:rFonts w:ascii="宋体" w:eastAsia="宋体" w:hint="eastAsia"/>
          <w:sz w:val="32"/>
        </w:rPr>
      </w:pPr>
      <w:r>
        <w:rPr>
          <w:rFonts w:ascii="宋体" w:eastAsia="宋体" w:hint="eastAsia"/>
          <w:sz w:val="32"/>
        </w:rPr>
        <w:t>简述会议总结情况。</w:t>
      </w:r>
    </w:p>
    <w:p>
      <w:pPr>
        <w:pStyle w:val="ListParagraph"/>
        <w:numPr>
          <w:ilvl w:val="0"/>
          <w:numId w:val="2"/>
        </w:numPr>
        <w:tabs>
          <w:tab w:pos="1561" w:val="left" w:leader="none"/>
        </w:tabs>
        <w:spacing w:line="240" w:lineRule="auto" w:before="152" w:after="0"/>
        <w:ind w:left="1560" w:right="0" w:hanging="361"/>
        <w:jc w:val="left"/>
        <w:rPr>
          <w:rFonts w:ascii="宋体" w:eastAsia="宋体" w:hint="eastAsia"/>
          <w:sz w:val="32"/>
        </w:rPr>
      </w:pPr>
      <w:r>
        <w:rPr>
          <w:rFonts w:ascii="宋体" w:eastAsia="宋体" w:hint="eastAsia"/>
          <w:spacing w:val="-11"/>
          <w:sz w:val="32"/>
        </w:rPr>
        <w:t>双清论坛纪要为 </w:t>
      </w:r>
      <w:r>
        <w:rPr>
          <w:rFonts w:ascii="宋体" w:eastAsia="宋体" w:hint="eastAsia"/>
          <w:sz w:val="32"/>
        </w:rPr>
        <w:t>4000</w:t>
      </w:r>
      <w:r>
        <w:rPr>
          <w:rFonts w:ascii="宋体" w:eastAsia="宋体" w:hint="eastAsia"/>
          <w:spacing w:val="-17"/>
          <w:sz w:val="32"/>
        </w:rPr>
        <w:t> 字左右。</w:t>
      </w:r>
    </w:p>
    <w:p>
      <w:pPr>
        <w:pStyle w:val="BodyText"/>
        <w:spacing w:before="2"/>
        <w:rPr>
          <w:sz w:val="30"/>
        </w:rPr>
      </w:pPr>
    </w:p>
    <w:p>
      <w:pPr>
        <w:pStyle w:val="Heading6"/>
      </w:pPr>
      <w:bookmarkStart w:name="_TOC_250015" w:id="12"/>
      <w:bookmarkEnd w:id="12"/>
      <w:r>
        <w:rPr/>
        <w:t>（二）学术综述提纲及要求</w:t>
      </w:r>
    </w:p>
    <w:p>
      <w:pPr>
        <w:pStyle w:val="BodyText"/>
        <w:spacing w:before="12"/>
        <w:rPr>
          <w:rFonts w:ascii="黑体"/>
          <w:b/>
          <w:sz w:val="36"/>
        </w:rPr>
      </w:pPr>
    </w:p>
    <w:p>
      <w:pPr>
        <w:spacing w:before="0"/>
        <w:ind w:left="1260" w:right="0" w:firstLine="0"/>
        <w:jc w:val="left"/>
        <w:rPr>
          <w:sz w:val="32"/>
        </w:rPr>
      </w:pPr>
      <w:r>
        <w:rPr>
          <w:sz w:val="32"/>
        </w:rPr>
        <w:t>双清论坛学术综述应包括以下内容：</w:t>
      </w:r>
    </w:p>
    <w:p>
      <w:pPr>
        <w:pStyle w:val="ListParagraph"/>
        <w:numPr>
          <w:ilvl w:val="0"/>
          <w:numId w:val="3"/>
        </w:numPr>
        <w:tabs>
          <w:tab w:pos="1561" w:val="left" w:leader="none"/>
        </w:tabs>
        <w:spacing w:line="240" w:lineRule="auto" w:before="239" w:after="0"/>
        <w:ind w:left="1560" w:right="0" w:hanging="361"/>
        <w:jc w:val="left"/>
        <w:rPr>
          <w:rFonts w:ascii="宋体" w:eastAsia="宋体" w:hint="eastAsia"/>
          <w:sz w:val="32"/>
        </w:rPr>
      </w:pPr>
      <w:r>
        <w:rPr>
          <w:rFonts w:ascii="宋体" w:eastAsia="宋体" w:hint="eastAsia"/>
          <w:sz w:val="32"/>
        </w:rPr>
        <w:t>主题领域的背景、研究现状和发展情况</w:t>
      </w:r>
    </w:p>
    <w:p>
      <w:pPr>
        <w:pStyle w:val="ListParagraph"/>
        <w:numPr>
          <w:ilvl w:val="0"/>
          <w:numId w:val="3"/>
        </w:numPr>
        <w:tabs>
          <w:tab w:pos="1561" w:val="left" w:leader="none"/>
        </w:tabs>
        <w:spacing w:line="240" w:lineRule="auto" w:before="149" w:after="0"/>
        <w:ind w:left="1560" w:right="0" w:hanging="361"/>
        <w:jc w:val="left"/>
        <w:rPr>
          <w:rFonts w:ascii="宋体" w:eastAsia="宋体" w:hint="eastAsia"/>
          <w:sz w:val="32"/>
        </w:rPr>
      </w:pPr>
      <w:r>
        <w:rPr>
          <w:rFonts w:ascii="宋体" w:eastAsia="宋体" w:hint="eastAsia"/>
          <w:sz w:val="32"/>
        </w:rPr>
        <w:t>本次论坛凝练的关键科学问题</w:t>
      </w:r>
    </w:p>
    <w:p>
      <w:pPr>
        <w:pStyle w:val="ListParagraph"/>
        <w:numPr>
          <w:ilvl w:val="0"/>
          <w:numId w:val="3"/>
        </w:numPr>
        <w:tabs>
          <w:tab w:pos="1561" w:val="left" w:leader="none"/>
        </w:tabs>
        <w:spacing w:line="240" w:lineRule="auto" w:before="149" w:after="0"/>
        <w:ind w:left="1560" w:right="0" w:hanging="361"/>
        <w:jc w:val="left"/>
        <w:rPr>
          <w:rFonts w:ascii="宋体" w:eastAsia="宋体" w:hint="eastAsia"/>
          <w:sz w:val="32"/>
        </w:rPr>
      </w:pPr>
      <w:r>
        <w:rPr>
          <w:rFonts w:ascii="宋体" w:eastAsia="宋体" w:hint="eastAsia"/>
          <w:spacing w:val="-14"/>
          <w:sz w:val="32"/>
        </w:rPr>
        <w:t>学术综述为 </w:t>
      </w:r>
      <w:r>
        <w:rPr>
          <w:sz w:val="32"/>
        </w:rPr>
        <w:t>8000</w:t>
      </w:r>
      <w:r>
        <w:rPr>
          <w:spacing w:val="-2"/>
          <w:sz w:val="32"/>
        </w:rPr>
        <w:t> </w:t>
      </w:r>
      <w:r>
        <w:rPr>
          <w:rFonts w:ascii="宋体" w:eastAsia="宋体" w:hint="eastAsia"/>
          <w:sz w:val="32"/>
        </w:rPr>
        <w:t>字左右。</w:t>
      </w:r>
    </w:p>
    <w:p>
      <w:pPr>
        <w:spacing w:before="152"/>
        <w:ind w:left="1421" w:right="0" w:firstLine="0"/>
        <w:jc w:val="left"/>
        <w:rPr>
          <w:sz w:val="32"/>
        </w:rPr>
      </w:pPr>
      <w:r>
        <w:rPr>
          <w:sz w:val="32"/>
        </w:rPr>
        <w:t>学术秘书组在会后 </w:t>
      </w:r>
      <w:r>
        <w:rPr>
          <w:rFonts w:ascii="Times New Roman" w:eastAsia="Times New Roman"/>
          <w:sz w:val="32"/>
        </w:rPr>
        <w:t>2 </w:t>
      </w:r>
      <w:r>
        <w:rPr>
          <w:sz w:val="32"/>
        </w:rPr>
        <w:t>周内将会议纪要提交学科处，</w:t>
      </w:r>
      <w:r>
        <w:rPr>
          <w:rFonts w:ascii="Times New Roman" w:eastAsia="Times New Roman"/>
          <w:sz w:val="32"/>
        </w:rPr>
        <w:t>3 </w:t>
      </w:r>
      <w:r>
        <w:rPr>
          <w:sz w:val="32"/>
        </w:rPr>
        <w:t>个</w:t>
      </w:r>
    </w:p>
    <w:p>
      <w:pPr>
        <w:spacing w:after="0"/>
        <w:jc w:val="left"/>
        <w:rPr>
          <w:sz w:val="32"/>
        </w:rPr>
        <w:sectPr>
          <w:pgSz w:w="11910" w:h="16840"/>
          <w:pgMar w:header="0" w:footer="1035" w:top="1580" w:bottom="1300" w:left="1020" w:right="560"/>
        </w:sectPr>
      </w:pPr>
    </w:p>
    <w:p>
      <w:pPr>
        <w:spacing w:line="328" w:lineRule="auto" w:before="30"/>
        <w:ind w:left="780" w:right="1233" w:firstLine="0"/>
        <w:jc w:val="both"/>
        <w:rPr>
          <w:sz w:val="32"/>
        </w:rPr>
      </w:pPr>
      <w:r>
        <w:rPr>
          <w:spacing w:val="-1"/>
          <w:sz w:val="32"/>
        </w:rPr>
        <w:t>周内将学术综述或战略研究报告提交学科处，学科处负责人</w:t>
      </w:r>
      <w:r>
        <w:rPr>
          <w:spacing w:val="-37"/>
          <w:sz w:val="32"/>
        </w:rPr>
        <w:t>审 阅 修 改 后 提 交 政 策 局 局 秘 处 ， 电 子 邮 箱 为 ： </w:t>
      </w:r>
      <w:hyperlink r:id="rId7">
        <w:r>
          <w:rPr>
            <w:rFonts w:ascii="Times New Roman" w:eastAsia="Times New Roman"/>
            <w:spacing w:val="-37"/>
            <w:sz w:val="32"/>
          </w:rPr>
          <w:t>zhcj@nsfc.gov.cn</w:t>
        </w:r>
      </w:hyperlink>
      <w:r>
        <w:rPr>
          <w:spacing w:val="-37"/>
          <w:sz w:val="32"/>
        </w:rPr>
        <w:t>。</w:t>
      </w:r>
    </w:p>
    <w:p>
      <w:pPr>
        <w:spacing w:after="0" w:line="328" w:lineRule="auto"/>
        <w:jc w:val="both"/>
        <w:rPr>
          <w:sz w:val="32"/>
        </w:rPr>
        <w:sectPr>
          <w:pgSz w:w="11910" w:h="16840"/>
          <w:pgMar w:header="0" w:footer="1035" w:top="1520" w:bottom="1300" w:left="1020" w:right="560"/>
        </w:sectPr>
      </w:pPr>
    </w:p>
    <w:p>
      <w:pPr>
        <w:spacing w:line="739" w:lineRule="exact" w:before="0"/>
        <w:ind w:left="780" w:right="0" w:firstLine="0"/>
        <w:jc w:val="left"/>
        <w:rPr>
          <w:rFonts w:ascii="方正小标宋简体" w:eastAsia="方正小标宋简体" w:hint="eastAsia"/>
          <w:b/>
          <w:sz w:val="44"/>
        </w:rPr>
      </w:pPr>
      <w:bookmarkStart w:name="_TOC_250014" w:id="13"/>
      <w:bookmarkEnd w:id="13"/>
      <w:r>
        <w:rPr>
          <w:rFonts w:ascii="方正小标宋简体" w:eastAsia="方正小标宋简体" w:hint="eastAsia"/>
          <w:b/>
          <w:sz w:val="44"/>
        </w:rPr>
        <w:t>附件：双清论坛相关参考材料</w:t>
      </w:r>
    </w:p>
    <w:p>
      <w:pPr>
        <w:pStyle w:val="BodyText"/>
        <w:spacing w:before="10"/>
        <w:rPr>
          <w:rFonts w:ascii="方正小标宋简体"/>
          <w:b/>
          <w:sz w:val="60"/>
        </w:rPr>
      </w:pPr>
    </w:p>
    <w:p>
      <w:pPr>
        <w:spacing w:before="0"/>
        <w:ind w:left="780" w:right="0" w:firstLine="0"/>
        <w:jc w:val="left"/>
        <w:rPr>
          <w:rFonts w:ascii="黑体" w:eastAsia="黑体" w:hint="eastAsia"/>
          <w:sz w:val="32"/>
        </w:rPr>
      </w:pPr>
      <w:bookmarkStart w:name="_TOC_250013" w:id="14"/>
      <w:bookmarkEnd w:id="14"/>
      <w:r>
        <w:rPr>
          <w:rFonts w:ascii="黑体" w:eastAsia="黑体" w:hint="eastAsia"/>
          <w:sz w:val="32"/>
        </w:rPr>
        <w:t>附件一：预通知和正式通知样稿</w:t>
      </w:r>
    </w:p>
    <w:p>
      <w:pPr>
        <w:spacing w:line="364" w:lineRule="auto" w:before="214"/>
        <w:ind w:left="780" w:right="3145" w:firstLine="0"/>
        <w:jc w:val="left"/>
        <w:rPr>
          <w:rFonts w:ascii="黑体" w:eastAsia="黑体" w:hint="eastAsia"/>
          <w:sz w:val="32"/>
        </w:rPr>
      </w:pPr>
      <w:r>
        <w:rPr>
          <w:rFonts w:ascii="黑体" w:eastAsia="黑体" w:hint="eastAsia"/>
          <w:sz w:val="32"/>
        </w:rPr>
        <w:t>附件二：会议手册模板（区分是否设分会场） 附件三：会议纪要和学术综述样稿</w:t>
      </w:r>
    </w:p>
    <w:p>
      <w:pPr>
        <w:spacing w:line="364" w:lineRule="auto" w:before="2"/>
        <w:ind w:left="780" w:right="6344" w:firstLine="0"/>
        <w:jc w:val="left"/>
        <w:rPr>
          <w:rFonts w:ascii="黑体" w:eastAsia="黑体" w:hint="eastAsia"/>
          <w:sz w:val="32"/>
        </w:rPr>
      </w:pPr>
      <w:r>
        <w:rPr>
          <w:rFonts w:ascii="黑体" w:eastAsia="黑体" w:hint="eastAsia"/>
          <w:sz w:val="32"/>
        </w:rPr>
        <w:t>附件四：新闻稿样稿 </w:t>
      </w:r>
      <w:r>
        <w:rPr>
          <w:rFonts w:ascii="黑体" w:eastAsia="黑体" w:hint="eastAsia"/>
          <w:spacing w:val="-2"/>
          <w:sz w:val="32"/>
        </w:rPr>
        <w:t>附件五：财务报销材料</w:t>
      </w:r>
      <w:r>
        <w:rPr>
          <w:rFonts w:ascii="黑体" w:eastAsia="黑体" w:hint="eastAsia"/>
          <w:sz w:val="32"/>
        </w:rPr>
        <w:t>附件六：简报样稿</w:t>
      </w:r>
    </w:p>
    <w:p>
      <w:pPr>
        <w:spacing w:after="0" w:line="364" w:lineRule="auto"/>
        <w:jc w:val="left"/>
        <w:rPr>
          <w:rFonts w:ascii="黑体" w:eastAsia="黑体" w:hint="eastAsia"/>
          <w:sz w:val="32"/>
        </w:rPr>
        <w:sectPr>
          <w:pgSz w:w="11910" w:h="16840"/>
          <w:pgMar w:header="0" w:footer="1035" w:top="1540" w:bottom="1300" w:left="1020" w:right="560"/>
        </w:sectPr>
      </w:pPr>
    </w:p>
    <w:p>
      <w:pPr>
        <w:pStyle w:val="BodyText"/>
        <w:rPr>
          <w:rFonts w:ascii="黑体"/>
          <w:sz w:val="20"/>
        </w:rPr>
      </w:pPr>
    </w:p>
    <w:p>
      <w:pPr>
        <w:pStyle w:val="BodyText"/>
        <w:rPr>
          <w:rFonts w:ascii="黑体"/>
          <w:sz w:val="20"/>
        </w:rPr>
      </w:pPr>
    </w:p>
    <w:p>
      <w:pPr>
        <w:pStyle w:val="BodyText"/>
        <w:rPr>
          <w:rFonts w:ascii="黑体"/>
          <w:sz w:val="20"/>
        </w:rPr>
      </w:pPr>
    </w:p>
    <w:p>
      <w:pPr>
        <w:pStyle w:val="BodyText"/>
        <w:rPr>
          <w:rFonts w:ascii="黑体"/>
          <w:sz w:val="20"/>
        </w:rPr>
      </w:pPr>
    </w:p>
    <w:p>
      <w:pPr>
        <w:pStyle w:val="BodyText"/>
        <w:rPr>
          <w:rFonts w:ascii="黑体"/>
          <w:sz w:val="20"/>
        </w:rPr>
      </w:pPr>
    </w:p>
    <w:p>
      <w:pPr>
        <w:pStyle w:val="BodyText"/>
        <w:rPr>
          <w:rFonts w:ascii="黑体"/>
          <w:sz w:val="20"/>
        </w:rPr>
      </w:pPr>
    </w:p>
    <w:p>
      <w:pPr>
        <w:pStyle w:val="BodyText"/>
        <w:rPr>
          <w:rFonts w:ascii="黑体"/>
          <w:sz w:val="20"/>
        </w:rPr>
      </w:pPr>
    </w:p>
    <w:p>
      <w:pPr>
        <w:pStyle w:val="BodyText"/>
        <w:rPr>
          <w:rFonts w:ascii="黑体"/>
          <w:sz w:val="20"/>
        </w:rPr>
      </w:pPr>
    </w:p>
    <w:p>
      <w:pPr>
        <w:pStyle w:val="BodyText"/>
        <w:rPr>
          <w:rFonts w:ascii="黑体"/>
          <w:sz w:val="20"/>
        </w:rPr>
      </w:pPr>
    </w:p>
    <w:p>
      <w:pPr>
        <w:pStyle w:val="BodyText"/>
        <w:rPr>
          <w:rFonts w:ascii="黑体"/>
          <w:sz w:val="20"/>
        </w:rPr>
      </w:pPr>
    </w:p>
    <w:p>
      <w:pPr>
        <w:pStyle w:val="BodyText"/>
        <w:rPr>
          <w:rFonts w:ascii="黑体"/>
          <w:sz w:val="20"/>
        </w:rPr>
      </w:pPr>
    </w:p>
    <w:p>
      <w:pPr>
        <w:pStyle w:val="BodyText"/>
        <w:rPr>
          <w:rFonts w:ascii="黑体"/>
          <w:sz w:val="20"/>
        </w:rPr>
      </w:pPr>
    </w:p>
    <w:p>
      <w:pPr>
        <w:pStyle w:val="BodyText"/>
        <w:spacing w:before="3"/>
        <w:rPr>
          <w:rFonts w:ascii="黑体"/>
          <w:sz w:val="14"/>
        </w:rPr>
      </w:pPr>
    </w:p>
    <w:p>
      <w:pPr>
        <w:spacing w:before="20"/>
        <w:ind w:left="996" w:right="0" w:firstLine="0"/>
        <w:jc w:val="left"/>
        <w:rPr>
          <w:rFonts w:ascii="黑体" w:eastAsia="黑体" w:hint="eastAsia"/>
          <w:b/>
          <w:sz w:val="56"/>
        </w:rPr>
      </w:pPr>
      <w:r>
        <w:rPr>
          <w:rFonts w:ascii="黑体" w:eastAsia="黑体" w:hint="eastAsia"/>
          <w:b/>
          <w:sz w:val="56"/>
        </w:rPr>
        <w:t>附件一：预通知和正式通知样稿</w:t>
      </w:r>
    </w:p>
    <w:p>
      <w:pPr>
        <w:spacing w:after="0"/>
        <w:jc w:val="left"/>
        <w:rPr>
          <w:rFonts w:ascii="黑体" w:eastAsia="黑体" w:hint="eastAsia"/>
          <w:sz w:val="56"/>
        </w:rPr>
        <w:sectPr>
          <w:pgSz w:w="11910" w:h="16840"/>
          <w:pgMar w:header="0" w:footer="1035" w:top="1580" w:bottom="1300" w:left="1020" w:right="560"/>
        </w:sectPr>
      </w:pPr>
    </w:p>
    <w:p>
      <w:pPr>
        <w:pStyle w:val="Heading4"/>
        <w:spacing w:before="26"/>
        <w:ind w:left="780"/>
        <w:jc w:val="left"/>
        <w:rPr>
          <w:rFonts w:ascii="黑体" w:eastAsia="黑体" w:hint="eastAsia"/>
        </w:rPr>
      </w:pPr>
      <w:bookmarkStart w:name="_TOC_250012" w:id="15"/>
      <w:bookmarkEnd w:id="15"/>
      <w:r>
        <w:rPr>
          <w:rFonts w:ascii="黑体" w:eastAsia="黑体" w:hint="eastAsia"/>
        </w:rPr>
        <w:t>1、预通知</w:t>
      </w:r>
    </w:p>
    <w:p>
      <w:pPr>
        <w:spacing w:line="583" w:lineRule="exact" w:before="323"/>
        <w:ind w:left="0" w:right="456" w:firstLine="0"/>
        <w:jc w:val="center"/>
        <w:rPr>
          <w:rFonts w:ascii="方正小标宋简体" w:eastAsia="方正小标宋简体" w:hint="eastAsia"/>
          <w:b/>
          <w:sz w:val="36"/>
        </w:rPr>
      </w:pPr>
      <w:r>
        <w:rPr>
          <w:rFonts w:ascii="方正小标宋简体" w:eastAsia="方正小标宋简体" w:hint="eastAsia"/>
          <w:b/>
          <w:sz w:val="36"/>
        </w:rPr>
        <w:t>关于邀请参加第 235 期双清论坛</w:t>
      </w:r>
    </w:p>
    <w:p>
      <w:pPr>
        <w:spacing w:line="583" w:lineRule="exact" w:before="0"/>
        <w:ind w:left="0" w:right="456" w:firstLine="0"/>
        <w:jc w:val="center"/>
        <w:rPr>
          <w:rFonts w:ascii="方正小标宋简体" w:hAnsi="方正小标宋简体" w:eastAsia="方正小标宋简体" w:hint="eastAsia"/>
          <w:b/>
          <w:sz w:val="36"/>
        </w:rPr>
      </w:pPr>
      <w:r>
        <w:rPr>
          <w:rFonts w:ascii="方正小标宋简体" w:hAnsi="方正小标宋简体" w:eastAsia="方正小标宋简体" w:hint="eastAsia"/>
          <w:b/>
          <w:sz w:val="36"/>
        </w:rPr>
        <w:t>“科学基金深化改革的政策与举措”的函</w:t>
      </w:r>
    </w:p>
    <w:p>
      <w:pPr>
        <w:pStyle w:val="BodyText"/>
        <w:rPr>
          <w:rFonts w:ascii="方正小标宋简体"/>
          <w:b/>
          <w:sz w:val="20"/>
        </w:rPr>
      </w:pPr>
    </w:p>
    <w:p>
      <w:pPr>
        <w:pStyle w:val="BodyText"/>
        <w:spacing w:before="7"/>
        <w:rPr>
          <w:rFonts w:ascii="方正小标宋简体"/>
          <w:b/>
          <w:sz w:val="18"/>
        </w:rPr>
      </w:pPr>
    </w:p>
    <w:p>
      <w:pPr>
        <w:tabs>
          <w:tab w:pos="1901" w:val="left" w:leader="none"/>
        </w:tabs>
        <w:spacing w:line="362" w:lineRule="auto" w:before="51"/>
        <w:ind w:left="1421" w:right="7458" w:hanging="641"/>
        <w:jc w:val="left"/>
        <w:rPr>
          <w:sz w:val="32"/>
        </w:rPr>
      </w:pPr>
      <w:r>
        <w:rPr>
          <w:rFonts w:ascii="Times New Roman" w:eastAsia="Times New Roman"/>
          <w:b/>
          <w:w w:val="99"/>
          <w:sz w:val="32"/>
          <w:u w:val="single"/>
        </w:rPr>
        <w:t> </w:t>
      </w:r>
      <w:r>
        <w:rPr>
          <w:rFonts w:ascii="Times New Roman" w:eastAsia="Times New Roman"/>
          <w:b/>
          <w:sz w:val="32"/>
          <w:u w:val="single"/>
        </w:rPr>
        <w:tab/>
        <w:tab/>
      </w:r>
      <w:r>
        <w:rPr>
          <w:rFonts w:ascii="等线" w:eastAsia="等线" w:hint="eastAsia"/>
          <w:b/>
          <w:spacing w:val="-5"/>
          <w:sz w:val="32"/>
        </w:rPr>
        <w:t>教授： </w:t>
      </w:r>
      <w:r>
        <w:rPr>
          <w:sz w:val="32"/>
        </w:rPr>
        <w:t>您好！</w:t>
      </w:r>
    </w:p>
    <w:p>
      <w:pPr>
        <w:pStyle w:val="Heading7"/>
        <w:spacing w:line="302" w:lineRule="auto" w:before="67"/>
        <w:ind w:right="1236" w:firstLine="640"/>
        <w:jc w:val="both"/>
      </w:pPr>
      <w:r>
        <w:rPr>
          <w:spacing w:val="-3"/>
        </w:rPr>
        <w:t>国家自然科学基金委员会政策局、计划局、管理科学部</w:t>
      </w:r>
      <w:r>
        <w:rPr>
          <w:spacing w:val="-9"/>
        </w:rPr>
        <w:t>和人事局定于 </w:t>
      </w:r>
      <w:r>
        <w:rPr/>
        <w:t>2019</w:t>
      </w:r>
      <w:r>
        <w:rPr>
          <w:spacing w:val="-42"/>
        </w:rPr>
        <w:t> 年 </w:t>
      </w:r>
      <w:r>
        <w:rPr/>
        <w:t>5</w:t>
      </w:r>
      <w:r>
        <w:rPr>
          <w:spacing w:val="-42"/>
        </w:rPr>
        <w:t> 月 </w:t>
      </w:r>
      <w:r>
        <w:rPr/>
        <w:t>23</w:t>
      </w:r>
      <w:r>
        <w:rPr>
          <w:spacing w:val="-32"/>
        </w:rPr>
        <w:t> 日至 </w:t>
      </w:r>
      <w:r>
        <w:rPr/>
        <w:t>24</w:t>
      </w:r>
      <w:r>
        <w:rPr>
          <w:spacing w:val="-9"/>
        </w:rPr>
        <w:t> 日在北京联合举办第</w:t>
      </w:r>
    </w:p>
    <w:p>
      <w:pPr>
        <w:spacing w:line="304" w:lineRule="auto" w:before="6"/>
        <w:ind w:left="780" w:right="1240" w:firstLine="0"/>
        <w:jc w:val="both"/>
        <w:rPr>
          <w:sz w:val="32"/>
        </w:rPr>
      </w:pPr>
      <w:r>
        <w:rPr>
          <w:sz w:val="32"/>
        </w:rPr>
        <w:t>235</w:t>
      </w:r>
      <w:r>
        <w:rPr>
          <w:spacing w:val="9"/>
          <w:sz w:val="32"/>
        </w:rPr>
        <w:t> 期双清论坛，主题为“科学基金深化改革的政策与举</w:t>
      </w:r>
      <w:r>
        <w:rPr>
          <w:spacing w:val="-3"/>
          <w:sz w:val="32"/>
        </w:rPr>
        <w:t>措”，特邀请您参加并作报告。您与会期间的食宿费由会议</w:t>
      </w:r>
      <w:r>
        <w:rPr>
          <w:sz w:val="32"/>
        </w:rPr>
        <w:t>负担，其它费用请自理。</w:t>
      </w:r>
    </w:p>
    <w:p>
      <w:pPr>
        <w:spacing w:line="350" w:lineRule="auto" w:before="63"/>
        <w:ind w:left="780" w:right="1237" w:firstLine="640"/>
        <w:jc w:val="both"/>
        <w:rPr>
          <w:sz w:val="32"/>
        </w:rPr>
      </w:pPr>
      <w:r>
        <w:rPr>
          <w:spacing w:val="13"/>
          <w:w w:val="95"/>
          <w:sz w:val="32"/>
        </w:rPr>
        <w:t>“双清论坛”是国家自然科学基金委员会组织的高层 </w:t>
      </w:r>
      <w:r>
        <w:rPr>
          <w:spacing w:val="-1"/>
          <w:sz w:val="32"/>
        </w:rPr>
        <w:t>次学术性战略研讨会议。本次论坛立足国家自然科学基金委</w:t>
      </w:r>
      <w:r>
        <w:rPr>
          <w:spacing w:val="-2"/>
          <w:sz w:val="32"/>
        </w:rPr>
        <w:t>员会党组关于深化科学基金改革的重大决策部署，重点围绕</w:t>
      </w:r>
      <w:r>
        <w:rPr>
          <w:spacing w:val="-3"/>
          <w:sz w:val="32"/>
        </w:rPr>
        <w:t>“明确资助导向，完善评审机制，优化学科布局”三大核心</w:t>
      </w:r>
      <w:r>
        <w:rPr>
          <w:spacing w:val="-4"/>
          <w:sz w:val="32"/>
        </w:rPr>
        <w:t>改革任务，探讨进一步深化科学基金改革的具体政策建议和</w:t>
      </w:r>
      <w:r>
        <w:rPr>
          <w:spacing w:val="-7"/>
          <w:sz w:val="32"/>
        </w:rPr>
        <w:t>对策，为未来 </w:t>
      </w:r>
      <w:r>
        <w:rPr>
          <w:sz w:val="32"/>
        </w:rPr>
        <w:t>5</w:t>
      </w:r>
      <w:r>
        <w:rPr>
          <w:spacing w:val="-30"/>
          <w:sz w:val="32"/>
        </w:rPr>
        <w:t> 到 </w:t>
      </w:r>
      <w:r>
        <w:rPr>
          <w:sz w:val="32"/>
        </w:rPr>
        <w:t>10</w:t>
      </w:r>
      <w:r>
        <w:rPr>
          <w:spacing w:val="-8"/>
          <w:sz w:val="32"/>
        </w:rPr>
        <w:t> 年建成理念先进、制度规范、公正高</w:t>
      </w:r>
      <w:r>
        <w:rPr>
          <w:spacing w:val="-3"/>
          <w:sz w:val="32"/>
        </w:rPr>
        <w:t>效的新时代科学基金体系，打造“原创导向突出、评审机制</w:t>
      </w:r>
      <w:r>
        <w:rPr>
          <w:spacing w:val="-4"/>
          <w:sz w:val="32"/>
        </w:rPr>
        <w:t>先进、学科布局优化、前沿需求统一、交叉特征明显、开放</w:t>
      </w:r>
      <w:r>
        <w:rPr>
          <w:spacing w:val="-3"/>
          <w:sz w:val="32"/>
        </w:rPr>
        <w:t>合作深化”的卓越科学资助机构，增强源头创新能力，夯实世界科技强国建设的根基作出积极贡献。</w:t>
      </w:r>
    </w:p>
    <w:p>
      <w:pPr>
        <w:spacing w:line="350" w:lineRule="auto" w:before="15"/>
        <w:ind w:left="780" w:right="1195" w:firstLine="640"/>
        <w:jc w:val="left"/>
        <w:rPr>
          <w:sz w:val="32"/>
        </w:rPr>
      </w:pPr>
      <w:r>
        <w:rPr>
          <w:sz w:val="32"/>
        </w:rPr>
        <w:t>论坛拟采用报告和专家研讨相结合，力求凝聚共识，探</w:t>
      </w:r>
      <w:r>
        <w:rPr>
          <w:w w:val="95"/>
          <w:sz w:val="32"/>
        </w:rPr>
        <w:t>讨丰富和完善新时期科学基金深化改革的政策及具体措</w:t>
      </w:r>
    </w:p>
    <w:p>
      <w:pPr>
        <w:spacing w:after="0" w:line="350" w:lineRule="auto"/>
        <w:jc w:val="left"/>
        <w:rPr>
          <w:sz w:val="32"/>
        </w:rPr>
        <w:sectPr>
          <w:pgSz w:w="11910" w:h="16840"/>
          <w:pgMar w:header="0" w:footer="1035" w:top="1480" w:bottom="1300" w:left="1020" w:right="560"/>
        </w:sectPr>
      </w:pPr>
    </w:p>
    <w:p>
      <w:pPr>
        <w:spacing w:before="42"/>
        <w:ind w:left="780" w:right="0" w:firstLine="0"/>
        <w:jc w:val="left"/>
        <w:rPr>
          <w:sz w:val="32"/>
        </w:rPr>
      </w:pPr>
      <w:r>
        <w:rPr>
          <w:sz w:val="32"/>
        </w:rPr>
        <w:t>施，提出有针对性、创新性的意见或建议。报告时间为 15</w:t>
      </w:r>
    </w:p>
    <w:p>
      <w:pPr>
        <w:spacing w:line="304" w:lineRule="auto" w:before="190"/>
        <w:ind w:left="1366" w:right="1160" w:hanging="586"/>
        <w:jc w:val="left"/>
        <w:rPr>
          <w:rFonts w:ascii="等线" w:eastAsia="等线" w:hint="eastAsia"/>
          <w:b/>
          <w:sz w:val="32"/>
        </w:rPr>
      </w:pPr>
      <w:r>
        <w:rPr>
          <w:spacing w:val="-17"/>
          <w:sz w:val="32"/>
        </w:rPr>
        <w:t>分钟，研讨期间每人每次发言不超过 </w:t>
      </w:r>
      <w:r>
        <w:rPr>
          <w:sz w:val="32"/>
        </w:rPr>
        <w:t>5</w:t>
      </w:r>
      <w:r>
        <w:rPr>
          <w:spacing w:val="-24"/>
          <w:sz w:val="32"/>
        </w:rPr>
        <w:t> 分钟，可以多次发言。</w:t>
      </w:r>
      <w:r>
        <w:rPr>
          <w:rFonts w:ascii="等线" w:eastAsia="等线" w:hint="eastAsia"/>
          <w:b/>
          <w:sz w:val="32"/>
        </w:rPr>
        <w:t>会议议题：</w:t>
      </w:r>
    </w:p>
    <w:p>
      <w:pPr>
        <w:pStyle w:val="ListParagraph"/>
        <w:numPr>
          <w:ilvl w:val="0"/>
          <w:numId w:val="4"/>
        </w:numPr>
        <w:tabs>
          <w:tab w:pos="1743" w:val="left" w:leader="none"/>
        </w:tabs>
        <w:spacing w:line="333" w:lineRule="exact" w:before="0" w:after="0"/>
        <w:ind w:left="1742" w:right="0" w:hanging="322"/>
        <w:jc w:val="left"/>
        <w:rPr>
          <w:rFonts w:ascii="宋体" w:eastAsia="宋体" w:hint="eastAsia"/>
          <w:sz w:val="32"/>
        </w:rPr>
      </w:pPr>
      <w:r>
        <w:rPr>
          <w:rFonts w:ascii="宋体" w:eastAsia="宋体" w:hint="eastAsia"/>
          <w:w w:val="95"/>
          <w:sz w:val="32"/>
        </w:rPr>
        <w:t>新时代基础研究发展趋势和资助管理改革需求；</w:t>
      </w:r>
    </w:p>
    <w:p>
      <w:pPr>
        <w:pStyle w:val="ListParagraph"/>
        <w:numPr>
          <w:ilvl w:val="0"/>
          <w:numId w:val="4"/>
        </w:numPr>
        <w:tabs>
          <w:tab w:pos="1743" w:val="left" w:leader="none"/>
        </w:tabs>
        <w:spacing w:line="240" w:lineRule="auto" w:before="108" w:after="0"/>
        <w:ind w:left="1742" w:right="0" w:hanging="322"/>
        <w:jc w:val="left"/>
        <w:rPr>
          <w:rFonts w:ascii="宋体" w:eastAsia="宋体" w:hint="eastAsia"/>
          <w:sz w:val="32"/>
        </w:rPr>
      </w:pPr>
      <w:r>
        <w:rPr>
          <w:rFonts w:ascii="宋体" w:eastAsia="宋体" w:hint="eastAsia"/>
          <w:w w:val="95"/>
          <w:sz w:val="32"/>
        </w:rPr>
        <w:t>我国创新驱动发展背景下的基础研究资助导向；</w:t>
      </w:r>
    </w:p>
    <w:p>
      <w:pPr>
        <w:pStyle w:val="ListParagraph"/>
        <w:numPr>
          <w:ilvl w:val="0"/>
          <w:numId w:val="4"/>
        </w:numPr>
        <w:tabs>
          <w:tab w:pos="1743" w:val="left" w:leader="none"/>
        </w:tabs>
        <w:spacing w:line="240" w:lineRule="auto" w:before="111" w:after="0"/>
        <w:ind w:left="1742" w:right="0" w:hanging="322"/>
        <w:jc w:val="left"/>
        <w:rPr>
          <w:rFonts w:ascii="宋体" w:eastAsia="宋体" w:hint="eastAsia"/>
          <w:sz w:val="32"/>
        </w:rPr>
      </w:pPr>
      <w:r>
        <w:rPr>
          <w:rFonts w:ascii="宋体" w:eastAsia="宋体" w:hint="eastAsia"/>
          <w:sz w:val="32"/>
        </w:rPr>
        <w:t>多元资助格局下的基础研究绩效与管理；</w:t>
      </w:r>
    </w:p>
    <w:p>
      <w:pPr>
        <w:pStyle w:val="ListParagraph"/>
        <w:numPr>
          <w:ilvl w:val="0"/>
          <w:numId w:val="4"/>
        </w:numPr>
        <w:tabs>
          <w:tab w:pos="1743" w:val="left" w:leader="none"/>
        </w:tabs>
        <w:spacing w:line="240" w:lineRule="auto" w:before="111" w:after="0"/>
        <w:ind w:left="1742" w:right="0" w:hanging="322"/>
        <w:jc w:val="left"/>
        <w:rPr>
          <w:rFonts w:ascii="宋体" w:eastAsia="宋体" w:hint="eastAsia"/>
          <w:sz w:val="32"/>
        </w:rPr>
      </w:pPr>
      <w:r>
        <w:rPr>
          <w:rFonts w:ascii="宋体" w:eastAsia="宋体" w:hint="eastAsia"/>
          <w:sz w:val="32"/>
        </w:rPr>
        <w:t>促进学科交叉与优化学科布局的政策与管理；</w:t>
      </w:r>
    </w:p>
    <w:p>
      <w:pPr>
        <w:pStyle w:val="ListParagraph"/>
        <w:numPr>
          <w:ilvl w:val="0"/>
          <w:numId w:val="4"/>
        </w:numPr>
        <w:tabs>
          <w:tab w:pos="1743" w:val="left" w:leader="none"/>
        </w:tabs>
        <w:spacing w:line="297" w:lineRule="auto" w:before="109" w:after="0"/>
        <w:ind w:left="1339" w:right="1236" w:firstLine="81"/>
        <w:jc w:val="left"/>
        <w:rPr>
          <w:rFonts w:ascii="宋体" w:eastAsia="宋体" w:hint="eastAsia"/>
          <w:sz w:val="32"/>
        </w:rPr>
      </w:pPr>
      <w:r>
        <w:rPr>
          <w:rFonts w:ascii="宋体" w:eastAsia="宋体" w:hint="eastAsia"/>
          <w:sz w:val="32"/>
        </w:rPr>
        <w:t>完善科学基金项目评审制度及机制的政策与管理。</w:t>
      </w:r>
      <w:r>
        <w:rPr>
          <w:rFonts w:ascii="等线" w:eastAsia="等线" w:hint="eastAsia"/>
          <w:b/>
          <w:spacing w:val="-6"/>
          <w:sz w:val="32"/>
        </w:rPr>
        <w:t>日程安排</w:t>
      </w:r>
      <w:r>
        <w:rPr>
          <w:rFonts w:ascii="宋体" w:eastAsia="宋体" w:hint="eastAsia"/>
          <w:spacing w:val="-12"/>
          <w:sz w:val="32"/>
        </w:rPr>
        <w:t>：5</w:t>
      </w:r>
      <w:r>
        <w:rPr>
          <w:rFonts w:ascii="宋体" w:eastAsia="宋体" w:hint="eastAsia"/>
          <w:spacing w:val="-54"/>
          <w:sz w:val="32"/>
        </w:rPr>
        <w:t> 月 </w:t>
      </w:r>
      <w:r>
        <w:rPr>
          <w:rFonts w:ascii="宋体" w:eastAsia="宋体" w:hint="eastAsia"/>
          <w:sz w:val="32"/>
        </w:rPr>
        <w:t>23</w:t>
      </w:r>
      <w:r>
        <w:rPr>
          <w:rFonts w:ascii="宋体" w:eastAsia="宋体" w:hint="eastAsia"/>
          <w:spacing w:val="-18"/>
          <w:sz w:val="32"/>
        </w:rPr>
        <w:t> 日大会报告；</w:t>
      </w:r>
      <w:r>
        <w:rPr>
          <w:rFonts w:ascii="宋体" w:eastAsia="宋体" w:hint="eastAsia"/>
          <w:spacing w:val="-9"/>
          <w:sz w:val="32"/>
        </w:rPr>
        <w:t>24</w:t>
      </w:r>
      <w:r>
        <w:rPr>
          <w:rFonts w:ascii="宋体" w:eastAsia="宋体" w:hint="eastAsia"/>
          <w:spacing w:val="-10"/>
          <w:sz w:val="32"/>
        </w:rPr>
        <w:t> 日上午集中研讨改革</w:t>
      </w:r>
    </w:p>
    <w:p>
      <w:pPr>
        <w:spacing w:line="346" w:lineRule="exact" w:before="0"/>
        <w:ind w:left="780" w:right="0" w:firstLine="0"/>
        <w:jc w:val="left"/>
        <w:rPr>
          <w:sz w:val="32"/>
        </w:rPr>
      </w:pPr>
      <w:r>
        <w:rPr>
          <w:sz w:val="32"/>
        </w:rPr>
        <w:t>政策与举措，凝练形成政策建议；24 日下午离会。</w:t>
      </w:r>
    </w:p>
    <w:p>
      <w:pPr>
        <w:spacing w:before="95"/>
        <w:ind w:left="1366" w:right="0" w:firstLine="0"/>
        <w:jc w:val="left"/>
        <w:rPr>
          <w:sz w:val="32"/>
        </w:rPr>
      </w:pPr>
      <w:r>
        <w:rPr>
          <w:rFonts w:ascii="等线" w:eastAsia="等线" w:hint="eastAsia"/>
          <w:b/>
          <w:sz w:val="32"/>
        </w:rPr>
        <w:t>会议时间</w:t>
      </w:r>
      <w:r>
        <w:rPr>
          <w:sz w:val="32"/>
        </w:rPr>
        <w:t>：2019</w:t>
      </w:r>
      <w:r>
        <w:rPr>
          <w:spacing w:val="-54"/>
          <w:sz w:val="32"/>
        </w:rPr>
        <w:t> 年 </w:t>
      </w:r>
      <w:r>
        <w:rPr>
          <w:sz w:val="32"/>
        </w:rPr>
        <w:t>5</w:t>
      </w:r>
      <w:r>
        <w:rPr>
          <w:spacing w:val="-53"/>
          <w:sz w:val="32"/>
        </w:rPr>
        <w:t> 月 </w:t>
      </w:r>
      <w:r>
        <w:rPr>
          <w:sz w:val="32"/>
        </w:rPr>
        <w:t>23</w:t>
      </w:r>
      <w:r>
        <w:rPr>
          <w:spacing w:val="-41"/>
          <w:sz w:val="32"/>
        </w:rPr>
        <w:t> 日至 </w:t>
      </w:r>
      <w:r>
        <w:rPr>
          <w:sz w:val="32"/>
        </w:rPr>
        <w:t>24</w:t>
      </w:r>
      <w:r>
        <w:rPr>
          <w:spacing w:val="-40"/>
          <w:sz w:val="32"/>
        </w:rPr>
        <w:t> 日</w:t>
      </w:r>
    </w:p>
    <w:p>
      <w:pPr>
        <w:spacing w:before="39"/>
        <w:ind w:left="1366" w:right="0" w:firstLine="0"/>
        <w:jc w:val="left"/>
        <w:rPr>
          <w:sz w:val="32"/>
        </w:rPr>
      </w:pPr>
      <w:r>
        <w:rPr>
          <w:rFonts w:ascii="等线" w:eastAsia="等线" w:hint="eastAsia"/>
          <w:b/>
          <w:sz w:val="32"/>
        </w:rPr>
        <w:t>会议地点</w:t>
      </w:r>
      <w:r>
        <w:rPr>
          <w:sz w:val="32"/>
        </w:rPr>
        <w:t>：北京会议中心 6 号楼第一会议室</w:t>
      </w:r>
    </w:p>
    <w:p>
      <w:pPr>
        <w:spacing w:before="39"/>
        <w:ind w:left="1387" w:right="0" w:firstLine="0"/>
        <w:jc w:val="left"/>
        <w:rPr>
          <w:sz w:val="32"/>
        </w:rPr>
      </w:pPr>
      <w:r>
        <w:rPr>
          <w:rFonts w:ascii="等线" w:eastAsia="等线" w:hint="eastAsia"/>
          <w:b/>
          <w:sz w:val="32"/>
        </w:rPr>
        <w:t>报到时间</w:t>
      </w:r>
      <w:r>
        <w:rPr>
          <w:sz w:val="32"/>
        </w:rPr>
        <w:t>：2019</w:t>
      </w:r>
      <w:r>
        <w:rPr>
          <w:spacing w:val="-54"/>
          <w:sz w:val="32"/>
        </w:rPr>
        <w:t> 年 </w:t>
      </w:r>
      <w:r>
        <w:rPr>
          <w:sz w:val="32"/>
        </w:rPr>
        <w:t>5</w:t>
      </w:r>
      <w:r>
        <w:rPr>
          <w:spacing w:val="-53"/>
          <w:sz w:val="32"/>
        </w:rPr>
        <w:t> 月 </w:t>
      </w:r>
      <w:r>
        <w:rPr>
          <w:sz w:val="32"/>
        </w:rPr>
        <w:t>22</w:t>
      </w:r>
      <w:r>
        <w:rPr>
          <w:spacing w:val="-21"/>
          <w:sz w:val="32"/>
        </w:rPr>
        <w:t> 日下午</w:t>
      </w:r>
    </w:p>
    <w:p>
      <w:pPr>
        <w:spacing w:line="266" w:lineRule="auto" w:before="36"/>
        <w:ind w:left="2701" w:right="1381" w:hanging="1314"/>
        <w:jc w:val="both"/>
        <w:rPr>
          <w:sz w:val="32"/>
        </w:rPr>
      </w:pPr>
      <w:r>
        <w:rPr>
          <w:rFonts w:ascii="等线" w:eastAsia="等线" w:hint="eastAsia"/>
          <w:b/>
          <w:sz w:val="32"/>
        </w:rPr>
        <w:t>联系人</w:t>
      </w:r>
      <w:r>
        <w:rPr>
          <w:sz w:val="32"/>
        </w:rPr>
        <w:t>：张兴伟（政策局）</w:t>
      </w:r>
      <w:r>
        <w:rPr>
          <w:spacing w:val="29"/>
          <w:sz w:val="32"/>
        </w:rPr>
        <w:t>  电话：</w:t>
      </w:r>
      <w:r>
        <w:rPr>
          <w:sz w:val="32"/>
        </w:rPr>
        <w:t>010-62323912 刘益宏（计划局）</w:t>
      </w:r>
      <w:r>
        <w:rPr>
          <w:spacing w:val="21"/>
          <w:sz w:val="32"/>
        </w:rPr>
        <w:t>    电话：</w:t>
      </w:r>
      <w:r>
        <w:rPr>
          <w:sz w:val="32"/>
        </w:rPr>
        <w:t>010-62328287</w:t>
      </w:r>
    </w:p>
    <w:p>
      <w:pPr>
        <w:spacing w:line="304" w:lineRule="auto" w:before="65"/>
        <w:ind w:left="2701" w:right="1381" w:firstLine="0"/>
        <w:jc w:val="both"/>
        <w:rPr>
          <w:sz w:val="32"/>
        </w:rPr>
      </w:pPr>
      <w:r>
        <w:rPr>
          <w:spacing w:val="18"/>
          <w:sz w:val="32"/>
        </w:rPr>
        <w:t>李 璐 (人事局)   电话：</w:t>
      </w:r>
      <w:r>
        <w:rPr>
          <w:sz w:val="32"/>
        </w:rPr>
        <w:t>010-62326459 </w:t>
      </w:r>
      <w:r>
        <w:rPr>
          <w:spacing w:val="50"/>
          <w:sz w:val="32"/>
        </w:rPr>
        <w:t>吴 刚</w:t>
      </w:r>
      <w:r>
        <w:rPr>
          <w:sz w:val="32"/>
        </w:rPr>
        <w:t>（管理科学部）</w:t>
      </w:r>
      <w:r>
        <w:rPr>
          <w:spacing w:val="-2"/>
          <w:sz w:val="32"/>
        </w:rPr>
        <w:t> 电话：</w:t>
      </w:r>
      <w:r>
        <w:rPr>
          <w:sz w:val="32"/>
        </w:rPr>
        <w:t>010-62327152 任之光（管理科学部）</w:t>
      </w:r>
      <w:r>
        <w:rPr>
          <w:spacing w:val="-4"/>
          <w:sz w:val="32"/>
        </w:rPr>
        <w:t> 电话：</w:t>
      </w:r>
      <w:r>
        <w:rPr>
          <w:sz w:val="32"/>
        </w:rPr>
        <w:t>010-62326972</w:t>
      </w:r>
    </w:p>
    <w:p>
      <w:pPr>
        <w:spacing w:line="466" w:lineRule="exact" w:before="0"/>
        <w:ind w:left="1370" w:right="0" w:firstLine="0"/>
        <w:jc w:val="left"/>
        <w:rPr>
          <w:rFonts w:ascii="Times New Roman" w:eastAsia="Times New Roman"/>
          <w:sz w:val="32"/>
        </w:rPr>
      </w:pPr>
      <w:r>
        <w:rPr>
          <w:rFonts w:ascii="等线" w:eastAsia="等线" w:hint="eastAsia"/>
          <w:b/>
          <w:sz w:val="32"/>
        </w:rPr>
        <w:t>联系电邮</w:t>
      </w:r>
      <w:r>
        <w:rPr>
          <w:sz w:val="32"/>
        </w:rPr>
        <w:t>：</w:t>
      </w:r>
      <w:hyperlink r:id="rId7">
        <w:r>
          <w:rPr>
            <w:rFonts w:ascii="Times New Roman" w:eastAsia="Times New Roman"/>
            <w:sz w:val="32"/>
          </w:rPr>
          <w:t>zhcj@nsfc.gov.cn</w:t>
        </w:r>
      </w:hyperlink>
    </w:p>
    <w:p>
      <w:pPr>
        <w:spacing w:before="50"/>
        <w:ind w:left="0" w:right="1237" w:firstLine="0"/>
        <w:jc w:val="right"/>
        <w:rPr>
          <w:sz w:val="32"/>
        </w:rPr>
      </w:pPr>
      <w:r>
        <w:rPr>
          <w:spacing w:val="-28"/>
          <w:sz w:val="32"/>
        </w:rPr>
        <w:t>请于 </w:t>
      </w:r>
      <w:r>
        <w:rPr>
          <w:sz w:val="32"/>
        </w:rPr>
        <w:t>2019</w:t>
      </w:r>
      <w:r>
        <w:rPr>
          <w:spacing w:val="-55"/>
          <w:sz w:val="32"/>
        </w:rPr>
        <w:t> 年 </w:t>
      </w:r>
      <w:r>
        <w:rPr>
          <w:sz w:val="32"/>
        </w:rPr>
        <w:t>5</w:t>
      </w:r>
      <w:r>
        <w:rPr>
          <w:spacing w:val="-55"/>
          <w:sz w:val="32"/>
        </w:rPr>
        <w:t> 月 </w:t>
      </w:r>
      <w:r>
        <w:rPr>
          <w:sz w:val="32"/>
        </w:rPr>
        <w:t>5</w:t>
      </w:r>
      <w:r>
        <w:rPr>
          <w:spacing w:val="-14"/>
          <w:sz w:val="32"/>
        </w:rPr>
        <w:t> 日前，确认是否参加会议，并将回执</w:t>
      </w:r>
    </w:p>
    <w:p>
      <w:pPr>
        <w:spacing w:before="111"/>
        <w:ind w:left="0" w:right="1236" w:firstLine="0"/>
        <w:jc w:val="right"/>
        <w:rPr>
          <w:sz w:val="32"/>
        </w:rPr>
      </w:pPr>
      <w:r>
        <w:rPr>
          <w:spacing w:val="-3"/>
          <w:sz w:val="32"/>
        </w:rPr>
        <w:t>发至上述电邮信箱；如确认参会，请于 </w:t>
      </w:r>
      <w:r>
        <w:rPr>
          <w:sz w:val="32"/>
        </w:rPr>
        <w:t>5</w:t>
      </w:r>
      <w:r>
        <w:rPr>
          <w:spacing w:val="-30"/>
          <w:sz w:val="32"/>
        </w:rPr>
        <w:t> 月 </w:t>
      </w:r>
      <w:r>
        <w:rPr>
          <w:sz w:val="32"/>
        </w:rPr>
        <w:t>12</w:t>
      </w:r>
      <w:r>
        <w:rPr>
          <w:spacing w:val="-9"/>
          <w:sz w:val="32"/>
        </w:rPr>
        <w:t> 日前将您的</w:t>
      </w:r>
    </w:p>
    <w:p>
      <w:pPr>
        <w:spacing w:line="304" w:lineRule="auto" w:before="111"/>
        <w:ind w:left="780" w:right="1239" w:firstLine="0"/>
        <w:jc w:val="both"/>
        <w:rPr>
          <w:sz w:val="32"/>
        </w:rPr>
      </w:pPr>
      <w:r>
        <w:rPr>
          <w:spacing w:val="-2"/>
          <w:sz w:val="32"/>
        </w:rPr>
        <w:t>报告或发言摘要</w:t>
      </w:r>
      <w:r>
        <w:rPr>
          <w:sz w:val="32"/>
        </w:rPr>
        <w:t>（</w:t>
      </w:r>
      <w:r>
        <w:rPr>
          <w:spacing w:val="-27"/>
          <w:sz w:val="32"/>
        </w:rPr>
        <w:t>字数 </w:t>
      </w:r>
      <w:r>
        <w:rPr>
          <w:sz w:val="32"/>
        </w:rPr>
        <w:t>800</w:t>
      </w:r>
      <w:r>
        <w:rPr>
          <w:spacing w:val="-21"/>
          <w:sz w:val="32"/>
        </w:rPr>
        <w:t> 字以内</w:t>
      </w:r>
      <w:r>
        <w:rPr>
          <w:spacing w:val="-8"/>
          <w:sz w:val="32"/>
        </w:rPr>
        <w:t>）</w:t>
      </w:r>
      <w:r>
        <w:rPr>
          <w:spacing w:val="-2"/>
          <w:sz w:val="32"/>
        </w:rPr>
        <w:t>和主要供参考文献发至</w:t>
      </w:r>
      <w:r>
        <w:rPr>
          <w:spacing w:val="3"/>
          <w:w w:val="95"/>
          <w:sz w:val="32"/>
        </w:rPr>
        <w:t>上述电邮信箱。(为增进专家之间的深入了解及广泛交流， </w:t>
      </w:r>
      <w:r>
        <w:rPr>
          <w:sz w:val="32"/>
        </w:rPr>
        <w:t>邀请每位专家提供一份摘要，摘要模板请见附件。)</w:t>
      </w:r>
    </w:p>
    <w:p>
      <w:pPr>
        <w:spacing w:after="0" w:line="304" w:lineRule="auto"/>
        <w:jc w:val="both"/>
        <w:rPr>
          <w:sz w:val="32"/>
        </w:rPr>
        <w:sectPr>
          <w:pgSz w:w="11910" w:h="16840"/>
          <w:pgMar w:header="0" w:footer="1035" w:top="1540" w:bottom="1300" w:left="1020" w:right="560"/>
        </w:sectPr>
      </w:pPr>
    </w:p>
    <w:p>
      <w:pPr>
        <w:pStyle w:val="BodyText"/>
        <w:rPr>
          <w:sz w:val="20"/>
        </w:rPr>
      </w:pPr>
    </w:p>
    <w:p>
      <w:pPr>
        <w:spacing w:before="201"/>
        <w:ind w:left="1387" w:right="0" w:firstLine="0"/>
        <w:jc w:val="left"/>
        <w:rPr>
          <w:sz w:val="32"/>
        </w:rPr>
      </w:pPr>
      <w:r>
        <w:rPr>
          <w:sz w:val="32"/>
        </w:rPr>
        <w:t>附件：1.双清论坛回执</w:t>
      </w:r>
    </w:p>
    <w:p>
      <w:pPr>
        <w:pStyle w:val="ListParagraph"/>
        <w:numPr>
          <w:ilvl w:val="1"/>
          <w:numId w:val="4"/>
        </w:numPr>
        <w:tabs>
          <w:tab w:pos="2670" w:val="left" w:leader="none"/>
        </w:tabs>
        <w:spacing w:line="240" w:lineRule="auto" w:before="109" w:after="0"/>
        <w:ind w:left="2669" w:right="0" w:hanging="320"/>
        <w:jc w:val="left"/>
        <w:rPr>
          <w:rFonts w:ascii="宋体" w:eastAsia="宋体" w:hint="eastAsia"/>
          <w:sz w:val="32"/>
        </w:rPr>
      </w:pPr>
      <w:r>
        <w:rPr>
          <w:rFonts w:ascii="宋体" w:eastAsia="宋体" w:hint="eastAsia"/>
          <w:sz w:val="32"/>
        </w:rPr>
        <w:t>摘要模版与摘要样本</w:t>
      </w:r>
    </w:p>
    <w:p>
      <w:pPr>
        <w:pStyle w:val="ListParagraph"/>
        <w:numPr>
          <w:ilvl w:val="1"/>
          <w:numId w:val="4"/>
        </w:numPr>
        <w:tabs>
          <w:tab w:pos="2669" w:val="left" w:leader="none"/>
        </w:tabs>
        <w:spacing w:line="240" w:lineRule="auto" w:before="111" w:after="0"/>
        <w:ind w:left="2668" w:right="0" w:hanging="319"/>
        <w:jc w:val="left"/>
        <w:rPr>
          <w:rFonts w:ascii="宋体" w:eastAsia="宋体" w:hint="eastAsia"/>
          <w:sz w:val="32"/>
        </w:rPr>
      </w:pPr>
      <w:r>
        <w:rPr>
          <w:rFonts w:ascii="宋体" w:eastAsia="宋体" w:hint="eastAsia"/>
          <w:sz w:val="32"/>
        </w:rPr>
        <w:t>PPT</w:t>
      </w:r>
      <w:r>
        <w:rPr>
          <w:rFonts w:ascii="宋体" w:eastAsia="宋体" w:hint="eastAsia"/>
          <w:spacing w:val="-17"/>
          <w:sz w:val="32"/>
        </w:rPr>
        <w:t> 内容要求</w:t>
      </w:r>
    </w:p>
    <w:p>
      <w:pPr>
        <w:pStyle w:val="BodyText"/>
        <w:rPr>
          <w:sz w:val="32"/>
        </w:rPr>
      </w:pPr>
    </w:p>
    <w:p>
      <w:pPr>
        <w:pStyle w:val="BodyText"/>
        <w:rPr>
          <w:sz w:val="32"/>
        </w:rPr>
      </w:pPr>
    </w:p>
    <w:p>
      <w:pPr>
        <w:pStyle w:val="BodyText"/>
        <w:rPr>
          <w:sz w:val="32"/>
        </w:rPr>
      </w:pPr>
    </w:p>
    <w:p>
      <w:pPr>
        <w:pStyle w:val="BodyText"/>
        <w:rPr>
          <w:sz w:val="37"/>
        </w:rPr>
      </w:pPr>
    </w:p>
    <w:p>
      <w:pPr>
        <w:spacing w:before="0"/>
        <w:ind w:left="4462" w:right="0" w:firstLine="0"/>
        <w:jc w:val="left"/>
        <w:rPr>
          <w:sz w:val="32"/>
        </w:rPr>
      </w:pPr>
      <w:r>
        <w:rPr>
          <w:sz w:val="32"/>
        </w:rPr>
        <w:t>国家自然科学基金委员会</w:t>
      </w:r>
    </w:p>
    <w:p>
      <w:pPr>
        <w:tabs>
          <w:tab w:pos="4460" w:val="left" w:leader="none"/>
          <w:tab w:pos="5900" w:val="left" w:leader="none"/>
          <w:tab w:pos="7182" w:val="left" w:leader="none"/>
        </w:tabs>
        <w:spacing w:before="150"/>
        <w:ind w:left="3020" w:right="0" w:firstLine="0"/>
        <w:jc w:val="left"/>
        <w:rPr>
          <w:sz w:val="32"/>
        </w:rPr>
      </w:pPr>
      <w:r>
        <w:rPr>
          <w:sz w:val="32"/>
        </w:rPr>
        <w:t>政策局</w:t>
        <w:tab/>
        <w:t>计划局</w:t>
        <w:tab/>
        <w:t>人事局</w:t>
        <w:tab/>
        <w:t>管理科学部</w:t>
      </w:r>
    </w:p>
    <w:p>
      <w:pPr>
        <w:spacing w:before="149"/>
        <w:ind w:left="4949" w:right="0" w:firstLine="0"/>
        <w:jc w:val="left"/>
        <w:rPr>
          <w:sz w:val="32"/>
        </w:rPr>
      </w:pPr>
      <w:r>
        <w:rPr>
          <w:sz w:val="32"/>
        </w:rPr>
        <w:t>2019</w:t>
      </w:r>
      <w:r>
        <w:rPr>
          <w:spacing w:val="-55"/>
          <w:sz w:val="32"/>
        </w:rPr>
        <w:t> 年 </w:t>
      </w:r>
      <w:r>
        <w:rPr>
          <w:sz w:val="32"/>
        </w:rPr>
        <w:t>4</w:t>
      </w:r>
      <w:r>
        <w:rPr>
          <w:spacing w:val="-53"/>
          <w:sz w:val="32"/>
        </w:rPr>
        <w:t> 月 </w:t>
      </w:r>
      <w:r>
        <w:rPr>
          <w:sz w:val="32"/>
        </w:rPr>
        <w:t>26</w:t>
      </w:r>
      <w:r>
        <w:rPr>
          <w:spacing w:val="-41"/>
          <w:sz w:val="32"/>
        </w:rPr>
        <w:t> 日</w:t>
      </w:r>
    </w:p>
    <w:p>
      <w:pPr>
        <w:spacing w:after="0"/>
        <w:jc w:val="left"/>
        <w:rPr>
          <w:sz w:val="32"/>
        </w:rPr>
        <w:sectPr>
          <w:pgSz w:w="11910" w:h="16840"/>
          <w:pgMar w:header="0" w:footer="1035" w:top="1580" w:bottom="1300" w:left="1020" w:right="560"/>
        </w:sectPr>
      </w:pPr>
    </w:p>
    <w:p>
      <w:pPr>
        <w:spacing w:before="27"/>
        <w:ind w:left="780" w:right="0" w:firstLine="0"/>
        <w:jc w:val="left"/>
        <w:rPr>
          <w:rFonts w:ascii="黑体" w:eastAsia="黑体" w:hint="eastAsia"/>
          <w:sz w:val="32"/>
        </w:rPr>
      </w:pPr>
      <w:r>
        <w:rPr>
          <w:rFonts w:ascii="黑体" w:eastAsia="黑体" w:hint="eastAsia"/>
          <w:sz w:val="32"/>
        </w:rPr>
        <w:t>附件 1：双清论坛回执</w:t>
      </w:r>
    </w:p>
    <w:p>
      <w:pPr>
        <w:pStyle w:val="BodyText"/>
        <w:rPr>
          <w:rFonts w:ascii="黑体"/>
          <w:sz w:val="32"/>
        </w:rPr>
      </w:pPr>
    </w:p>
    <w:p>
      <w:pPr>
        <w:pStyle w:val="BodyText"/>
        <w:spacing w:before="2"/>
        <w:rPr>
          <w:rFonts w:ascii="黑体"/>
          <w:sz w:val="27"/>
        </w:rPr>
      </w:pPr>
    </w:p>
    <w:p>
      <w:pPr>
        <w:spacing w:before="0"/>
        <w:ind w:left="0" w:right="456" w:firstLine="0"/>
        <w:jc w:val="center"/>
        <w:rPr>
          <w:rFonts w:ascii="华文中宋" w:eastAsia="华文中宋" w:hint="eastAsia"/>
          <w:b/>
          <w:sz w:val="36"/>
        </w:rPr>
      </w:pPr>
      <w:r>
        <w:rPr>
          <w:rFonts w:ascii="华文中宋" w:eastAsia="华文中宋" w:hint="eastAsia"/>
          <w:b/>
          <w:sz w:val="36"/>
        </w:rPr>
        <w:t>第 </w:t>
      </w:r>
      <w:r>
        <w:rPr>
          <w:rFonts w:ascii="Times New Roman" w:eastAsia="Times New Roman"/>
          <w:b/>
          <w:sz w:val="36"/>
        </w:rPr>
        <w:t>235 </w:t>
      </w:r>
      <w:r>
        <w:rPr>
          <w:rFonts w:ascii="华文中宋" w:eastAsia="华文中宋" w:hint="eastAsia"/>
          <w:b/>
          <w:sz w:val="36"/>
        </w:rPr>
        <w:t>期双清论坛</w:t>
      </w:r>
    </w:p>
    <w:p>
      <w:pPr>
        <w:spacing w:before="53"/>
        <w:ind w:left="0" w:right="456" w:firstLine="0"/>
        <w:jc w:val="center"/>
        <w:rPr>
          <w:rFonts w:ascii="Times New Roman" w:hAnsi="Times New Roman" w:eastAsia="Times New Roman"/>
          <w:b/>
          <w:sz w:val="36"/>
        </w:rPr>
      </w:pPr>
      <w:r>
        <w:rPr>
          <w:rFonts w:ascii="Times New Roman" w:hAnsi="Times New Roman" w:eastAsia="Times New Roman"/>
          <w:b/>
          <w:sz w:val="36"/>
        </w:rPr>
        <w:t>“</w:t>
      </w:r>
      <w:r>
        <w:rPr>
          <w:rFonts w:ascii="华文中宋" w:hAnsi="华文中宋" w:eastAsia="华文中宋" w:hint="eastAsia"/>
          <w:b/>
          <w:sz w:val="36"/>
        </w:rPr>
        <w:t>科学基金深化改革的政策与举措</w:t>
      </w:r>
      <w:r>
        <w:rPr>
          <w:rFonts w:ascii="Times New Roman" w:hAnsi="Times New Roman" w:eastAsia="Times New Roman"/>
          <w:b/>
          <w:sz w:val="36"/>
        </w:rPr>
        <w:t>”</w:t>
      </w:r>
    </w:p>
    <w:p>
      <w:pPr>
        <w:spacing w:before="52"/>
        <w:ind w:left="0" w:right="456" w:firstLine="0"/>
        <w:jc w:val="center"/>
        <w:rPr>
          <w:rFonts w:ascii="华文中宋" w:eastAsia="华文中宋" w:hint="eastAsia"/>
          <w:b/>
          <w:sz w:val="36"/>
        </w:rPr>
      </w:pPr>
      <w:r>
        <w:rPr>
          <w:rFonts w:ascii="华文中宋" w:eastAsia="华文中宋" w:hint="eastAsia"/>
          <w:b/>
          <w:sz w:val="36"/>
        </w:rPr>
        <w:t>会议回执</w:t>
      </w:r>
    </w:p>
    <w:p>
      <w:pPr>
        <w:pStyle w:val="BodyText"/>
        <w:rPr>
          <w:rFonts w:ascii="华文中宋"/>
          <w:b/>
          <w:sz w:val="20"/>
        </w:rPr>
      </w:pPr>
    </w:p>
    <w:p>
      <w:pPr>
        <w:pStyle w:val="BodyText"/>
        <w:spacing w:before="1"/>
        <w:rPr>
          <w:rFonts w:ascii="华文中宋"/>
          <w:b/>
          <w:sz w:val="21"/>
        </w:rPr>
      </w:pPr>
    </w:p>
    <w:tbl>
      <w:tblPr>
        <w:tblW w:w="0" w:type="auto"/>
        <w:jc w:val="left"/>
        <w:tblInd w:w="7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01"/>
        <w:gridCol w:w="2382"/>
        <w:gridCol w:w="901"/>
        <w:gridCol w:w="1309"/>
        <w:gridCol w:w="701"/>
        <w:gridCol w:w="303"/>
        <w:gridCol w:w="1710"/>
      </w:tblGrid>
      <w:tr>
        <w:trPr>
          <w:trHeight w:val="861" w:hRule="atLeast"/>
        </w:trPr>
        <w:tc>
          <w:tcPr>
            <w:tcW w:w="1001" w:type="dxa"/>
          </w:tcPr>
          <w:p>
            <w:pPr>
              <w:pStyle w:val="TableParagraph"/>
              <w:spacing w:before="200"/>
              <w:ind w:left="220"/>
              <w:rPr>
                <w:rFonts w:ascii="华文宋体" w:eastAsia="华文宋体" w:hint="eastAsia"/>
                <w:sz w:val="28"/>
              </w:rPr>
            </w:pPr>
            <w:r>
              <w:rPr>
                <w:rFonts w:ascii="华文宋体" w:eastAsia="华文宋体" w:hint="eastAsia"/>
                <w:sz w:val="28"/>
              </w:rPr>
              <w:t>姓名</w:t>
            </w:r>
          </w:p>
        </w:tc>
        <w:tc>
          <w:tcPr>
            <w:tcW w:w="2382" w:type="dxa"/>
            <w:tcBorders>
              <w:right w:val="single" w:sz="4" w:space="0" w:color="000000"/>
            </w:tcBorders>
          </w:tcPr>
          <w:p>
            <w:pPr>
              <w:pStyle w:val="TableParagraph"/>
              <w:rPr>
                <w:rFonts w:ascii="Times New Roman"/>
                <w:sz w:val="28"/>
              </w:rPr>
            </w:pPr>
          </w:p>
        </w:tc>
        <w:tc>
          <w:tcPr>
            <w:tcW w:w="901" w:type="dxa"/>
            <w:tcBorders>
              <w:left w:val="single" w:sz="4" w:space="0" w:color="000000"/>
              <w:right w:val="single" w:sz="4" w:space="0" w:color="000000"/>
            </w:tcBorders>
          </w:tcPr>
          <w:p>
            <w:pPr>
              <w:pStyle w:val="TableParagraph"/>
              <w:spacing w:before="200"/>
              <w:ind w:left="95" w:right="81"/>
              <w:jc w:val="center"/>
              <w:rPr>
                <w:rFonts w:ascii="华文宋体" w:eastAsia="华文宋体" w:hint="eastAsia"/>
                <w:sz w:val="28"/>
              </w:rPr>
            </w:pPr>
            <w:r>
              <w:rPr>
                <w:rFonts w:ascii="华文宋体" w:eastAsia="华文宋体" w:hint="eastAsia"/>
                <w:sz w:val="28"/>
              </w:rPr>
              <w:t>性别</w:t>
            </w:r>
          </w:p>
        </w:tc>
        <w:tc>
          <w:tcPr>
            <w:tcW w:w="1309" w:type="dxa"/>
            <w:tcBorders>
              <w:left w:val="single" w:sz="4" w:space="0" w:color="000000"/>
            </w:tcBorders>
          </w:tcPr>
          <w:p>
            <w:pPr>
              <w:pStyle w:val="TableParagraph"/>
              <w:rPr>
                <w:rFonts w:ascii="Times New Roman"/>
                <w:sz w:val="28"/>
              </w:rPr>
            </w:pPr>
          </w:p>
        </w:tc>
        <w:tc>
          <w:tcPr>
            <w:tcW w:w="1004" w:type="dxa"/>
            <w:gridSpan w:val="2"/>
            <w:tcBorders>
              <w:right w:val="single" w:sz="4" w:space="0" w:color="000000"/>
            </w:tcBorders>
          </w:tcPr>
          <w:p>
            <w:pPr>
              <w:pStyle w:val="TableParagraph"/>
              <w:spacing w:before="200"/>
              <w:ind w:left="258"/>
              <w:rPr>
                <w:rFonts w:ascii="华文宋体" w:eastAsia="华文宋体" w:hint="eastAsia"/>
                <w:sz w:val="28"/>
              </w:rPr>
            </w:pPr>
            <w:r>
              <w:rPr>
                <w:rFonts w:ascii="华文宋体" w:eastAsia="华文宋体" w:hint="eastAsia"/>
                <w:sz w:val="28"/>
              </w:rPr>
              <w:t>民族</w:t>
            </w:r>
          </w:p>
        </w:tc>
        <w:tc>
          <w:tcPr>
            <w:tcW w:w="1710" w:type="dxa"/>
            <w:tcBorders>
              <w:left w:val="single" w:sz="4" w:space="0" w:color="000000"/>
            </w:tcBorders>
          </w:tcPr>
          <w:p>
            <w:pPr>
              <w:pStyle w:val="TableParagraph"/>
              <w:rPr>
                <w:rFonts w:ascii="Times New Roman"/>
                <w:sz w:val="28"/>
              </w:rPr>
            </w:pPr>
          </w:p>
        </w:tc>
      </w:tr>
      <w:tr>
        <w:trPr>
          <w:trHeight w:val="911" w:hRule="atLeast"/>
        </w:trPr>
        <w:tc>
          <w:tcPr>
            <w:tcW w:w="1001" w:type="dxa"/>
          </w:tcPr>
          <w:p>
            <w:pPr>
              <w:pStyle w:val="TableParagraph"/>
              <w:spacing w:before="226"/>
              <w:ind w:left="220"/>
              <w:rPr>
                <w:rFonts w:ascii="华文宋体" w:eastAsia="华文宋体" w:hint="eastAsia"/>
                <w:sz w:val="28"/>
              </w:rPr>
            </w:pPr>
            <w:r>
              <w:rPr>
                <w:rFonts w:ascii="华文宋体" w:eastAsia="华文宋体" w:hint="eastAsia"/>
                <w:sz w:val="28"/>
              </w:rPr>
              <w:t>单位</w:t>
            </w:r>
          </w:p>
        </w:tc>
        <w:tc>
          <w:tcPr>
            <w:tcW w:w="2382" w:type="dxa"/>
          </w:tcPr>
          <w:p>
            <w:pPr>
              <w:pStyle w:val="TableParagraph"/>
              <w:rPr>
                <w:rFonts w:ascii="Times New Roman"/>
                <w:sz w:val="28"/>
              </w:rPr>
            </w:pPr>
          </w:p>
        </w:tc>
        <w:tc>
          <w:tcPr>
            <w:tcW w:w="901" w:type="dxa"/>
          </w:tcPr>
          <w:p>
            <w:pPr>
              <w:pStyle w:val="TableParagraph"/>
              <w:spacing w:before="226"/>
              <w:ind w:left="150" w:right="136"/>
              <w:jc w:val="center"/>
              <w:rPr>
                <w:rFonts w:ascii="华文宋体" w:eastAsia="华文宋体" w:hint="eastAsia"/>
                <w:sz w:val="28"/>
              </w:rPr>
            </w:pPr>
            <w:r>
              <w:rPr>
                <w:rFonts w:ascii="华文宋体" w:eastAsia="华文宋体" w:hint="eastAsia"/>
                <w:sz w:val="28"/>
              </w:rPr>
              <w:t>地址</w:t>
            </w:r>
          </w:p>
        </w:tc>
        <w:tc>
          <w:tcPr>
            <w:tcW w:w="4023" w:type="dxa"/>
            <w:gridSpan w:val="4"/>
          </w:tcPr>
          <w:p>
            <w:pPr>
              <w:pStyle w:val="TableParagraph"/>
              <w:rPr>
                <w:rFonts w:ascii="Times New Roman"/>
                <w:sz w:val="28"/>
              </w:rPr>
            </w:pPr>
          </w:p>
        </w:tc>
      </w:tr>
      <w:tr>
        <w:trPr>
          <w:trHeight w:val="1408" w:hRule="atLeast"/>
        </w:trPr>
        <w:tc>
          <w:tcPr>
            <w:tcW w:w="1001" w:type="dxa"/>
          </w:tcPr>
          <w:p>
            <w:pPr>
              <w:pStyle w:val="TableParagraph"/>
              <w:spacing w:before="15"/>
              <w:rPr>
                <w:rFonts w:ascii="华文中宋"/>
                <w:b/>
                <w:sz w:val="29"/>
              </w:rPr>
            </w:pPr>
          </w:p>
          <w:p>
            <w:pPr>
              <w:pStyle w:val="TableParagraph"/>
              <w:ind w:left="220"/>
              <w:rPr>
                <w:rFonts w:ascii="华文宋体" w:eastAsia="华文宋体" w:hint="eastAsia"/>
                <w:sz w:val="28"/>
              </w:rPr>
            </w:pPr>
            <w:r>
              <w:rPr>
                <w:rFonts w:ascii="华文宋体" w:eastAsia="华文宋体" w:hint="eastAsia"/>
                <w:sz w:val="28"/>
              </w:rPr>
              <w:t>电话</w:t>
            </w:r>
          </w:p>
        </w:tc>
        <w:tc>
          <w:tcPr>
            <w:tcW w:w="4592" w:type="dxa"/>
            <w:gridSpan w:val="3"/>
            <w:tcBorders>
              <w:right w:val="single" w:sz="4" w:space="0" w:color="000000"/>
            </w:tcBorders>
          </w:tcPr>
          <w:p>
            <w:pPr>
              <w:pStyle w:val="TableParagraph"/>
              <w:spacing w:before="163"/>
              <w:ind w:left="6"/>
              <w:rPr>
                <w:rFonts w:ascii="Times New Roman" w:eastAsia="Times New Roman"/>
                <w:sz w:val="28"/>
              </w:rPr>
            </w:pPr>
            <w:r>
              <w:rPr>
                <w:rFonts w:ascii="华文宋体" w:eastAsia="华文宋体" w:hint="eastAsia"/>
                <w:sz w:val="28"/>
              </w:rPr>
              <w:t>办公室</w:t>
            </w:r>
            <w:r>
              <w:rPr>
                <w:rFonts w:ascii="Times New Roman" w:eastAsia="Times New Roman"/>
                <w:sz w:val="28"/>
              </w:rPr>
              <w:t>:</w:t>
            </w:r>
          </w:p>
          <w:p>
            <w:pPr>
              <w:pStyle w:val="TableParagraph"/>
              <w:tabs>
                <w:tab w:pos="565" w:val="left" w:leader="none"/>
              </w:tabs>
              <w:spacing w:before="165"/>
              <w:ind w:left="6"/>
              <w:rPr>
                <w:rFonts w:ascii="华文宋体" w:eastAsia="华文宋体" w:hint="eastAsia"/>
                <w:sz w:val="28"/>
              </w:rPr>
            </w:pPr>
            <w:r>
              <w:rPr>
                <w:rFonts w:ascii="华文宋体" w:eastAsia="华文宋体" w:hint="eastAsia"/>
                <w:sz w:val="28"/>
              </w:rPr>
              <w:t>手</w:t>
              <w:tab/>
              <w:t>机：</w:t>
            </w:r>
          </w:p>
        </w:tc>
        <w:tc>
          <w:tcPr>
            <w:tcW w:w="1004" w:type="dxa"/>
            <w:gridSpan w:val="2"/>
            <w:tcBorders>
              <w:left w:val="single" w:sz="4" w:space="0" w:color="000000"/>
              <w:right w:val="single" w:sz="4" w:space="0" w:color="000000"/>
            </w:tcBorders>
          </w:tcPr>
          <w:p>
            <w:pPr>
              <w:pStyle w:val="TableParagraph"/>
              <w:spacing w:before="15"/>
              <w:rPr>
                <w:rFonts w:ascii="华文中宋"/>
                <w:b/>
                <w:sz w:val="29"/>
              </w:rPr>
            </w:pPr>
          </w:p>
          <w:p>
            <w:pPr>
              <w:pStyle w:val="TableParagraph"/>
              <w:ind w:left="220"/>
              <w:rPr>
                <w:rFonts w:ascii="华文宋体" w:eastAsia="华文宋体" w:hint="eastAsia"/>
                <w:sz w:val="28"/>
              </w:rPr>
            </w:pPr>
            <w:r>
              <w:rPr>
                <w:rFonts w:ascii="华文宋体" w:eastAsia="华文宋体" w:hint="eastAsia"/>
                <w:sz w:val="28"/>
              </w:rPr>
              <w:t>邮编</w:t>
            </w:r>
          </w:p>
        </w:tc>
        <w:tc>
          <w:tcPr>
            <w:tcW w:w="1710" w:type="dxa"/>
            <w:tcBorders>
              <w:left w:val="single" w:sz="4" w:space="0" w:color="000000"/>
            </w:tcBorders>
          </w:tcPr>
          <w:p>
            <w:pPr>
              <w:pStyle w:val="TableParagraph"/>
              <w:rPr>
                <w:rFonts w:ascii="Times New Roman"/>
                <w:sz w:val="28"/>
              </w:rPr>
            </w:pPr>
          </w:p>
        </w:tc>
      </w:tr>
      <w:tr>
        <w:trPr>
          <w:trHeight w:val="841" w:hRule="atLeast"/>
        </w:trPr>
        <w:tc>
          <w:tcPr>
            <w:tcW w:w="1001" w:type="dxa"/>
          </w:tcPr>
          <w:p>
            <w:pPr>
              <w:pStyle w:val="TableParagraph"/>
              <w:spacing w:before="192"/>
              <w:ind w:left="220"/>
              <w:rPr>
                <w:rFonts w:ascii="华文宋体" w:eastAsia="华文宋体" w:hint="eastAsia"/>
                <w:sz w:val="28"/>
              </w:rPr>
            </w:pPr>
            <w:r>
              <w:rPr>
                <w:rFonts w:ascii="华文宋体" w:eastAsia="华文宋体" w:hint="eastAsia"/>
                <w:sz w:val="28"/>
              </w:rPr>
              <w:t>传真</w:t>
            </w:r>
          </w:p>
        </w:tc>
        <w:tc>
          <w:tcPr>
            <w:tcW w:w="2382" w:type="dxa"/>
            <w:tcBorders>
              <w:right w:val="single" w:sz="4" w:space="0" w:color="000000"/>
            </w:tcBorders>
          </w:tcPr>
          <w:p>
            <w:pPr>
              <w:pStyle w:val="TableParagraph"/>
              <w:rPr>
                <w:rFonts w:ascii="Times New Roman"/>
                <w:sz w:val="28"/>
              </w:rPr>
            </w:pPr>
          </w:p>
        </w:tc>
        <w:tc>
          <w:tcPr>
            <w:tcW w:w="901" w:type="dxa"/>
            <w:tcBorders>
              <w:left w:val="single" w:sz="4" w:space="0" w:color="000000"/>
              <w:right w:val="single" w:sz="4" w:space="0" w:color="000000"/>
            </w:tcBorders>
          </w:tcPr>
          <w:p>
            <w:pPr>
              <w:pStyle w:val="TableParagraph"/>
              <w:spacing w:before="256"/>
              <w:ind w:left="95" w:right="86"/>
              <w:jc w:val="center"/>
              <w:rPr>
                <w:rFonts w:ascii="Times New Roman"/>
                <w:sz w:val="28"/>
              </w:rPr>
            </w:pPr>
            <w:r>
              <w:rPr>
                <w:rFonts w:ascii="Times New Roman"/>
                <w:sz w:val="28"/>
              </w:rPr>
              <w:t>Email</w:t>
            </w:r>
          </w:p>
        </w:tc>
        <w:tc>
          <w:tcPr>
            <w:tcW w:w="4023" w:type="dxa"/>
            <w:gridSpan w:val="4"/>
            <w:tcBorders>
              <w:left w:val="single" w:sz="4" w:space="0" w:color="000000"/>
            </w:tcBorders>
          </w:tcPr>
          <w:p>
            <w:pPr>
              <w:pStyle w:val="TableParagraph"/>
              <w:rPr>
                <w:rFonts w:ascii="Times New Roman"/>
                <w:sz w:val="28"/>
              </w:rPr>
            </w:pPr>
          </w:p>
        </w:tc>
      </w:tr>
      <w:tr>
        <w:trPr>
          <w:trHeight w:val="842" w:hRule="atLeast"/>
        </w:trPr>
        <w:tc>
          <w:tcPr>
            <w:tcW w:w="4284" w:type="dxa"/>
            <w:gridSpan w:val="3"/>
            <w:tcBorders>
              <w:right w:val="single" w:sz="4" w:space="0" w:color="000000"/>
            </w:tcBorders>
          </w:tcPr>
          <w:p>
            <w:pPr>
              <w:pStyle w:val="TableParagraph"/>
              <w:spacing w:before="193"/>
              <w:ind w:left="1420"/>
              <w:rPr>
                <w:rFonts w:ascii="华文宋体" w:eastAsia="华文宋体" w:hint="eastAsia"/>
                <w:sz w:val="28"/>
              </w:rPr>
            </w:pPr>
            <w:r>
              <w:rPr>
                <w:rFonts w:ascii="华文宋体" w:eastAsia="华文宋体" w:hint="eastAsia"/>
                <w:sz w:val="28"/>
              </w:rPr>
              <w:t>能否参加会议</w:t>
            </w:r>
          </w:p>
        </w:tc>
        <w:tc>
          <w:tcPr>
            <w:tcW w:w="4023" w:type="dxa"/>
            <w:gridSpan w:val="4"/>
            <w:tcBorders>
              <w:left w:val="single" w:sz="4" w:space="0" w:color="000000"/>
            </w:tcBorders>
          </w:tcPr>
          <w:p>
            <w:pPr>
              <w:pStyle w:val="TableParagraph"/>
              <w:rPr>
                <w:rFonts w:ascii="Times New Roman"/>
                <w:sz w:val="28"/>
              </w:rPr>
            </w:pPr>
          </w:p>
        </w:tc>
      </w:tr>
      <w:tr>
        <w:trPr>
          <w:trHeight w:val="462" w:hRule="atLeast"/>
        </w:trPr>
        <w:tc>
          <w:tcPr>
            <w:tcW w:w="4284" w:type="dxa"/>
            <w:gridSpan w:val="3"/>
            <w:vMerge w:val="restart"/>
            <w:tcBorders>
              <w:right w:val="single" w:sz="4" w:space="0" w:color="000000"/>
            </w:tcBorders>
          </w:tcPr>
          <w:p>
            <w:pPr>
              <w:pStyle w:val="TableParagraph"/>
              <w:spacing w:before="240"/>
              <w:ind w:left="1180"/>
              <w:rPr>
                <w:rFonts w:ascii="华文宋体" w:eastAsia="华文宋体" w:hint="eastAsia"/>
                <w:sz w:val="28"/>
              </w:rPr>
            </w:pPr>
            <w:r>
              <w:rPr>
                <w:rFonts w:ascii="华文宋体" w:eastAsia="华文宋体" w:hint="eastAsia"/>
                <w:sz w:val="28"/>
              </w:rPr>
              <w:t>是否住宿（日期）</w:t>
            </w:r>
          </w:p>
        </w:tc>
        <w:tc>
          <w:tcPr>
            <w:tcW w:w="2010" w:type="dxa"/>
            <w:gridSpan w:val="2"/>
            <w:tcBorders>
              <w:left w:val="single" w:sz="4" w:space="0" w:color="000000"/>
            </w:tcBorders>
          </w:tcPr>
          <w:p>
            <w:pPr>
              <w:pStyle w:val="TableParagraph"/>
              <w:spacing w:before="104"/>
              <w:ind w:left="451"/>
              <w:rPr>
                <w:sz w:val="21"/>
              </w:rPr>
            </w:pPr>
            <w:r>
              <w:rPr>
                <w:rFonts w:ascii="Times New Roman" w:eastAsia="Times New Roman"/>
                <w:sz w:val="21"/>
              </w:rPr>
              <w:t>5 </w:t>
            </w:r>
            <w:r>
              <w:rPr>
                <w:sz w:val="21"/>
              </w:rPr>
              <w:t>月 </w:t>
            </w:r>
            <w:r>
              <w:rPr>
                <w:rFonts w:ascii="Times New Roman" w:eastAsia="Times New Roman"/>
                <w:sz w:val="21"/>
              </w:rPr>
              <w:t>22 </w:t>
            </w:r>
            <w:r>
              <w:rPr>
                <w:sz w:val="21"/>
              </w:rPr>
              <w:t>日晚</w:t>
            </w:r>
          </w:p>
        </w:tc>
        <w:tc>
          <w:tcPr>
            <w:tcW w:w="2013" w:type="dxa"/>
            <w:gridSpan w:val="2"/>
          </w:tcPr>
          <w:p>
            <w:pPr>
              <w:pStyle w:val="TableParagraph"/>
              <w:spacing w:before="104"/>
              <w:ind w:left="448"/>
              <w:rPr>
                <w:sz w:val="21"/>
              </w:rPr>
            </w:pPr>
            <w:r>
              <w:rPr>
                <w:rFonts w:ascii="Times New Roman" w:eastAsia="Times New Roman"/>
                <w:sz w:val="21"/>
              </w:rPr>
              <w:t>5 </w:t>
            </w:r>
            <w:r>
              <w:rPr>
                <w:sz w:val="21"/>
              </w:rPr>
              <w:t>月 </w:t>
            </w:r>
            <w:r>
              <w:rPr>
                <w:rFonts w:ascii="Times New Roman" w:eastAsia="Times New Roman"/>
                <w:sz w:val="21"/>
              </w:rPr>
              <w:t>23 </w:t>
            </w:r>
            <w:r>
              <w:rPr>
                <w:sz w:val="21"/>
              </w:rPr>
              <w:t>日晚</w:t>
            </w:r>
          </w:p>
        </w:tc>
      </w:tr>
      <w:tr>
        <w:trPr>
          <w:trHeight w:val="462" w:hRule="atLeast"/>
        </w:trPr>
        <w:tc>
          <w:tcPr>
            <w:tcW w:w="4284" w:type="dxa"/>
            <w:gridSpan w:val="3"/>
            <w:vMerge/>
            <w:tcBorders>
              <w:top w:val="nil"/>
              <w:right w:val="single" w:sz="4" w:space="0" w:color="000000"/>
            </w:tcBorders>
          </w:tcPr>
          <w:p>
            <w:pPr>
              <w:rPr>
                <w:sz w:val="2"/>
                <w:szCs w:val="2"/>
              </w:rPr>
            </w:pPr>
          </w:p>
        </w:tc>
        <w:tc>
          <w:tcPr>
            <w:tcW w:w="2010" w:type="dxa"/>
            <w:gridSpan w:val="2"/>
            <w:tcBorders>
              <w:left w:val="single" w:sz="4" w:space="0" w:color="000000"/>
            </w:tcBorders>
          </w:tcPr>
          <w:p>
            <w:pPr>
              <w:pStyle w:val="TableParagraph"/>
              <w:rPr>
                <w:rFonts w:ascii="Times New Roman"/>
                <w:sz w:val="28"/>
              </w:rPr>
            </w:pPr>
          </w:p>
        </w:tc>
        <w:tc>
          <w:tcPr>
            <w:tcW w:w="2013" w:type="dxa"/>
            <w:gridSpan w:val="2"/>
          </w:tcPr>
          <w:p>
            <w:pPr>
              <w:pStyle w:val="TableParagraph"/>
              <w:rPr>
                <w:rFonts w:ascii="Times New Roman"/>
                <w:sz w:val="28"/>
              </w:rPr>
            </w:pPr>
          </w:p>
        </w:tc>
      </w:tr>
    </w:tbl>
    <w:p>
      <w:pPr>
        <w:pStyle w:val="BodyText"/>
        <w:rPr>
          <w:rFonts w:ascii="华文中宋"/>
          <w:b/>
          <w:sz w:val="20"/>
        </w:rPr>
      </w:pPr>
    </w:p>
    <w:p>
      <w:pPr>
        <w:pStyle w:val="BodyText"/>
        <w:spacing w:before="8"/>
        <w:rPr>
          <w:rFonts w:ascii="华文中宋"/>
          <w:b/>
          <w:sz w:val="20"/>
        </w:rPr>
      </w:pPr>
    </w:p>
    <w:p>
      <w:pPr>
        <w:pStyle w:val="BodyText"/>
        <w:spacing w:before="63"/>
        <w:ind w:left="780"/>
        <w:rPr>
          <w:rFonts w:ascii="华文宋体" w:eastAsia="华文宋体" w:hint="eastAsia"/>
        </w:rPr>
      </w:pPr>
      <w:r>
        <w:rPr>
          <w:rFonts w:ascii="华文宋体" w:eastAsia="华文宋体" w:hint="eastAsia"/>
        </w:rPr>
        <w:t>注：请务必将此回执于 </w:t>
      </w:r>
      <w:r>
        <w:rPr>
          <w:rFonts w:ascii="Times New Roman" w:eastAsia="Times New Roman"/>
        </w:rPr>
        <w:t>2019 </w:t>
      </w:r>
      <w:r>
        <w:rPr>
          <w:rFonts w:ascii="华文宋体" w:eastAsia="华文宋体" w:hint="eastAsia"/>
        </w:rPr>
        <w:t>年 </w:t>
      </w:r>
      <w:r>
        <w:rPr>
          <w:rFonts w:ascii="Times New Roman" w:eastAsia="Times New Roman"/>
        </w:rPr>
        <w:t>5 </w:t>
      </w:r>
      <w:r>
        <w:rPr>
          <w:rFonts w:ascii="华文宋体" w:eastAsia="华文宋体" w:hint="eastAsia"/>
        </w:rPr>
        <w:t>月 </w:t>
      </w:r>
      <w:r>
        <w:rPr>
          <w:rFonts w:ascii="Times New Roman" w:eastAsia="Times New Roman"/>
        </w:rPr>
        <w:t>5 </w:t>
      </w:r>
      <w:r>
        <w:rPr>
          <w:rFonts w:ascii="华文宋体" w:eastAsia="华文宋体" w:hint="eastAsia"/>
        </w:rPr>
        <w:t>日前返回，谢谢！</w:t>
      </w:r>
    </w:p>
    <w:p>
      <w:pPr>
        <w:spacing w:after="0"/>
        <w:rPr>
          <w:rFonts w:ascii="华文宋体" w:eastAsia="华文宋体" w:hint="eastAsia"/>
        </w:rPr>
        <w:sectPr>
          <w:pgSz w:w="11910" w:h="16840"/>
          <w:pgMar w:header="0" w:footer="1035" w:top="1500" w:bottom="1300" w:left="1020" w:right="560"/>
        </w:sectPr>
      </w:pPr>
    </w:p>
    <w:p>
      <w:pPr>
        <w:pStyle w:val="Heading7"/>
        <w:spacing w:before="47"/>
        <w:rPr>
          <w:rFonts w:ascii="黑体" w:eastAsia="黑体" w:hint="eastAsia"/>
        </w:rPr>
      </w:pPr>
      <w:r>
        <w:rPr>
          <w:rFonts w:ascii="黑体" w:eastAsia="黑体" w:hint="eastAsia"/>
        </w:rPr>
        <w:t>附件 </w:t>
      </w:r>
      <w:r>
        <w:rPr>
          <w:rFonts w:ascii="Times New Roman" w:eastAsia="Times New Roman"/>
        </w:rPr>
        <w:t>2</w:t>
      </w:r>
      <w:r>
        <w:rPr>
          <w:rFonts w:ascii="黑体" w:eastAsia="黑体" w:hint="eastAsia"/>
        </w:rPr>
        <w:t>：摘要模板与摘要样本</w:t>
      </w:r>
    </w:p>
    <w:p>
      <w:pPr>
        <w:pStyle w:val="BodyText"/>
        <w:rPr>
          <w:rFonts w:ascii="黑体"/>
          <w:sz w:val="34"/>
        </w:rPr>
      </w:pPr>
    </w:p>
    <w:p>
      <w:pPr>
        <w:pStyle w:val="BodyText"/>
        <w:spacing w:before="1"/>
        <w:rPr>
          <w:rFonts w:ascii="黑体"/>
          <w:sz w:val="50"/>
        </w:rPr>
      </w:pPr>
    </w:p>
    <w:p>
      <w:pPr>
        <w:spacing w:before="0"/>
        <w:ind w:left="0" w:right="426" w:firstLine="0"/>
        <w:jc w:val="center"/>
        <w:rPr>
          <w:rFonts w:ascii="黑体" w:eastAsia="黑体" w:hint="eastAsia"/>
          <w:b/>
          <w:sz w:val="32"/>
        </w:rPr>
      </w:pPr>
      <w:r>
        <w:rPr>
          <w:rFonts w:ascii="黑体" w:eastAsia="黑体" w:hint="eastAsia"/>
          <w:b/>
          <w:sz w:val="32"/>
        </w:rPr>
        <w:t>摘要题目（黑体，三号）</w:t>
      </w:r>
    </w:p>
    <w:p>
      <w:pPr>
        <w:pStyle w:val="Heading8"/>
        <w:spacing w:before="241"/>
        <w:ind w:left="0" w:right="425"/>
        <w:jc w:val="center"/>
        <w:rPr>
          <w:rFonts w:ascii="楷体" w:hAnsi="楷体" w:eastAsia="楷体" w:hint="eastAsia"/>
        </w:rPr>
      </w:pPr>
      <w:r>
        <w:rPr>
          <w:rFonts w:ascii="楷体" w:hAnsi="楷体" w:eastAsia="楷体" w:hint="eastAsia"/>
        </w:rPr>
        <w:t>作者 </w:t>
      </w:r>
      <w:r>
        <w:rPr>
          <w:rFonts w:ascii="Times New Roman" w:hAnsi="Times New Roman" w:eastAsia="Times New Roman"/>
        </w:rPr>
        <w:t>1</w:t>
      </w:r>
      <w:r>
        <w:rPr>
          <w:rFonts w:ascii="Symbol" w:hAnsi="Symbol" w:eastAsia="Symbol"/>
          <w:vertAlign w:val="superscript"/>
        </w:rPr>
        <w:t></w:t>
      </w:r>
      <w:r>
        <w:rPr>
          <w:rFonts w:ascii="楷体" w:hAnsi="楷体" w:eastAsia="楷体" w:hint="eastAsia"/>
          <w:vertAlign w:val="baseline"/>
        </w:rPr>
        <w:t>，作者 </w:t>
      </w:r>
      <w:r>
        <w:rPr>
          <w:rFonts w:ascii="Times New Roman" w:hAnsi="Times New Roman" w:eastAsia="Times New Roman"/>
          <w:vertAlign w:val="baseline"/>
        </w:rPr>
        <w:t>2</w:t>
      </w:r>
      <w:r>
        <w:rPr>
          <w:rFonts w:ascii="楷体" w:hAnsi="楷体" w:eastAsia="楷体" w:hint="eastAsia"/>
          <w:vertAlign w:val="baseline"/>
        </w:rPr>
        <w:t>，作者 </w:t>
      </w:r>
      <w:r>
        <w:rPr>
          <w:rFonts w:ascii="Times New Roman" w:hAnsi="Times New Roman" w:eastAsia="Times New Roman"/>
          <w:vertAlign w:val="baseline"/>
        </w:rPr>
        <w:t>3</w:t>
      </w:r>
      <w:r>
        <w:rPr>
          <w:rFonts w:ascii="楷体" w:hAnsi="楷体" w:eastAsia="楷体" w:hint="eastAsia"/>
          <w:vertAlign w:val="baseline"/>
        </w:rPr>
        <w:t>（楷体，四号）</w:t>
      </w:r>
    </w:p>
    <w:p>
      <w:pPr>
        <w:spacing w:before="155"/>
        <w:ind w:left="0" w:right="453" w:firstLine="0"/>
        <w:jc w:val="center"/>
        <w:rPr>
          <w:sz w:val="21"/>
        </w:rPr>
      </w:pPr>
      <w:r>
        <w:rPr>
          <w:sz w:val="21"/>
        </w:rPr>
        <w:t>单位，城市 邮编（宋体，五号）</w:t>
      </w:r>
    </w:p>
    <w:p>
      <w:pPr>
        <w:pStyle w:val="BodyText"/>
        <w:rPr>
          <w:sz w:val="20"/>
        </w:rPr>
      </w:pPr>
    </w:p>
    <w:p>
      <w:pPr>
        <w:pStyle w:val="BodyText"/>
        <w:spacing w:before="9"/>
        <w:rPr>
          <w:sz w:val="20"/>
        </w:rPr>
      </w:pPr>
    </w:p>
    <w:p>
      <w:pPr>
        <w:spacing w:before="0"/>
        <w:ind w:left="780" w:right="0" w:firstLine="0"/>
        <w:jc w:val="left"/>
        <w:rPr>
          <w:sz w:val="24"/>
        </w:rPr>
      </w:pPr>
      <w:r>
        <w:rPr>
          <w:rFonts w:ascii="黑体" w:eastAsia="黑体" w:hint="eastAsia"/>
          <w:b/>
          <w:sz w:val="24"/>
        </w:rPr>
        <w:t>关键词：</w:t>
      </w:r>
      <w:r>
        <w:rPr>
          <w:sz w:val="24"/>
        </w:rPr>
        <w:t>关键词 </w:t>
      </w:r>
      <w:r>
        <w:rPr>
          <w:rFonts w:ascii="Times New Roman" w:eastAsia="Times New Roman"/>
          <w:sz w:val="24"/>
        </w:rPr>
        <w:t>1</w:t>
      </w:r>
      <w:r>
        <w:rPr>
          <w:sz w:val="24"/>
        </w:rPr>
        <w:t>，关键词 </w:t>
      </w:r>
      <w:r>
        <w:rPr>
          <w:rFonts w:ascii="Times New Roman" w:eastAsia="Times New Roman"/>
          <w:sz w:val="24"/>
        </w:rPr>
        <w:t>2</w:t>
      </w:r>
      <w:r>
        <w:rPr>
          <w:sz w:val="24"/>
        </w:rPr>
        <w:t>，关键词 </w:t>
      </w:r>
      <w:r>
        <w:rPr>
          <w:rFonts w:ascii="Times New Roman" w:eastAsia="Times New Roman"/>
          <w:sz w:val="24"/>
        </w:rPr>
        <w:t>3</w:t>
      </w:r>
      <w:r>
        <w:rPr>
          <w:sz w:val="24"/>
        </w:rPr>
        <w:t>（最多 </w:t>
      </w:r>
      <w:r>
        <w:rPr>
          <w:rFonts w:ascii="Times New Roman" w:eastAsia="Times New Roman"/>
          <w:sz w:val="24"/>
        </w:rPr>
        <w:t>5 </w:t>
      </w:r>
      <w:r>
        <w:rPr>
          <w:sz w:val="24"/>
        </w:rPr>
        <w:t>个关键词，宋体，小四号）</w:t>
      </w:r>
    </w:p>
    <w:p>
      <w:pPr>
        <w:pStyle w:val="BodyText"/>
        <w:rPr>
          <w:sz w:val="21"/>
        </w:rPr>
      </w:pPr>
    </w:p>
    <w:p>
      <w:pPr>
        <w:spacing w:line="364" w:lineRule="auto" w:before="0"/>
        <w:ind w:left="780" w:right="1165" w:firstLine="0"/>
        <w:jc w:val="left"/>
        <w:rPr>
          <w:sz w:val="24"/>
        </w:rPr>
      </w:pPr>
      <w:r>
        <w:rPr>
          <w:sz w:val="24"/>
        </w:rPr>
        <w:t>正文内容（中文字体使用宋体，小四号；英文字体使用 </w:t>
      </w:r>
      <w:r>
        <w:rPr>
          <w:rFonts w:ascii="Times New Roman" w:eastAsia="Times New Roman"/>
          <w:sz w:val="24"/>
        </w:rPr>
        <w:t>Time New Roman</w:t>
      </w:r>
      <w:r>
        <w:rPr>
          <w:sz w:val="24"/>
        </w:rPr>
        <w:t>，小四号；</w:t>
      </w:r>
      <w:r>
        <w:rPr>
          <w:rFonts w:ascii="Times New Roman" w:eastAsia="Times New Roman"/>
          <w:sz w:val="24"/>
        </w:rPr>
        <w:t>1.5 </w:t>
      </w:r>
      <w:r>
        <w:rPr>
          <w:sz w:val="24"/>
        </w:rPr>
        <w:t>倍行间距。字数不超过 </w:t>
      </w:r>
      <w:r>
        <w:rPr>
          <w:rFonts w:ascii="Times New Roman" w:eastAsia="Times New Roman"/>
          <w:sz w:val="24"/>
        </w:rPr>
        <w:t>300 </w:t>
      </w:r>
      <w:r>
        <w:rPr>
          <w:sz w:val="24"/>
        </w:rPr>
        <w:t>字。</w:t>
      </w:r>
    </w:p>
    <w:p>
      <w:pPr>
        <w:pStyle w:val="BodyText"/>
        <w:spacing w:before="6"/>
        <w:rPr>
          <w:sz w:val="24"/>
        </w:rPr>
      </w:pPr>
    </w:p>
    <w:p>
      <w:pPr>
        <w:spacing w:before="0"/>
        <w:ind w:left="0" w:right="458" w:firstLine="0"/>
        <w:jc w:val="center"/>
        <w:rPr>
          <w:b/>
          <w:sz w:val="24"/>
        </w:rPr>
      </w:pPr>
      <w:r>
        <w:rPr>
          <w:b/>
          <w:sz w:val="24"/>
        </w:rPr>
        <w:t>（摘要和个人简介全部内容请不要超过 </w:t>
      </w:r>
      <w:r>
        <w:rPr>
          <w:rFonts w:ascii="Times New Roman" w:eastAsia="Times New Roman"/>
          <w:b/>
          <w:sz w:val="24"/>
        </w:rPr>
        <w:t>1 </w:t>
      </w:r>
      <w:r>
        <w:rPr>
          <w:b/>
          <w:sz w:val="24"/>
        </w:rPr>
        <w:t>页）</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33"/>
        </w:rPr>
      </w:pPr>
    </w:p>
    <w:p>
      <w:pPr>
        <w:spacing w:before="0"/>
        <w:ind w:left="780" w:right="0" w:firstLine="0"/>
        <w:jc w:val="left"/>
        <w:rPr>
          <w:rFonts w:ascii="黑体" w:eastAsia="黑体" w:hint="eastAsia"/>
          <w:b/>
          <w:sz w:val="24"/>
        </w:rPr>
      </w:pPr>
      <w:r>
        <w:rPr>
          <w:rFonts w:ascii="黑体" w:eastAsia="黑体" w:hint="eastAsia"/>
          <w:b/>
          <w:sz w:val="24"/>
        </w:rPr>
        <w:t>参考文献</w:t>
      </w:r>
    </w:p>
    <w:p>
      <w:pPr>
        <w:spacing w:line="309" w:lineRule="auto" w:before="195"/>
        <w:ind w:left="780" w:right="3300" w:firstLine="0"/>
        <w:jc w:val="left"/>
        <w:rPr>
          <w:rFonts w:ascii="Times New Roman"/>
          <w:sz w:val="21"/>
        </w:rPr>
      </w:pPr>
      <w:r>
        <w:rPr>
          <w:rFonts w:ascii="Times New Roman"/>
          <w:sz w:val="21"/>
        </w:rPr>
        <w:t>Author A. 1, AuthorB. 2, </w:t>
      </w:r>
      <w:r>
        <w:rPr>
          <w:rFonts w:ascii="Times New Roman"/>
          <w:i/>
          <w:sz w:val="21"/>
        </w:rPr>
        <w:t>Title of a book</w:t>
      </w:r>
      <w:r>
        <w:rPr>
          <w:rFonts w:ascii="Times New Roman"/>
          <w:sz w:val="21"/>
        </w:rPr>
        <w:t>, Year, Vol. X, p. XX (Publisher). AuthorA. 1, Author B. 2, </w:t>
      </w:r>
      <w:r>
        <w:rPr>
          <w:rFonts w:ascii="Times New Roman"/>
          <w:i/>
          <w:sz w:val="21"/>
        </w:rPr>
        <w:t>Title of a journal</w:t>
      </w:r>
      <w:r>
        <w:rPr>
          <w:rFonts w:ascii="Times New Roman"/>
          <w:sz w:val="21"/>
        </w:rPr>
        <w:t>.Year, Vol. X, page.</w:t>
      </w:r>
    </w:p>
    <w:p>
      <w:pPr>
        <w:spacing w:line="259" w:lineRule="exact" w:before="0"/>
        <w:ind w:left="780" w:right="0" w:firstLine="0"/>
        <w:jc w:val="left"/>
        <w:rPr>
          <w:sz w:val="21"/>
        </w:rPr>
      </w:pPr>
      <w:r>
        <w:rPr/>
        <w:pict>
          <v:shape style="position:absolute;margin-left:260.200012pt;margin-top:30.991877pt;width:241.45pt;height:78.45pt;mso-position-horizontal-relative:page;mso-position-vertical-relative:paragraph;z-index:251659264" type="#_x0000_t202" filled="false" stroked="true" strokeweight=".75pt" strokecolor="#000000">
            <v:textbox inset="0,0,0,0">
              <w:txbxContent>
                <w:p>
                  <w:pPr>
                    <w:spacing w:before="96"/>
                    <w:ind w:left="146" w:right="0" w:firstLine="0"/>
                    <w:jc w:val="left"/>
                    <w:rPr>
                      <w:sz w:val="21"/>
                    </w:rPr>
                  </w:pPr>
                  <w:r>
                    <w:rPr>
                      <w:sz w:val="21"/>
                    </w:rPr>
                    <w:t>个人简介文字，宋体，小四号 。</w:t>
                  </w:r>
                </w:p>
              </w:txbxContent>
            </v:textbox>
            <v:stroke dashstyle="solid"/>
            <w10:wrap type="none"/>
          </v:shape>
        </w:pict>
      </w:r>
      <w:r>
        <w:rPr>
          <w:sz w:val="21"/>
        </w:rPr>
        <w:t>（中文字体使用宋体，五号；英文字体使用</w:t>
      </w:r>
      <w:r>
        <w:rPr>
          <w:rFonts w:ascii="Times New Roman" w:eastAsia="Times New Roman"/>
          <w:sz w:val="21"/>
        </w:rPr>
        <w:t>Time New Roman</w:t>
      </w:r>
      <w:r>
        <w:rPr>
          <w:sz w:val="21"/>
        </w:rPr>
        <w:t>，五号；单倍行间距）</w:t>
      </w:r>
    </w:p>
    <w:p>
      <w:pPr>
        <w:pStyle w:val="BodyText"/>
        <w:rPr>
          <w:sz w:val="22"/>
        </w:rPr>
      </w:pPr>
    </w:p>
    <w:p>
      <w:pPr>
        <w:pStyle w:val="BodyText"/>
        <w:rPr>
          <w:sz w:val="22"/>
        </w:rPr>
      </w:pPr>
    </w:p>
    <w:p>
      <w:pPr>
        <w:pStyle w:val="BodyText"/>
        <w:spacing w:before="6"/>
        <w:rPr>
          <w:sz w:val="18"/>
        </w:rPr>
      </w:pPr>
    </w:p>
    <w:p>
      <w:pPr>
        <w:spacing w:before="0"/>
        <w:ind w:left="780" w:right="0" w:firstLine="0"/>
        <w:jc w:val="left"/>
        <w:rPr>
          <w:rFonts w:ascii="黑体" w:eastAsia="黑体" w:hint="eastAsia"/>
          <w:b/>
          <w:sz w:val="24"/>
        </w:rPr>
      </w:pPr>
      <w:r>
        <w:rPr>
          <w:rFonts w:ascii="黑体" w:eastAsia="黑体" w:hint="eastAsia"/>
          <w:b/>
          <w:sz w:val="24"/>
        </w:rPr>
        <w:t>个人简介</w:t>
      </w:r>
    </w:p>
    <w:p>
      <w:pPr>
        <w:pStyle w:val="BodyText"/>
        <w:spacing w:before="10"/>
        <w:rPr>
          <w:rFonts w:ascii="黑体"/>
          <w:b/>
          <w:sz w:val="23"/>
        </w:rPr>
      </w:pPr>
    </w:p>
    <w:p>
      <w:pPr>
        <w:spacing w:before="0"/>
        <w:ind w:left="780" w:right="0" w:firstLine="0"/>
        <w:jc w:val="left"/>
        <w:rPr>
          <w:rFonts w:ascii="Arial Unicode MS" w:eastAsia="Arial Unicode MS" w:hint="eastAsia"/>
          <w:sz w:val="21"/>
        </w:rPr>
      </w:pPr>
      <w:r>
        <w:rPr>
          <w:rFonts w:ascii="Arial Unicode MS" w:eastAsia="Arial Unicode MS" w:hint="eastAsia"/>
          <w:sz w:val="21"/>
        </w:rPr>
        <w:t>（照片）</w:t>
      </w:r>
    </w:p>
    <w:p>
      <w:pPr>
        <w:pStyle w:val="BodyText"/>
        <w:rPr>
          <w:rFonts w:ascii="Arial Unicode MS"/>
          <w:sz w:val="20"/>
        </w:rPr>
      </w:pPr>
    </w:p>
    <w:p>
      <w:pPr>
        <w:pStyle w:val="BodyText"/>
        <w:rPr>
          <w:rFonts w:ascii="Arial Unicode MS"/>
          <w:sz w:val="20"/>
        </w:rPr>
      </w:pPr>
    </w:p>
    <w:p>
      <w:pPr>
        <w:pStyle w:val="BodyText"/>
        <w:rPr>
          <w:rFonts w:ascii="Arial Unicode MS"/>
          <w:sz w:val="20"/>
        </w:rPr>
      </w:pPr>
    </w:p>
    <w:p>
      <w:pPr>
        <w:pStyle w:val="BodyText"/>
        <w:rPr>
          <w:rFonts w:ascii="Arial Unicode MS"/>
          <w:sz w:val="20"/>
        </w:rPr>
      </w:pPr>
    </w:p>
    <w:p>
      <w:pPr>
        <w:pStyle w:val="BodyText"/>
        <w:rPr>
          <w:rFonts w:ascii="Arial Unicode MS"/>
          <w:sz w:val="20"/>
        </w:rPr>
      </w:pPr>
    </w:p>
    <w:p>
      <w:pPr>
        <w:pStyle w:val="BodyText"/>
        <w:spacing w:before="3"/>
        <w:rPr>
          <w:rFonts w:ascii="Arial Unicode MS"/>
          <w:sz w:val="10"/>
        </w:rPr>
      </w:pPr>
      <w:r>
        <w:rPr/>
        <w:pict>
          <v:shape style="position:absolute;margin-left:90.024002pt;margin-top:11.229209pt;width:144.050pt;height:.1pt;mso-position-horizontal-relative:page;mso-position-vertical-relative:paragraph;z-index:-251658240;mso-wrap-distance-left:0;mso-wrap-distance-right:0" coordorigin="1800,225" coordsize="2881,0" path="m1800,225l4681,225e" filled="false" stroked="true" strokeweight=".71997pt" strokecolor="#000000">
            <v:path arrowok="t"/>
            <v:stroke dashstyle="solid"/>
            <w10:wrap type="topAndBottom"/>
          </v:shape>
        </w:pict>
      </w:r>
    </w:p>
    <w:p>
      <w:pPr>
        <w:spacing w:before="80"/>
        <w:ind w:left="0" w:right="8425" w:firstLine="0"/>
        <w:jc w:val="right"/>
        <w:rPr>
          <w:sz w:val="21"/>
        </w:rPr>
      </w:pPr>
      <w:r>
        <w:rPr>
          <w:rFonts w:ascii="Symbol" w:hAnsi="Symbol" w:eastAsia="Symbol"/>
          <w:position w:val="9"/>
          <w:sz w:val="13"/>
        </w:rPr>
        <w:t></w:t>
      </w:r>
      <w:r>
        <w:rPr>
          <w:sz w:val="21"/>
        </w:rPr>
        <w:t>作者信息：</w:t>
      </w:r>
    </w:p>
    <w:p>
      <w:pPr>
        <w:spacing w:before="43"/>
        <w:ind w:left="0" w:right="8384" w:firstLine="0"/>
        <w:jc w:val="right"/>
        <w:rPr>
          <w:sz w:val="21"/>
        </w:rPr>
      </w:pPr>
      <w:r>
        <w:rPr>
          <w:sz w:val="21"/>
        </w:rPr>
        <w:t>资助信息：</w:t>
      </w:r>
    </w:p>
    <w:p>
      <w:pPr>
        <w:spacing w:after="0"/>
        <w:jc w:val="right"/>
        <w:rPr>
          <w:sz w:val="21"/>
        </w:rPr>
        <w:sectPr>
          <w:pgSz w:w="11910" w:h="16840"/>
          <w:pgMar w:header="0" w:footer="1035" w:top="1480" w:bottom="1300" w:left="1020" w:right="560"/>
        </w:sectPr>
      </w:pPr>
    </w:p>
    <w:p>
      <w:pPr>
        <w:pStyle w:val="Heading6"/>
        <w:spacing w:before="27"/>
        <w:ind w:left="0" w:right="453"/>
        <w:jc w:val="center"/>
      </w:pPr>
      <w:r>
        <w:rPr/>
        <w:t>摘要样本</w:t>
      </w:r>
    </w:p>
    <w:p>
      <w:pPr>
        <w:pStyle w:val="BodyText"/>
        <w:spacing w:before="5"/>
        <w:rPr>
          <w:rFonts w:ascii="黑体"/>
          <w:b/>
          <w:sz w:val="35"/>
        </w:rPr>
      </w:pPr>
    </w:p>
    <w:p>
      <w:pPr>
        <w:spacing w:before="0"/>
        <w:ind w:left="0" w:right="430" w:firstLine="0"/>
        <w:jc w:val="center"/>
        <w:rPr>
          <w:rFonts w:ascii="黑体" w:eastAsia="黑体" w:hint="eastAsia"/>
          <w:b/>
          <w:sz w:val="32"/>
        </w:rPr>
      </w:pPr>
      <w:r>
        <w:rPr>
          <w:rFonts w:ascii="黑体" w:eastAsia="黑体" w:hint="eastAsia"/>
          <w:b/>
          <w:sz w:val="32"/>
        </w:rPr>
        <w:t>面向化工过程调控与强化的智能膜研究</w:t>
      </w:r>
    </w:p>
    <w:p>
      <w:pPr>
        <w:pStyle w:val="Heading8"/>
        <w:spacing w:before="241"/>
        <w:ind w:left="0" w:right="424"/>
        <w:jc w:val="center"/>
        <w:rPr>
          <w:rFonts w:ascii="楷体" w:hAnsi="楷体" w:eastAsia="楷体" w:hint="eastAsia"/>
        </w:rPr>
      </w:pPr>
      <w:r>
        <w:rPr>
          <w:rFonts w:ascii="楷体" w:hAnsi="楷体" w:eastAsia="楷体" w:hint="eastAsia"/>
        </w:rPr>
        <w:t>谢锐</w:t>
      </w:r>
      <w:r>
        <w:rPr>
          <w:rFonts w:ascii="Symbol" w:hAnsi="Symbol" w:eastAsia="Symbol"/>
          <w:vertAlign w:val="superscript"/>
        </w:rPr>
        <w:t></w:t>
      </w:r>
      <w:r>
        <w:rPr>
          <w:rFonts w:ascii="楷体" w:hAnsi="楷体" w:eastAsia="楷体" w:hint="eastAsia"/>
          <w:vertAlign w:val="baseline"/>
        </w:rPr>
        <w:t>，褚良银</w:t>
      </w:r>
    </w:p>
    <w:p>
      <w:pPr>
        <w:spacing w:before="155"/>
        <w:ind w:left="0" w:right="453" w:firstLine="0"/>
        <w:jc w:val="center"/>
        <w:rPr>
          <w:rFonts w:ascii="Times New Roman" w:eastAsia="Times New Roman"/>
          <w:sz w:val="21"/>
        </w:rPr>
      </w:pPr>
      <w:r>
        <w:rPr>
          <w:sz w:val="21"/>
        </w:rPr>
        <w:t>四川大学化学工程学院，四川成都 </w:t>
      </w:r>
      <w:r>
        <w:rPr>
          <w:rFonts w:ascii="Times New Roman" w:eastAsia="Times New Roman"/>
          <w:sz w:val="21"/>
        </w:rPr>
        <w:t>610065</w:t>
      </w:r>
    </w:p>
    <w:p>
      <w:pPr>
        <w:pStyle w:val="BodyText"/>
        <w:rPr>
          <w:rFonts w:ascii="Times New Roman"/>
          <w:sz w:val="22"/>
        </w:rPr>
      </w:pPr>
    </w:p>
    <w:p>
      <w:pPr>
        <w:pStyle w:val="BodyText"/>
        <w:spacing w:before="4"/>
        <w:rPr>
          <w:rFonts w:ascii="Times New Roman"/>
          <w:sz w:val="23"/>
        </w:rPr>
      </w:pPr>
    </w:p>
    <w:p>
      <w:pPr>
        <w:spacing w:before="0"/>
        <w:ind w:left="780" w:right="0" w:firstLine="0"/>
        <w:jc w:val="left"/>
        <w:rPr>
          <w:sz w:val="24"/>
        </w:rPr>
      </w:pPr>
      <w:r>
        <w:rPr>
          <w:rFonts w:ascii="黑体" w:eastAsia="黑体" w:hint="eastAsia"/>
          <w:b/>
          <w:sz w:val="24"/>
        </w:rPr>
        <w:t>关键词：</w:t>
      </w:r>
      <w:r>
        <w:rPr>
          <w:sz w:val="24"/>
        </w:rPr>
        <w:t>膜材料，膜过程，智能膜，传质与分离，过程强化</w:t>
      </w:r>
    </w:p>
    <w:p>
      <w:pPr>
        <w:pStyle w:val="BodyText"/>
        <w:spacing w:before="12"/>
        <w:rPr>
          <w:sz w:val="20"/>
        </w:rPr>
      </w:pPr>
    </w:p>
    <w:p>
      <w:pPr>
        <w:spacing w:line="364" w:lineRule="auto" w:before="0"/>
        <w:ind w:left="780" w:right="1230" w:firstLine="479"/>
        <w:jc w:val="both"/>
        <w:rPr>
          <w:sz w:val="24"/>
        </w:rPr>
      </w:pPr>
      <w:r>
        <w:rPr>
          <w:spacing w:val="4"/>
          <w:sz w:val="24"/>
        </w:rPr>
        <w:t>环境响应型智能膜是受具有选择透过性生物膜启发而发展起来的一类新型</w:t>
      </w:r>
      <w:r>
        <w:rPr>
          <w:spacing w:val="-9"/>
          <w:sz w:val="24"/>
        </w:rPr>
        <w:t>膜材料，在化学分离、生物分离、水处理、组织工程、化学传感器、化学物质和</w:t>
      </w:r>
      <w:r>
        <w:rPr>
          <w:spacing w:val="-13"/>
          <w:sz w:val="24"/>
        </w:rPr>
        <w:t>药物的控制释放等领域有着重要的应用前景。智能膜目前处于基础研究阶段，仍</w:t>
      </w:r>
      <w:r>
        <w:rPr>
          <w:spacing w:val="-17"/>
          <w:sz w:val="24"/>
        </w:rPr>
        <w:t>需要从智能膜材料入手进行设计和创新、以及对智能膜过程进行调控和强化。本人及课题组运用化学工程中材料化工、流体流动、传质与分离、反应等方面的知</w:t>
      </w:r>
      <w:r>
        <w:rPr>
          <w:spacing w:val="-10"/>
          <w:sz w:val="24"/>
        </w:rPr>
        <w:t>识，着重研究智能膜材料的设计与可控构建、智能膜响应性能调控与强化、以及</w:t>
      </w:r>
      <w:r>
        <w:rPr>
          <w:spacing w:val="-14"/>
          <w:sz w:val="24"/>
        </w:rPr>
        <w:t>智能膜用于传质与分离以及反应过程的调控规律等。研究结果为设计和构建性能</w:t>
      </w:r>
      <w:r>
        <w:rPr>
          <w:sz w:val="24"/>
        </w:rPr>
        <w:t>优良稳定的智能膜以及高效可控的传质、分离与反应过程提供了新思路和新途</w:t>
      </w:r>
      <w:r>
        <w:rPr>
          <w:spacing w:val="-10"/>
          <w:sz w:val="24"/>
        </w:rPr>
        <w:t>径，为开发面向化工、环境、生物、医药等领域的绿色、高效过程提供了重要指导。</w:t>
      </w:r>
    </w:p>
    <w:p>
      <w:pPr>
        <w:spacing w:before="84"/>
        <w:ind w:left="780" w:right="0" w:firstLine="0"/>
        <w:jc w:val="left"/>
        <w:rPr>
          <w:rFonts w:ascii="黑体" w:eastAsia="黑体" w:hint="eastAsia"/>
          <w:b/>
          <w:sz w:val="24"/>
        </w:rPr>
      </w:pPr>
      <w:r>
        <w:rPr>
          <w:rFonts w:ascii="黑体" w:eastAsia="黑体" w:hint="eastAsia"/>
          <w:b/>
          <w:sz w:val="24"/>
        </w:rPr>
        <w:t>参考文献</w:t>
      </w:r>
    </w:p>
    <w:p>
      <w:pPr>
        <w:spacing w:before="195"/>
        <w:ind w:left="780" w:right="0" w:firstLine="0"/>
        <w:jc w:val="left"/>
        <w:rPr>
          <w:rFonts w:ascii="Times New Roman"/>
          <w:sz w:val="21"/>
        </w:rPr>
      </w:pPr>
      <w:r>
        <w:rPr>
          <w:rFonts w:ascii="Times New Roman"/>
          <w:sz w:val="21"/>
        </w:rPr>
        <w:t>Liu Z., Wang W., </w:t>
      </w:r>
      <w:r>
        <w:rPr>
          <w:rFonts w:ascii="Times New Roman"/>
          <w:sz w:val="21"/>
          <w:u w:val="single"/>
        </w:rPr>
        <w:t>Xie R.</w:t>
      </w:r>
      <w:r>
        <w:rPr>
          <w:rFonts w:ascii="Times New Roman"/>
          <w:sz w:val="21"/>
        </w:rPr>
        <w:t>, Ju X.J., Chu L.Y., </w:t>
      </w:r>
      <w:r>
        <w:rPr>
          <w:rFonts w:ascii="Times New Roman"/>
          <w:b/>
          <w:i/>
          <w:sz w:val="21"/>
        </w:rPr>
        <w:t>Chem. Soc. Rev.</w:t>
      </w:r>
      <w:r>
        <w:rPr>
          <w:rFonts w:ascii="Times New Roman"/>
          <w:sz w:val="21"/>
        </w:rPr>
        <w:t>, 2016, 45: 460-475.</w:t>
      </w:r>
    </w:p>
    <w:p>
      <w:pPr>
        <w:spacing w:before="71"/>
        <w:ind w:left="780" w:right="0" w:firstLine="0"/>
        <w:jc w:val="left"/>
        <w:rPr>
          <w:rFonts w:ascii="Times New Roman"/>
          <w:sz w:val="21"/>
        </w:rPr>
      </w:pPr>
      <w:r>
        <w:rPr>
          <w:rFonts w:ascii="Times New Roman"/>
          <w:sz w:val="21"/>
        </w:rPr>
        <w:t>Luo F., </w:t>
      </w:r>
      <w:r>
        <w:rPr>
          <w:rFonts w:ascii="Times New Roman"/>
          <w:sz w:val="21"/>
          <w:u w:val="single"/>
        </w:rPr>
        <w:t>Xie R.</w:t>
      </w:r>
      <w:r>
        <w:rPr>
          <w:rFonts w:ascii="Times New Roman"/>
          <w:sz w:val="21"/>
        </w:rPr>
        <w:t>, Liu Z., Ju X.J., Wang W., Lin S., Chu L.Y., </w:t>
      </w:r>
      <w:r>
        <w:rPr>
          <w:rFonts w:ascii="Times New Roman"/>
          <w:b/>
          <w:i/>
          <w:sz w:val="21"/>
        </w:rPr>
        <w:t>Sci. Rep.</w:t>
      </w:r>
      <w:r>
        <w:rPr>
          <w:rFonts w:ascii="Times New Roman"/>
          <w:sz w:val="21"/>
        </w:rPr>
        <w:t>, 2015, 5: 14708.</w:t>
      </w:r>
    </w:p>
    <w:p>
      <w:pPr>
        <w:spacing w:before="70"/>
        <w:ind w:left="780" w:right="0" w:firstLine="0"/>
        <w:jc w:val="left"/>
        <w:rPr>
          <w:rFonts w:ascii="Times New Roman"/>
          <w:sz w:val="21"/>
        </w:rPr>
      </w:pPr>
      <w:r>
        <w:rPr>
          <w:rFonts w:ascii="Times New Roman"/>
          <w:sz w:val="21"/>
        </w:rPr>
        <w:t>Xia L.W., </w:t>
      </w:r>
      <w:r>
        <w:rPr>
          <w:rFonts w:ascii="Times New Roman"/>
          <w:sz w:val="21"/>
          <w:u w:val="single"/>
        </w:rPr>
        <w:t>Xie R.</w:t>
      </w:r>
      <w:r>
        <w:rPr>
          <w:rFonts w:ascii="Times New Roman"/>
          <w:sz w:val="21"/>
        </w:rPr>
        <w:t>, Ju X.J., Wang W., Chen Q.M., Chu L.Y., </w:t>
      </w:r>
      <w:r>
        <w:rPr>
          <w:rFonts w:ascii="Times New Roman"/>
          <w:b/>
          <w:i/>
          <w:sz w:val="21"/>
        </w:rPr>
        <w:t>Nature Commun.</w:t>
      </w:r>
      <w:r>
        <w:rPr>
          <w:rFonts w:ascii="Times New Roman"/>
          <w:sz w:val="21"/>
        </w:rPr>
        <w:t>, 2013, 4: 2226.</w:t>
      </w:r>
    </w:p>
    <w:p>
      <w:pPr>
        <w:spacing w:line="309" w:lineRule="auto" w:before="71"/>
        <w:ind w:left="780" w:right="1232" w:firstLine="0"/>
        <w:jc w:val="left"/>
        <w:rPr>
          <w:rFonts w:ascii="Times New Roman"/>
          <w:sz w:val="21"/>
        </w:rPr>
      </w:pPr>
      <w:r>
        <w:rPr>
          <w:rFonts w:ascii="Times New Roman"/>
          <w:sz w:val="21"/>
          <w:u w:val="single"/>
        </w:rPr>
        <w:t>Xie R., </w:t>
      </w:r>
      <w:r>
        <w:rPr>
          <w:rFonts w:ascii="Times New Roman"/>
          <w:sz w:val="21"/>
        </w:rPr>
        <w:t>Zhang S.B., Wang H.D., Yang M., Li P.F., Zhu X.L., Chu L.Y., </w:t>
      </w:r>
      <w:r>
        <w:rPr>
          <w:rFonts w:ascii="Times New Roman"/>
          <w:b/>
          <w:i/>
          <w:sz w:val="21"/>
        </w:rPr>
        <w:t>J. Membr. Sci.</w:t>
      </w:r>
      <w:r>
        <w:rPr>
          <w:rFonts w:ascii="Times New Roman"/>
          <w:sz w:val="21"/>
        </w:rPr>
        <w:t>,2009, 326: 618-626.</w:t>
      </w:r>
    </w:p>
    <w:p>
      <w:pPr>
        <w:spacing w:before="1"/>
        <w:ind w:left="780" w:right="0" w:firstLine="0"/>
        <w:jc w:val="left"/>
        <w:rPr>
          <w:rFonts w:ascii="Times New Roman"/>
          <w:sz w:val="21"/>
        </w:rPr>
      </w:pPr>
      <w:r>
        <w:rPr>
          <w:rFonts w:ascii="Times New Roman"/>
          <w:sz w:val="21"/>
          <w:u w:val="single"/>
        </w:rPr>
        <w:t>Xie R</w:t>
      </w:r>
      <w:r>
        <w:rPr>
          <w:rFonts w:ascii="Times New Roman"/>
          <w:sz w:val="21"/>
        </w:rPr>
        <w:t>., Chu L.Y., Deng J.G., </w:t>
      </w:r>
      <w:r>
        <w:rPr>
          <w:rFonts w:ascii="Times New Roman"/>
          <w:b/>
          <w:i/>
          <w:sz w:val="21"/>
        </w:rPr>
        <w:t>Chem. Soc. Rev.</w:t>
      </w:r>
      <w:r>
        <w:rPr>
          <w:rFonts w:ascii="Times New Roman"/>
          <w:sz w:val="21"/>
        </w:rPr>
        <w:t>, 2008, 37: 1243-1263.</w:t>
      </w:r>
    </w:p>
    <w:p>
      <w:pPr>
        <w:pStyle w:val="BodyText"/>
        <w:rPr>
          <w:rFonts w:ascii="Times New Roman"/>
          <w:sz w:val="20"/>
        </w:rPr>
      </w:pPr>
    </w:p>
    <w:p>
      <w:pPr>
        <w:pStyle w:val="BodyText"/>
        <w:spacing w:before="2"/>
        <w:rPr>
          <w:rFonts w:ascii="Times New Roman"/>
          <w:sz w:val="17"/>
        </w:rPr>
      </w:pPr>
    </w:p>
    <w:p>
      <w:pPr>
        <w:spacing w:after="0"/>
        <w:rPr>
          <w:rFonts w:ascii="Times New Roman"/>
          <w:sz w:val="17"/>
        </w:rPr>
        <w:sectPr>
          <w:pgSz w:w="11910" w:h="16840"/>
          <w:pgMar w:header="0" w:footer="1035" w:top="1500" w:bottom="1300" w:left="1020" w:right="560"/>
        </w:sectPr>
      </w:pPr>
    </w:p>
    <w:p>
      <w:pPr>
        <w:spacing w:before="76"/>
        <w:ind w:left="780" w:right="0" w:firstLine="0"/>
        <w:jc w:val="left"/>
        <w:rPr>
          <w:rFonts w:ascii="黑体" w:eastAsia="黑体" w:hint="eastAsia"/>
          <w:b/>
          <w:sz w:val="24"/>
        </w:rPr>
      </w:pPr>
      <w:r>
        <w:rPr>
          <w:rFonts w:ascii="黑体" w:eastAsia="黑体" w:hint="eastAsia"/>
          <w:b/>
          <w:sz w:val="24"/>
        </w:rPr>
        <w:t>个人简介</w:t>
      </w:r>
    </w:p>
    <w:p>
      <w:pPr>
        <w:pStyle w:val="BodyText"/>
        <w:spacing w:before="10"/>
        <w:rPr>
          <w:rFonts w:ascii="黑体"/>
          <w:b/>
          <w:sz w:val="20"/>
        </w:rPr>
      </w:pPr>
    </w:p>
    <w:p>
      <w:pPr>
        <w:pStyle w:val="Heading6"/>
        <w:rPr>
          <w:rFonts w:ascii="宋体" w:eastAsia="宋体" w:hint="eastAsia"/>
        </w:rPr>
      </w:pPr>
      <w:r>
        <w:rPr>
          <w:rFonts w:ascii="宋体" w:eastAsia="宋体" w:hint="eastAsia"/>
        </w:rPr>
        <w:t>（照片）</w:t>
      </w:r>
    </w:p>
    <w:p>
      <w:pPr>
        <w:spacing w:line="249" w:lineRule="auto" w:before="74"/>
        <w:ind w:left="780" w:right="314" w:firstLine="0"/>
        <w:jc w:val="both"/>
        <w:rPr>
          <w:sz w:val="24"/>
        </w:rPr>
      </w:pPr>
      <w:r>
        <w:rPr/>
        <w:br w:type="column"/>
      </w:r>
      <w:r>
        <w:rPr>
          <w:sz w:val="24"/>
        </w:rPr>
        <w:t>谢锐，现任四川大学化学工程学院教授，博士生导师。</w:t>
      </w:r>
      <w:r>
        <w:rPr>
          <w:rFonts w:ascii="Times New Roman" w:eastAsia="Times New Roman"/>
          <w:sz w:val="24"/>
        </w:rPr>
        <w:t>2002 </w:t>
      </w:r>
      <w:r>
        <w:rPr>
          <w:spacing w:val="-9"/>
          <w:sz w:val="24"/>
        </w:rPr>
        <w:t>年和</w:t>
      </w:r>
      <w:r>
        <w:rPr>
          <w:rFonts w:ascii="Times New Roman" w:eastAsia="Times New Roman"/>
          <w:sz w:val="24"/>
        </w:rPr>
        <w:t>2007 </w:t>
      </w:r>
      <w:r>
        <w:rPr>
          <w:spacing w:val="-2"/>
          <w:sz w:val="24"/>
        </w:rPr>
        <w:t>年分别获四川大学学士和博士学位。</w:t>
      </w:r>
      <w:r>
        <w:rPr>
          <w:rFonts w:ascii="Times New Roman" w:eastAsia="Times New Roman"/>
          <w:sz w:val="24"/>
        </w:rPr>
        <w:t>2007 </w:t>
      </w:r>
      <w:r>
        <w:rPr>
          <w:spacing w:val="-3"/>
          <w:sz w:val="24"/>
        </w:rPr>
        <w:t>年毕业留校任教至</w:t>
      </w:r>
      <w:r>
        <w:rPr>
          <w:sz w:val="24"/>
        </w:rPr>
        <w:t>今，历任讲师、副教授和教授。。</w:t>
      </w:r>
    </w:p>
    <w:p>
      <w:pPr>
        <w:spacing w:line="306" w:lineRule="exact" w:before="0"/>
        <w:ind w:left="780" w:right="0" w:firstLine="0"/>
        <w:jc w:val="left"/>
        <w:rPr>
          <w:sz w:val="24"/>
        </w:rPr>
      </w:pPr>
      <w:r>
        <w:rPr>
          <w:b/>
          <w:sz w:val="24"/>
        </w:rPr>
        <w:t>研究方向：</w:t>
      </w:r>
      <w:r>
        <w:rPr>
          <w:sz w:val="24"/>
        </w:rPr>
        <w:t>膜材料，膜技术，智能膜，传质与分离，过程强化</w:t>
      </w:r>
    </w:p>
    <w:p>
      <w:pPr>
        <w:spacing w:after="0" w:line="306" w:lineRule="exact"/>
        <w:jc w:val="left"/>
        <w:rPr>
          <w:sz w:val="24"/>
        </w:rPr>
        <w:sectPr>
          <w:type w:val="continuous"/>
          <w:pgSz w:w="11910" w:h="16840"/>
          <w:pgMar w:top="1580" w:bottom="280" w:left="1020" w:right="560"/>
          <w:cols w:num="2" w:equalWidth="0">
            <w:col w:w="2107" w:space="305"/>
            <w:col w:w="7918"/>
          </w:cols>
        </w:sectPr>
      </w:pPr>
    </w:p>
    <w:p>
      <w:pPr>
        <w:pStyle w:val="BodyText"/>
        <w:rPr>
          <w:sz w:val="20"/>
        </w:rPr>
      </w:pPr>
    </w:p>
    <w:p>
      <w:pPr>
        <w:pStyle w:val="BodyText"/>
        <w:spacing w:before="3"/>
        <w:rPr>
          <w:sz w:val="25"/>
        </w:rPr>
      </w:pPr>
    </w:p>
    <w:p>
      <w:pPr>
        <w:pStyle w:val="BodyText"/>
        <w:spacing w:line="20" w:lineRule="exact"/>
        <w:ind w:left="772"/>
        <w:rPr>
          <w:sz w:val="2"/>
        </w:rPr>
      </w:pPr>
      <w:r>
        <w:rPr>
          <w:sz w:val="2"/>
        </w:rPr>
        <w:pict>
          <v:group style="width:144.050pt;height:.75pt;mso-position-horizontal-relative:char;mso-position-vertical-relative:line" coordorigin="0,0" coordsize="2881,15">
            <v:line style="position:absolute" from="0,7" to="2880,7" stroked="true" strokeweight=".72003pt" strokecolor="#000000">
              <v:stroke dashstyle="solid"/>
            </v:line>
          </v:group>
        </w:pict>
      </w:r>
      <w:r>
        <w:rPr>
          <w:sz w:val="2"/>
        </w:rPr>
      </w:r>
    </w:p>
    <w:p>
      <w:pPr>
        <w:spacing w:before="105"/>
        <w:ind w:left="780" w:right="0" w:firstLine="0"/>
        <w:jc w:val="left"/>
        <w:rPr>
          <w:sz w:val="21"/>
        </w:rPr>
      </w:pPr>
      <w:r>
        <w:rPr>
          <w:rFonts w:ascii="Symbol" w:hAnsi="Symbol" w:eastAsia="Symbol"/>
          <w:position w:val="9"/>
          <w:sz w:val="13"/>
        </w:rPr>
        <w:t></w:t>
      </w:r>
      <w:r>
        <w:rPr>
          <w:sz w:val="21"/>
        </w:rPr>
        <w:t>谢锐（</w:t>
      </w:r>
      <w:r>
        <w:rPr>
          <w:rFonts w:ascii="Times New Roman" w:hAnsi="Times New Roman" w:eastAsia="Times New Roman"/>
          <w:sz w:val="21"/>
        </w:rPr>
        <w:t>Tel</w:t>
      </w:r>
      <w:r>
        <w:rPr>
          <w:sz w:val="21"/>
        </w:rPr>
        <w:t>：</w:t>
      </w:r>
      <w:r>
        <w:rPr>
          <w:rFonts w:ascii="Times New Roman" w:hAnsi="Times New Roman" w:eastAsia="Times New Roman"/>
          <w:sz w:val="21"/>
        </w:rPr>
        <w:t>028-85463380</w:t>
      </w:r>
      <w:r>
        <w:rPr>
          <w:sz w:val="21"/>
        </w:rPr>
        <w:t>，</w:t>
      </w:r>
      <w:r>
        <w:rPr>
          <w:rFonts w:ascii="Times New Roman" w:hAnsi="Times New Roman" w:eastAsia="Times New Roman"/>
          <w:sz w:val="21"/>
        </w:rPr>
        <w:t>E-mail</w:t>
      </w:r>
      <w:r>
        <w:rPr>
          <w:sz w:val="21"/>
        </w:rPr>
        <w:t>：</w:t>
      </w:r>
      <w:hyperlink r:id="rId8">
        <w:r>
          <w:rPr>
            <w:rFonts w:ascii="Times New Roman" w:hAnsi="Times New Roman" w:eastAsia="Times New Roman"/>
            <w:sz w:val="21"/>
          </w:rPr>
          <w:t>xierui@scu.edu.cn</w:t>
        </w:r>
      </w:hyperlink>
      <w:r>
        <w:rPr>
          <w:sz w:val="21"/>
        </w:rPr>
        <w:t>）</w:t>
      </w:r>
    </w:p>
    <w:p>
      <w:pPr>
        <w:spacing w:before="36"/>
        <w:ind w:left="886" w:right="0" w:firstLine="0"/>
        <w:jc w:val="left"/>
        <w:rPr>
          <w:rFonts w:ascii="新宋体" w:eastAsia="新宋体" w:hint="eastAsia"/>
          <w:sz w:val="21"/>
        </w:rPr>
      </w:pPr>
      <w:r>
        <w:rPr>
          <w:sz w:val="21"/>
        </w:rPr>
        <w:t>国家自然科学基金（</w:t>
      </w:r>
      <w:r>
        <w:rPr>
          <w:rFonts w:ascii="Times New Roman" w:eastAsia="Times New Roman"/>
          <w:sz w:val="22"/>
        </w:rPr>
        <w:t>20806049</w:t>
      </w:r>
      <w:r>
        <w:rPr>
          <w:sz w:val="22"/>
        </w:rPr>
        <w:t>，</w:t>
      </w:r>
      <w:r>
        <w:rPr>
          <w:rFonts w:ascii="Times New Roman" w:eastAsia="Times New Roman"/>
          <w:sz w:val="21"/>
        </w:rPr>
        <w:t>21276009</w:t>
      </w:r>
      <w:r>
        <w:rPr>
          <w:sz w:val="21"/>
        </w:rPr>
        <w:t>）和教育部</w:t>
      </w:r>
      <w:r>
        <w:rPr>
          <w:rFonts w:ascii="新宋体" w:eastAsia="新宋体" w:hint="eastAsia"/>
          <w:sz w:val="21"/>
        </w:rPr>
        <w:t>新世纪优秀人才支持计划</w:t>
      </w:r>
    </w:p>
    <w:p>
      <w:pPr>
        <w:spacing w:before="37"/>
        <w:ind w:left="780" w:right="0" w:firstLine="0"/>
        <w:jc w:val="left"/>
        <w:rPr>
          <w:rFonts w:ascii="新宋体" w:eastAsia="新宋体" w:hint="eastAsia"/>
          <w:sz w:val="21"/>
        </w:rPr>
      </w:pPr>
      <w:r>
        <w:rPr>
          <w:rFonts w:ascii="新宋体" w:eastAsia="新宋体" w:hint="eastAsia"/>
          <w:sz w:val="21"/>
        </w:rPr>
        <w:t>（</w:t>
      </w:r>
      <w:r>
        <w:rPr>
          <w:rFonts w:ascii="Times New Roman" w:eastAsia="Times New Roman"/>
          <w:sz w:val="22"/>
        </w:rPr>
        <w:t>NCET-11-0352</w:t>
      </w:r>
      <w:r>
        <w:rPr>
          <w:rFonts w:ascii="新宋体" w:eastAsia="新宋体" w:hint="eastAsia"/>
          <w:sz w:val="21"/>
        </w:rPr>
        <w:t>）</w:t>
      </w:r>
    </w:p>
    <w:p>
      <w:pPr>
        <w:spacing w:after="0"/>
        <w:jc w:val="left"/>
        <w:rPr>
          <w:rFonts w:ascii="新宋体" w:eastAsia="新宋体" w:hint="eastAsia"/>
          <w:sz w:val="21"/>
        </w:rPr>
        <w:sectPr>
          <w:type w:val="continuous"/>
          <w:pgSz w:w="11910" w:h="16840"/>
          <w:pgMar w:top="1580" w:bottom="280" w:left="1020" w:right="560"/>
        </w:sectPr>
      </w:pPr>
    </w:p>
    <w:p>
      <w:pPr>
        <w:pStyle w:val="Heading7"/>
        <w:spacing w:before="27"/>
        <w:rPr>
          <w:rFonts w:ascii="黑体" w:eastAsia="黑体" w:hint="eastAsia"/>
        </w:rPr>
      </w:pPr>
      <w:r>
        <w:rPr/>
        <w:pict>
          <v:group style="position:absolute;margin-left:285.800476pt;margin-top:485.171326pt;width:23.8pt;height:23.8pt;mso-position-horizontal-relative:page;mso-position-vertical-relative:page;z-index:-255540224" coordorigin="5716,9703" coordsize="476,476">
            <v:shape style="position:absolute;left:5716;top:9703;width:476;height:476" coordorigin="5716,9703" coordsize="476,476" path="m5954,9703l5879,9716,5813,9749,5762,9801,5728,9866,5716,9941,5728,10016,5762,10082,5813,10133,5879,10167,5954,10179,6029,10167,6095,10133,6146,10082,6180,10016,6192,9941,6180,9866,6146,9801,6095,9749,6029,9716,5954,9703xe" filled="true" fillcolor="#ffffff" stroked="false">
              <v:path arrowok="t"/>
              <v:fill type="solid"/>
            </v:shape>
            <v:shape style="position:absolute;left:5770;top:9759;width:367;height:367" type="#_x0000_t75" stroked="false">
              <v:imagedata r:id="rId9" o:title=""/>
            </v:shape>
            <w10:wrap type="none"/>
          </v:group>
        </w:pict>
      </w:r>
      <w:r>
        <w:rPr>
          <w:rFonts w:ascii="黑体" w:eastAsia="黑体" w:hint="eastAsia"/>
        </w:rPr>
        <w:t>附件 3：PPT 内容要求</w:t>
      </w:r>
    </w:p>
    <w:p>
      <w:pPr>
        <w:pStyle w:val="BodyText"/>
        <w:spacing w:before="1"/>
        <w:rPr>
          <w:rFonts w:ascii="黑体"/>
          <w:sz w:val="37"/>
        </w:rPr>
      </w:pPr>
    </w:p>
    <w:p>
      <w:pPr>
        <w:spacing w:before="0"/>
        <w:ind w:left="780" w:right="0" w:firstLine="0"/>
        <w:jc w:val="left"/>
        <w:rPr>
          <w:b/>
          <w:sz w:val="32"/>
        </w:rPr>
      </w:pPr>
      <w:r>
        <w:rPr>
          <w:b/>
          <w:sz w:val="32"/>
        </w:rPr>
        <w:t>报告模板</w:t>
      </w:r>
    </w:p>
    <w:p>
      <w:pPr>
        <w:pStyle w:val="BodyText"/>
        <w:rPr>
          <w:b/>
          <w:sz w:val="20"/>
        </w:rPr>
      </w:pPr>
    </w:p>
    <w:p>
      <w:pPr>
        <w:pStyle w:val="BodyText"/>
        <w:spacing w:before="7"/>
        <w:rPr>
          <w:b/>
          <w:sz w:val="23"/>
        </w:rPr>
      </w:pPr>
      <w:r>
        <w:rPr/>
        <w:pict>
          <v:group style="position:absolute;margin-left:123.510117pt;margin-top:17.073532pt;width:348.3pt;height:258.25pt;mso-position-horizontal-relative:page;mso-position-vertical-relative:paragraph;z-index:-251651072;mso-wrap-distance-left:0;mso-wrap-distance-right:0" coordorigin="2470,341" coordsize="6966,5165">
            <v:rect style="position:absolute;left:2470;top:5253;width:6956;height:244" filled="true" fillcolor="#8bacad" stroked="false">
              <v:fill type="solid"/>
            </v:rect>
            <v:rect style="position:absolute;left:2475;top:346;width:6956;height:5155" filled="false" stroked="true" strokeweight=".500004pt" strokecolor="#7a9799">
              <v:stroke dashstyle="solid"/>
            </v:rect>
            <v:shape style="position:absolute;left:5395;top:3688;width:1144;height:841" type="#_x0000_t202" filled="false" stroked="false">
              <v:textbox inset="0,0,0,0">
                <w:txbxContent>
                  <w:p>
                    <w:pPr>
                      <w:spacing w:line="417" w:lineRule="exact" w:before="0"/>
                      <w:ind w:left="139" w:right="0" w:firstLine="0"/>
                      <w:jc w:val="left"/>
                      <w:rPr>
                        <w:rFonts w:ascii="华文细黑" w:eastAsia="华文细黑" w:hint="eastAsia"/>
                        <w:sz w:val="28"/>
                      </w:rPr>
                    </w:pPr>
                    <w:r>
                      <w:rPr>
                        <w:rFonts w:ascii="华文细黑" w:eastAsia="华文细黑" w:hint="eastAsia"/>
                        <w:sz w:val="28"/>
                      </w:rPr>
                      <w:t>报告人</w:t>
                    </w:r>
                  </w:p>
                  <w:p>
                    <w:pPr>
                      <w:spacing w:line="388" w:lineRule="exact" w:before="35"/>
                      <w:ind w:left="0" w:right="0" w:firstLine="0"/>
                      <w:jc w:val="left"/>
                      <w:rPr>
                        <w:rFonts w:ascii="华文细黑" w:eastAsia="华文细黑" w:hint="eastAsia"/>
                        <w:sz w:val="28"/>
                      </w:rPr>
                    </w:pPr>
                    <w:r>
                      <w:rPr>
                        <w:rFonts w:ascii="华文细黑" w:eastAsia="华文细黑" w:hint="eastAsia"/>
                        <w:spacing w:val="-1"/>
                        <w:sz w:val="28"/>
                      </w:rPr>
                      <w:t>报告单位</w:t>
                    </w:r>
                  </w:p>
                </w:txbxContent>
              </v:textbox>
              <w10:wrap type="none"/>
            </v:shape>
            <v:shape style="position:absolute;left:5152;top:2157;width:1629;height:553" type="#_x0000_t202" filled="false" stroked="false">
              <v:textbox inset="0,0,0,0">
                <w:txbxContent>
                  <w:p>
                    <w:pPr>
                      <w:spacing w:line="553" w:lineRule="exact" w:before="0"/>
                      <w:ind w:left="0" w:right="0" w:firstLine="0"/>
                      <w:jc w:val="left"/>
                      <w:rPr>
                        <w:rFonts w:ascii="华文细黑" w:eastAsia="华文细黑" w:hint="eastAsia"/>
                        <w:b/>
                        <w:sz w:val="40"/>
                      </w:rPr>
                    </w:pPr>
                    <w:r>
                      <w:rPr>
                        <w:rFonts w:ascii="华文细黑" w:eastAsia="华文细黑" w:hint="eastAsia"/>
                        <w:b/>
                        <w:color w:val="FF0000"/>
                        <w:sz w:val="40"/>
                      </w:rPr>
                      <w:t>报告题目</w:t>
                    </w:r>
                  </w:p>
                </w:txbxContent>
              </v:textbox>
              <w10:wrap type="none"/>
            </v:shape>
            <v:shape style="position:absolute;left:5610;top:490;width:1426;height:387" type="#_x0000_t202" filled="false" stroked="false">
              <v:textbox inset="0,0,0,0">
                <w:txbxContent>
                  <w:p>
                    <w:pPr>
                      <w:spacing w:line="387" w:lineRule="exact" w:before="0"/>
                      <w:ind w:left="0" w:right="0" w:firstLine="0"/>
                      <w:jc w:val="left"/>
                      <w:rPr>
                        <w:rFonts w:ascii="华文细黑" w:eastAsia="华文细黑" w:hint="eastAsia"/>
                        <w:b/>
                        <w:sz w:val="28"/>
                      </w:rPr>
                    </w:pPr>
                    <w:r>
                      <w:rPr>
                        <w:rFonts w:ascii="华文细黑" w:eastAsia="华文细黑" w:hint="eastAsia"/>
                        <w:b/>
                        <w:sz w:val="28"/>
                      </w:rPr>
                      <w:t>期双清论坛</w:t>
                    </w:r>
                  </w:p>
                </w:txbxContent>
              </v:textbox>
              <w10:wrap type="none"/>
            </v:shape>
            <v:shape style="position:absolute;left:4909;top:490;width:301;height:387" type="#_x0000_t202" filled="false" stroked="false">
              <v:textbox inset="0,0,0,0">
                <w:txbxContent>
                  <w:p>
                    <w:pPr>
                      <w:spacing w:line="387" w:lineRule="exact" w:before="0"/>
                      <w:ind w:left="0" w:right="0" w:firstLine="0"/>
                      <w:jc w:val="left"/>
                      <w:rPr>
                        <w:rFonts w:ascii="华文细黑" w:eastAsia="华文细黑" w:hint="eastAsia"/>
                        <w:b/>
                        <w:sz w:val="28"/>
                      </w:rPr>
                    </w:pPr>
                    <w:r>
                      <w:rPr>
                        <w:rFonts w:ascii="华文细黑" w:eastAsia="华文细黑" w:hint="eastAsia"/>
                        <w:b/>
                        <w:w w:val="100"/>
                        <w:sz w:val="28"/>
                      </w:rPr>
                      <w:t>第</w:t>
                    </w:r>
                  </w:p>
                </w:txbxContent>
              </v:textbox>
              <w10:wrap type="none"/>
            </v:shape>
            <w10:wrap type="topAndBottom"/>
          </v:group>
        </w:pict>
      </w:r>
    </w:p>
    <w:p>
      <w:pPr>
        <w:pStyle w:val="BodyText"/>
        <w:rPr>
          <w:b/>
          <w:sz w:val="20"/>
        </w:rPr>
      </w:pPr>
    </w:p>
    <w:p>
      <w:pPr>
        <w:pStyle w:val="BodyText"/>
        <w:spacing w:before="7" w:after="1"/>
        <w:rPr>
          <w:b/>
          <w:sz w:val="14"/>
        </w:rPr>
      </w:pPr>
    </w:p>
    <w:tbl>
      <w:tblPr>
        <w:tblW w:w="0" w:type="auto"/>
        <w:jc w:val="left"/>
        <w:tblInd w:w="1489" w:type="dxa"/>
        <w:tblBorders>
          <w:top w:val="single" w:sz="4" w:space="0" w:color="7A9799"/>
          <w:left w:val="single" w:sz="4" w:space="0" w:color="7A9799"/>
          <w:bottom w:val="single" w:sz="4" w:space="0" w:color="7A9799"/>
          <w:right w:val="single" w:sz="4" w:space="0" w:color="7A9799"/>
          <w:insideH w:val="single" w:sz="4" w:space="0" w:color="7A9799"/>
          <w:insideV w:val="single" w:sz="4" w:space="0" w:color="7A9799"/>
        </w:tblBorders>
        <w:tblLayout w:type="fixed"/>
        <w:tblCellMar>
          <w:top w:w="0" w:type="dxa"/>
          <w:left w:w="0" w:type="dxa"/>
          <w:bottom w:w="0" w:type="dxa"/>
          <w:right w:w="0" w:type="dxa"/>
        </w:tblCellMar>
        <w:tblLook w:val="01E0"/>
      </w:tblPr>
      <w:tblGrid>
        <w:gridCol w:w="6897"/>
      </w:tblGrid>
      <w:tr>
        <w:trPr>
          <w:trHeight w:val="864" w:hRule="atLeast"/>
        </w:trPr>
        <w:tc>
          <w:tcPr>
            <w:tcW w:w="6897" w:type="dxa"/>
            <w:tcBorders>
              <w:bottom w:val="dashSmallGap" w:sz="4" w:space="0" w:color="7A9799"/>
            </w:tcBorders>
          </w:tcPr>
          <w:p>
            <w:pPr>
              <w:pStyle w:val="TableParagraph"/>
              <w:spacing w:before="114"/>
              <w:ind w:left="2827" w:right="2777"/>
              <w:jc w:val="center"/>
              <w:rPr>
                <w:rFonts w:ascii="华文细黑" w:eastAsia="华文细黑" w:hint="eastAsia"/>
                <w:b/>
                <w:sz w:val="31"/>
              </w:rPr>
            </w:pPr>
            <w:r>
              <w:rPr>
                <w:rFonts w:ascii="华文细黑" w:eastAsia="华文细黑" w:hint="eastAsia"/>
                <w:b/>
                <w:color w:val="006600"/>
                <w:sz w:val="31"/>
              </w:rPr>
              <w:t>报告内容</w:t>
            </w:r>
          </w:p>
        </w:tc>
      </w:tr>
      <w:tr>
        <w:trPr>
          <w:trHeight w:val="3981" w:hRule="atLeast"/>
        </w:trPr>
        <w:tc>
          <w:tcPr>
            <w:tcW w:w="6897" w:type="dxa"/>
            <w:tcBorders>
              <w:top w:val="dashSmallGap" w:sz="4" w:space="0" w:color="7A9799"/>
              <w:bottom w:val="nil"/>
            </w:tcBorders>
          </w:tcPr>
          <w:p>
            <w:pPr>
              <w:pStyle w:val="TableParagraph"/>
              <w:spacing w:before="6"/>
              <w:rPr>
                <w:b/>
                <w:sz w:val="37"/>
              </w:rPr>
            </w:pPr>
          </w:p>
          <w:p>
            <w:pPr>
              <w:pStyle w:val="TableParagraph"/>
              <w:numPr>
                <w:ilvl w:val="0"/>
                <w:numId w:val="5"/>
              </w:numPr>
              <w:tabs>
                <w:tab w:pos="2158" w:val="left" w:leader="none"/>
              </w:tabs>
              <w:spacing w:line="510" w:lineRule="exact" w:before="1" w:after="0"/>
              <w:ind w:left="2157" w:right="0" w:hanging="386"/>
              <w:jc w:val="left"/>
              <w:rPr>
                <w:rFonts w:ascii="微软雅黑" w:hAnsi="微软雅黑" w:eastAsia="微软雅黑" w:hint="eastAsia"/>
                <w:sz w:val="28"/>
              </w:rPr>
            </w:pPr>
            <w:r>
              <w:rPr>
                <w:rFonts w:ascii="微软雅黑" w:hAnsi="微软雅黑" w:eastAsia="微软雅黑" w:hint="eastAsia"/>
                <w:sz w:val="28"/>
              </w:rPr>
              <w:t>战略意义</w:t>
            </w:r>
          </w:p>
          <w:p>
            <w:pPr>
              <w:pStyle w:val="TableParagraph"/>
              <w:numPr>
                <w:ilvl w:val="0"/>
                <w:numId w:val="5"/>
              </w:numPr>
              <w:tabs>
                <w:tab w:pos="2158" w:val="left" w:leader="none"/>
              </w:tabs>
              <w:spacing w:line="502" w:lineRule="exact" w:before="0" w:after="0"/>
              <w:ind w:left="2157" w:right="0" w:hanging="386"/>
              <w:jc w:val="left"/>
              <w:rPr>
                <w:rFonts w:ascii="微软雅黑" w:hAnsi="微软雅黑" w:eastAsia="微软雅黑" w:hint="eastAsia"/>
                <w:sz w:val="28"/>
              </w:rPr>
            </w:pPr>
            <w:r>
              <w:rPr>
                <w:rFonts w:ascii="微软雅黑" w:hAnsi="微软雅黑" w:eastAsia="微软雅黑" w:hint="eastAsia"/>
                <w:sz w:val="28"/>
              </w:rPr>
              <w:t>发展现状、趋势、挑战</w:t>
            </w:r>
          </w:p>
          <w:p>
            <w:pPr>
              <w:pStyle w:val="TableParagraph"/>
              <w:numPr>
                <w:ilvl w:val="0"/>
                <w:numId w:val="5"/>
              </w:numPr>
              <w:tabs>
                <w:tab w:pos="2158" w:val="left" w:leader="none"/>
              </w:tabs>
              <w:spacing w:line="500" w:lineRule="exact" w:before="0" w:after="0"/>
              <w:ind w:left="2157" w:right="0" w:hanging="386"/>
              <w:jc w:val="left"/>
              <w:rPr>
                <w:rFonts w:ascii="微软雅黑" w:hAnsi="微软雅黑" w:eastAsia="微软雅黑" w:hint="eastAsia"/>
                <w:sz w:val="28"/>
              </w:rPr>
            </w:pPr>
            <w:r>
              <w:rPr>
                <w:rFonts w:ascii="微软雅黑" w:hAnsi="微软雅黑" w:eastAsia="微软雅黑" w:hint="eastAsia"/>
                <w:sz w:val="28"/>
              </w:rPr>
              <w:t>关键科学问题</w:t>
            </w:r>
          </w:p>
          <w:p>
            <w:pPr>
              <w:pStyle w:val="TableParagraph"/>
              <w:numPr>
                <w:ilvl w:val="0"/>
                <w:numId w:val="5"/>
              </w:numPr>
              <w:tabs>
                <w:tab w:pos="2158" w:val="left" w:leader="none"/>
              </w:tabs>
              <w:spacing w:line="500" w:lineRule="exact" w:before="0" w:after="0"/>
              <w:ind w:left="2157" w:right="0" w:hanging="386"/>
              <w:jc w:val="left"/>
              <w:rPr>
                <w:rFonts w:ascii="微软雅黑" w:hAnsi="微软雅黑" w:eastAsia="微软雅黑" w:hint="eastAsia"/>
                <w:sz w:val="28"/>
              </w:rPr>
            </w:pPr>
            <w:r>
              <w:rPr>
                <w:rFonts w:ascii="微软雅黑" w:hAnsi="微软雅黑" w:eastAsia="微软雅黑" w:hint="eastAsia"/>
                <w:sz w:val="28"/>
              </w:rPr>
              <w:t>我国研究基础和优势</w:t>
            </w:r>
          </w:p>
          <w:p>
            <w:pPr>
              <w:pStyle w:val="TableParagraph"/>
              <w:numPr>
                <w:ilvl w:val="0"/>
                <w:numId w:val="5"/>
              </w:numPr>
              <w:tabs>
                <w:tab w:pos="2158" w:val="left" w:leader="none"/>
              </w:tabs>
              <w:spacing w:line="508" w:lineRule="exact" w:before="0" w:after="0"/>
              <w:ind w:left="2157" w:right="0" w:hanging="386"/>
              <w:jc w:val="left"/>
              <w:rPr>
                <w:rFonts w:ascii="微软雅黑" w:hAnsi="微软雅黑" w:eastAsia="微软雅黑" w:hint="eastAsia"/>
                <w:sz w:val="28"/>
              </w:rPr>
            </w:pPr>
            <w:r>
              <w:rPr>
                <w:rFonts w:ascii="微软雅黑" w:hAnsi="微软雅黑" w:eastAsia="微软雅黑" w:hint="eastAsia"/>
                <w:sz w:val="28"/>
              </w:rPr>
              <w:t>政策建议</w:t>
            </w:r>
          </w:p>
        </w:tc>
      </w:tr>
      <w:tr>
        <w:trPr>
          <w:trHeight w:val="240" w:hRule="atLeast"/>
        </w:trPr>
        <w:tc>
          <w:tcPr>
            <w:tcW w:w="6897" w:type="dxa"/>
            <w:tcBorders>
              <w:top w:val="nil"/>
            </w:tcBorders>
            <w:shd w:val="clear" w:color="auto" w:fill="8BACAD"/>
          </w:tcPr>
          <w:p>
            <w:pPr>
              <w:pStyle w:val="TableParagraph"/>
              <w:rPr>
                <w:rFonts w:ascii="Times New Roman"/>
                <w:sz w:val="16"/>
              </w:rPr>
            </w:pPr>
          </w:p>
        </w:tc>
      </w:tr>
    </w:tbl>
    <w:p>
      <w:pPr>
        <w:spacing w:after="0"/>
        <w:rPr>
          <w:rFonts w:ascii="Times New Roman"/>
          <w:sz w:val="16"/>
        </w:rPr>
        <w:sectPr>
          <w:pgSz w:w="11910" w:h="16840"/>
          <w:pgMar w:header="0" w:footer="1035" w:top="1500" w:bottom="1300" w:left="1020" w:right="560"/>
        </w:sectPr>
      </w:pPr>
    </w:p>
    <w:p>
      <w:pPr>
        <w:pStyle w:val="Heading4"/>
        <w:spacing w:before="26"/>
        <w:ind w:left="780"/>
        <w:jc w:val="left"/>
        <w:rPr>
          <w:rFonts w:ascii="黑体" w:eastAsia="黑体" w:hint="eastAsia"/>
        </w:rPr>
      </w:pPr>
      <w:bookmarkStart w:name="_TOC_250011" w:id="16"/>
      <w:bookmarkEnd w:id="16"/>
      <w:r>
        <w:rPr>
          <w:rFonts w:ascii="黑体" w:eastAsia="黑体" w:hint="eastAsia"/>
        </w:rPr>
        <w:t>2、正式通知</w:t>
      </w:r>
    </w:p>
    <w:p>
      <w:pPr>
        <w:pStyle w:val="BodyText"/>
        <w:rPr>
          <w:rFonts w:ascii="黑体"/>
          <w:b/>
          <w:sz w:val="20"/>
        </w:rPr>
      </w:pPr>
    </w:p>
    <w:p>
      <w:pPr>
        <w:pStyle w:val="BodyText"/>
        <w:rPr>
          <w:rFonts w:ascii="黑体"/>
          <w:b/>
          <w:sz w:val="20"/>
        </w:rPr>
      </w:pPr>
    </w:p>
    <w:p>
      <w:pPr>
        <w:pStyle w:val="BodyText"/>
        <w:rPr>
          <w:rFonts w:ascii="黑体"/>
          <w:b/>
          <w:sz w:val="20"/>
        </w:rPr>
      </w:pPr>
    </w:p>
    <w:p>
      <w:pPr>
        <w:spacing w:before="218"/>
        <w:ind w:left="5420" w:right="0" w:firstLine="0"/>
        <w:jc w:val="left"/>
        <w:rPr>
          <w:rFonts w:ascii="仿宋" w:eastAsia="仿宋" w:hint="eastAsia"/>
          <w:sz w:val="32"/>
        </w:rPr>
      </w:pPr>
      <w:r>
        <w:rPr>
          <w:rFonts w:ascii="仿宋" w:eastAsia="仿宋" w:hint="eastAsia"/>
          <w:sz w:val="32"/>
        </w:rPr>
        <w:t>国科金政函〔2019〕32 号</w:t>
      </w:r>
    </w:p>
    <w:p>
      <w:pPr>
        <w:pStyle w:val="BodyText"/>
        <w:rPr>
          <w:rFonts w:ascii="仿宋"/>
          <w:sz w:val="32"/>
        </w:rPr>
      </w:pPr>
    </w:p>
    <w:p>
      <w:pPr>
        <w:spacing w:line="235" w:lineRule="auto" w:before="220"/>
        <w:ind w:left="1690" w:right="2147" w:firstLine="655"/>
        <w:jc w:val="left"/>
        <w:rPr>
          <w:rFonts w:ascii="华文中宋" w:hAnsi="华文中宋" w:eastAsia="华文中宋" w:hint="eastAsia"/>
          <w:b/>
          <w:sz w:val="36"/>
        </w:rPr>
      </w:pPr>
      <w:r>
        <w:rPr>
          <w:rFonts w:ascii="华文中宋" w:hAnsi="华文中宋" w:eastAsia="华文中宋" w:hint="eastAsia"/>
          <w:b/>
          <w:sz w:val="36"/>
        </w:rPr>
        <w:t>关于邀请参加第  235  期双清论坛“科学基金深化改革的政策与举措”的函</w:t>
      </w:r>
    </w:p>
    <w:p>
      <w:pPr>
        <w:pStyle w:val="BodyText"/>
        <w:rPr>
          <w:rFonts w:ascii="华文中宋"/>
          <w:b/>
          <w:sz w:val="20"/>
        </w:rPr>
      </w:pPr>
    </w:p>
    <w:p>
      <w:pPr>
        <w:pStyle w:val="BodyText"/>
        <w:spacing w:before="6"/>
        <w:rPr>
          <w:rFonts w:ascii="华文中宋"/>
          <w:b/>
          <w:sz w:val="13"/>
        </w:rPr>
      </w:pPr>
    </w:p>
    <w:p>
      <w:pPr>
        <w:tabs>
          <w:tab w:pos="1740" w:val="left" w:leader="none"/>
        </w:tabs>
        <w:spacing w:before="64"/>
        <w:ind w:left="780" w:right="0" w:firstLine="0"/>
        <w:jc w:val="left"/>
        <w:rPr>
          <w:rFonts w:ascii="仿宋" w:eastAsia="仿宋" w:hint="eastAsia"/>
          <w:sz w:val="32"/>
        </w:rPr>
      </w:pPr>
      <w:r>
        <w:rPr>
          <w:rFonts w:ascii="Times New Roman" w:eastAsia="Times New Roman"/>
          <w:b/>
          <w:w w:val="99"/>
          <w:sz w:val="32"/>
          <w:u w:val="single"/>
        </w:rPr>
        <w:t> </w:t>
      </w:r>
      <w:r>
        <w:rPr>
          <w:rFonts w:ascii="Times New Roman" w:eastAsia="Times New Roman"/>
          <w:b/>
          <w:sz w:val="32"/>
          <w:u w:val="single"/>
        </w:rPr>
        <w:tab/>
      </w:r>
      <w:r>
        <w:rPr>
          <w:rFonts w:ascii="仿宋" w:eastAsia="仿宋" w:hint="eastAsia"/>
          <w:b/>
          <w:sz w:val="32"/>
        </w:rPr>
        <w:t>教授:您好</w:t>
      </w:r>
      <w:r>
        <w:rPr>
          <w:rFonts w:ascii="仿宋" w:eastAsia="仿宋" w:hint="eastAsia"/>
          <w:sz w:val="32"/>
        </w:rPr>
        <w:t>！</w:t>
      </w:r>
    </w:p>
    <w:p>
      <w:pPr>
        <w:spacing w:line="292" w:lineRule="auto" w:before="246"/>
        <w:ind w:left="780" w:right="1236" w:firstLine="640"/>
        <w:jc w:val="both"/>
        <w:rPr>
          <w:rFonts w:ascii="仿宋" w:eastAsia="仿宋" w:hint="eastAsia"/>
          <w:sz w:val="32"/>
        </w:rPr>
      </w:pPr>
      <w:r>
        <w:rPr>
          <w:rFonts w:ascii="仿宋" w:eastAsia="仿宋" w:hint="eastAsia"/>
          <w:spacing w:val="-3"/>
          <w:sz w:val="32"/>
        </w:rPr>
        <w:t>国家自然科学基金委员会政策局、计划局、管理科学部</w:t>
      </w:r>
      <w:r>
        <w:rPr>
          <w:rFonts w:ascii="仿宋" w:eastAsia="仿宋" w:hint="eastAsia"/>
          <w:spacing w:val="-9"/>
          <w:sz w:val="32"/>
        </w:rPr>
        <w:t>和人事局定于 </w:t>
      </w:r>
      <w:r>
        <w:rPr>
          <w:rFonts w:ascii="仿宋" w:eastAsia="仿宋" w:hint="eastAsia"/>
          <w:sz w:val="32"/>
        </w:rPr>
        <w:t>2019</w:t>
      </w:r>
      <w:r>
        <w:rPr>
          <w:rFonts w:ascii="仿宋" w:eastAsia="仿宋" w:hint="eastAsia"/>
          <w:spacing w:val="-42"/>
          <w:sz w:val="32"/>
        </w:rPr>
        <w:t> 年 </w:t>
      </w:r>
      <w:r>
        <w:rPr>
          <w:rFonts w:ascii="仿宋" w:eastAsia="仿宋" w:hint="eastAsia"/>
          <w:sz w:val="32"/>
        </w:rPr>
        <w:t>5</w:t>
      </w:r>
      <w:r>
        <w:rPr>
          <w:rFonts w:ascii="仿宋" w:eastAsia="仿宋" w:hint="eastAsia"/>
          <w:spacing w:val="-42"/>
          <w:sz w:val="32"/>
        </w:rPr>
        <w:t> 月 </w:t>
      </w:r>
      <w:r>
        <w:rPr>
          <w:rFonts w:ascii="仿宋" w:eastAsia="仿宋" w:hint="eastAsia"/>
          <w:sz w:val="32"/>
        </w:rPr>
        <w:t>23</w:t>
      </w:r>
      <w:r>
        <w:rPr>
          <w:rFonts w:ascii="仿宋" w:eastAsia="仿宋" w:hint="eastAsia"/>
          <w:spacing w:val="-32"/>
          <w:sz w:val="32"/>
        </w:rPr>
        <w:t> 日至 </w:t>
      </w:r>
      <w:r>
        <w:rPr>
          <w:rFonts w:ascii="仿宋" w:eastAsia="仿宋" w:hint="eastAsia"/>
          <w:sz w:val="32"/>
        </w:rPr>
        <w:t>24</w:t>
      </w:r>
      <w:r>
        <w:rPr>
          <w:rFonts w:ascii="仿宋" w:eastAsia="仿宋" w:hint="eastAsia"/>
          <w:spacing w:val="-9"/>
          <w:sz w:val="32"/>
        </w:rPr>
        <w:t> 日在北京联合举办第</w:t>
      </w:r>
    </w:p>
    <w:p>
      <w:pPr>
        <w:spacing w:line="292" w:lineRule="auto" w:before="0"/>
        <w:ind w:left="780" w:right="1240" w:firstLine="0"/>
        <w:jc w:val="both"/>
        <w:rPr>
          <w:rFonts w:ascii="仿宋" w:hAnsi="仿宋" w:eastAsia="仿宋" w:hint="eastAsia"/>
          <w:sz w:val="32"/>
        </w:rPr>
      </w:pPr>
      <w:r>
        <w:rPr>
          <w:rFonts w:ascii="仿宋" w:hAnsi="仿宋" w:eastAsia="仿宋" w:hint="eastAsia"/>
          <w:sz w:val="32"/>
        </w:rPr>
        <w:t>235 期双清论坛，主题为“科学基金深化改革的政策与举措”，特邀请您参加并作报告。</w:t>
      </w:r>
    </w:p>
    <w:p>
      <w:pPr>
        <w:spacing w:line="292" w:lineRule="auto" w:before="0"/>
        <w:ind w:left="780" w:right="1237" w:firstLine="640"/>
        <w:jc w:val="both"/>
        <w:rPr>
          <w:rFonts w:ascii="仿宋" w:hAnsi="仿宋" w:eastAsia="仿宋" w:hint="eastAsia"/>
          <w:sz w:val="32"/>
        </w:rPr>
      </w:pPr>
      <w:r>
        <w:rPr>
          <w:rFonts w:ascii="仿宋" w:hAnsi="仿宋" w:eastAsia="仿宋" w:hint="eastAsia"/>
          <w:spacing w:val="13"/>
          <w:w w:val="95"/>
          <w:sz w:val="32"/>
        </w:rPr>
        <w:t>“双清论坛”是国家自然科学基金委员会组织的高层 </w:t>
      </w:r>
      <w:r>
        <w:rPr>
          <w:rFonts w:ascii="仿宋" w:hAnsi="仿宋" w:eastAsia="仿宋" w:hint="eastAsia"/>
          <w:spacing w:val="-1"/>
          <w:sz w:val="32"/>
        </w:rPr>
        <w:t>次学术性战略研讨会议。本次论坛立足国家自然科学基金委</w:t>
      </w:r>
      <w:r>
        <w:rPr>
          <w:rFonts w:ascii="仿宋" w:hAnsi="仿宋" w:eastAsia="仿宋" w:hint="eastAsia"/>
          <w:spacing w:val="-2"/>
          <w:sz w:val="32"/>
        </w:rPr>
        <w:t>员会党组关于深化科学基金改革的重大决策部署，重点围绕</w:t>
      </w:r>
      <w:r>
        <w:rPr>
          <w:rFonts w:ascii="仿宋" w:hAnsi="仿宋" w:eastAsia="仿宋" w:hint="eastAsia"/>
          <w:spacing w:val="-4"/>
          <w:sz w:val="32"/>
        </w:rPr>
        <w:t>“明确资助导向，完善评审机制，优化学科布局”三大核心改革任务，探讨进一步深化科学基金改革的具体政策建议和</w:t>
      </w:r>
      <w:r>
        <w:rPr>
          <w:rFonts w:ascii="仿宋" w:hAnsi="仿宋" w:eastAsia="仿宋" w:hint="eastAsia"/>
          <w:spacing w:val="-7"/>
          <w:sz w:val="32"/>
        </w:rPr>
        <w:t>对策，为未来 </w:t>
      </w:r>
      <w:r>
        <w:rPr>
          <w:rFonts w:ascii="仿宋" w:hAnsi="仿宋" w:eastAsia="仿宋" w:hint="eastAsia"/>
          <w:sz w:val="32"/>
        </w:rPr>
        <w:t>5</w:t>
      </w:r>
      <w:r>
        <w:rPr>
          <w:rFonts w:ascii="仿宋" w:hAnsi="仿宋" w:eastAsia="仿宋" w:hint="eastAsia"/>
          <w:spacing w:val="-30"/>
          <w:sz w:val="32"/>
        </w:rPr>
        <w:t> 到 </w:t>
      </w:r>
      <w:r>
        <w:rPr>
          <w:rFonts w:ascii="仿宋" w:hAnsi="仿宋" w:eastAsia="仿宋" w:hint="eastAsia"/>
          <w:sz w:val="32"/>
        </w:rPr>
        <w:t>10</w:t>
      </w:r>
      <w:r>
        <w:rPr>
          <w:rFonts w:ascii="仿宋" w:hAnsi="仿宋" w:eastAsia="仿宋" w:hint="eastAsia"/>
          <w:spacing w:val="-8"/>
          <w:sz w:val="32"/>
        </w:rPr>
        <w:t> 年建成理念先进、制度规范、公正高</w:t>
      </w:r>
      <w:r>
        <w:rPr>
          <w:rFonts w:ascii="仿宋" w:hAnsi="仿宋" w:eastAsia="仿宋" w:hint="eastAsia"/>
          <w:spacing w:val="-3"/>
          <w:sz w:val="32"/>
        </w:rPr>
        <w:t>效的新时代科学基金体系，打造“原创导向突出、评审机制</w:t>
      </w:r>
      <w:r>
        <w:rPr>
          <w:rFonts w:ascii="仿宋" w:hAnsi="仿宋" w:eastAsia="仿宋" w:hint="eastAsia"/>
          <w:spacing w:val="-4"/>
          <w:sz w:val="32"/>
        </w:rPr>
        <w:t>先进、学科布局优化、前沿需求统一、交叉特征明显、开放</w:t>
      </w:r>
      <w:r>
        <w:rPr>
          <w:rFonts w:ascii="仿宋" w:hAnsi="仿宋" w:eastAsia="仿宋" w:hint="eastAsia"/>
          <w:spacing w:val="-3"/>
          <w:sz w:val="32"/>
        </w:rPr>
        <w:t>合作深化”的卓越科学资助机构，增强源头创新能力，夯实世界科技强国建设的根基作出积极贡献。</w:t>
      </w:r>
    </w:p>
    <w:p>
      <w:pPr>
        <w:spacing w:before="0"/>
        <w:ind w:left="1366" w:right="0" w:firstLine="0"/>
        <w:jc w:val="left"/>
        <w:rPr>
          <w:rFonts w:ascii="仿宋" w:eastAsia="仿宋" w:hint="eastAsia"/>
          <w:b/>
          <w:sz w:val="32"/>
        </w:rPr>
      </w:pPr>
      <w:r>
        <w:rPr>
          <w:rFonts w:ascii="仿宋" w:eastAsia="仿宋" w:hint="eastAsia"/>
          <w:b/>
          <w:sz w:val="32"/>
        </w:rPr>
        <w:t>会议议题：</w:t>
      </w:r>
    </w:p>
    <w:p>
      <w:pPr>
        <w:pStyle w:val="ListParagraph"/>
        <w:numPr>
          <w:ilvl w:val="0"/>
          <w:numId w:val="6"/>
        </w:numPr>
        <w:tabs>
          <w:tab w:pos="1743" w:val="left" w:leader="none"/>
        </w:tabs>
        <w:spacing w:line="240" w:lineRule="auto" w:before="88" w:after="0"/>
        <w:ind w:left="1742" w:right="0" w:hanging="322"/>
        <w:jc w:val="left"/>
        <w:rPr>
          <w:rFonts w:ascii="仿宋" w:eastAsia="仿宋" w:hint="eastAsia"/>
          <w:sz w:val="32"/>
        </w:rPr>
      </w:pPr>
      <w:r>
        <w:rPr>
          <w:rFonts w:ascii="仿宋" w:eastAsia="仿宋" w:hint="eastAsia"/>
          <w:w w:val="95"/>
          <w:sz w:val="32"/>
        </w:rPr>
        <w:t>新时代基础研究发展趋势和资助管理改革需求；</w:t>
      </w:r>
    </w:p>
    <w:p>
      <w:pPr>
        <w:pStyle w:val="ListParagraph"/>
        <w:numPr>
          <w:ilvl w:val="0"/>
          <w:numId w:val="6"/>
        </w:numPr>
        <w:tabs>
          <w:tab w:pos="1743" w:val="left" w:leader="none"/>
        </w:tabs>
        <w:spacing w:line="240" w:lineRule="auto" w:before="89" w:after="0"/>
        <w:ind w:left="1742" w:right="0" w:hanging="322"/>
        <w:jc w:val="left"/>
        <w:rPr>
          <w:rFonts w:ascii="仿宋" w:eastAsia="仿宋" w:hint="eastAsia"/>
          <w:sz w:val="32"/>
        </w:rPr>
      </w:pPr>
      <w:r>
        <w:rPr>
          <w:rFonts w:ascii="仿宋" w:eastAsia="仿宋" w:hint="eastAsia"/>
          <w:w w:val="95"/>
          <w:sz w:val="32"/>
        </w:rPr>
        <w:t>我国创新驱动发展背景下的基础研究资助导向；</w:t>
      </w:r>
    </w:p>
    <w:p>
      <w:pPr>
        <w:pStyle w:val="ListParagraph"/>
        <w:numPr>
          <w:ilvl w:val="0"/>
          <w:numId w:val="6"/>
        </w:numPr>
        <w:tabs>
          <w:tab w:pos="1743" w:val="left" w:leader="none"/>
        </w:tabs>
        <w:spacing w:line="240" w:lineRule="auto" w:before="92" w:after="0"/>
        <w:ind w:left="1742" w:right="0" w:hanging="322"/>
        <w:jc w:val="left"/>
        <w:rPr>
          <w:rFonts w:ascii="仿宋" w:eastAsia="仿宋" w:hint="eastAsia"/>
          <w:sz w:val="32"/>
        </w:rPr>
      </w:pPr>
      <w:r>
        <w:rPr>
          <w:rFonts w:ascii="仿宋" w:eastAsia="仿宋" w:hint="eastAsia"/>
          <w:sz w:val="32"/>
        </w:rPr>
        <w:t>多元资助格局下的基础研究绩效与管理；</w:t>
      </w:r>
    </w:p>
    <w:p>
      <w:pPr>
        <w:spacing w:after="0" w:line="240" w:lineRule="auto"/>
        <w:jc w:val="left"/>
        <w:rPr>
          <w:rFonts w:ascii="仿宋" w:eastAsia="仿宋" w:hint="eastAsia"/>
          <w:sz w:val="32"/>
        </w:rPr>
        <w:sectPr>
          <w:pgSz w:w="11910" w:h="16840"/>
          <w:pgMar w:header="0" w:footer="1035" w:top="1480" w:bottom="1300" w:left="1020" w:right="560"/>
        </w:sectPr>
      </w:pPr>
    </w:p>
    <w:p>
      <w:pPr>
        <w:pStyle w:val="ListParagraph"/>
        <w:numPr>
          <w:ilvl w:val="0"/>
          <w:numId w:val="6"/>
        </w:numPr>
        <w:tabs>
          <w:tab w:pos="1743" w:val="left" w:leader="none"/>
        </w:tabs>
        <w:spacing w:line="240" w:lineRule="auto" w:before="42" w:after="0"/>
        <w:ind w:left="1742" w:right="0" w:hanging="322"/>
        <w:jc w:val="left"/>
        <w:rPr>
          <w:rFonts w:ascii="仿宋" w:eastAsia="仿宋" w:hint="eastAsia"/>
          <w:sz w:val="32"/>
        </w:rPr>
      </w:pPr>
      <w:r>
        <w:rPr>
          <w:rFonts w:ascii="仿宋" w:eastAsia="仿宋" w:hint="eastAsia"/>
          <w:sz w:val="32"/>
        </w:rPr>
        <w:t>促进学科交叉与优化学科布局的政策与管理；</w:t>
      </w:r>
    </w:p>
    <w:p>
      <w:pPr>
        <w:pStyle w:val="ListParagraph"/>
        <w:numPr>
          <w:ilvl w:val="0"/>
          <w:numId w:val="6"/>
        </w:numPr>
        <w:tabs>
          <w:tab w:pos="1743" w:val="left" w:leader="none"/>
        </w:tabs>
        <w:spacing w:line="292" w:lineRule="auto" w:before="90" w:after="0"/>
        <w:ind w:left="1423" w:right="1236" w:hanging="3"/>
        <w:jc w:val="left"/>
        <w:rPr>
          <w:rFonts w:ascii="仿宋" w:eastAsia="仿宋" w:hint="eastAsia"/>
          <w:sz w:val="32"/>
        </w:rPr>
      </w:pPr>
      <w:r>
        <w:rPr>
          <w:rFonts w:ascii="仿宋" w:eastAsia="仿宋" w:hint="eastAsia"/>
          <w:sz w:val="32"/>
        </w:rPr>
        <w:t>完善科学基金项目评审制度及机制的政策与管理。</w:t>
      </w:r>
      <w:r>
        <w:rPr>
          <w:rFonts w:ascii="仿宋" w:eastAsia="仿宋" w:hint="eastAsia"/>
          <w:b/>
          <w:sz w:val="32"/>
        </w:rPr>
        <w:t>日程安排</w:t>
      </w:r>
      <w:r>
        <w:rPr>
          <w:rFonts w:ascii="仿宋" w:eastAsia="仿宋" w:hint="eastAsia"/>
          <w:sz w:val="32"/>
        </w:rPr>
        <w:t>：5</w:t>
      </w:r>
      <w:r>
        <w:rPr>
          <w:rFonts w:ascii="仿宋" w:eastAsia="仿宋" w:hint="eastAsia"/>
          <w:spacing w:val="-32"/>
          <w:sz w:val="32"/>
        </w:rPr>
        <w:t> 月 </w:t>
      </w:r>
      <w:r>
        <w:rPr>
          <w:rFonts w:ascii="仿宋" w:eastAsia="仿宋" w:hint="eastAsia"/>
          <w:sz w:val="32"/>
        </w:rPr>
        <w:t>23</w:t>
      </w:r>
      <w:r>
        <w:rPr>
          <w:rFonts w:ascii="仿宋" w:eastAsia="仿宋" w:hint="eastAsia"/>
          <w:spacing w:val="-8"/>
          <w:sz w:val="32"/>
        </w:rPr>
        <w:t> 日大会报告；</w:t>
      </w:r>
      <w:r>
        <w:rPr>
          <w:rFonts w:ascii="仿宋" w:eastAsia="仿宋" w:hint="eastAsia"/>
          <w:sz w:val="32"/>
        </w:rPr>
        <w:t>24</w:t>
      </w:r>
      <w:r>
        <w:rPr>
          <w:rFonts w:ascii="仿宋" w:eastAsia="仿宋" w:hint="eastAsia"/>
          <w:spacing w:val="-8"/>
          <w:sz w:val="32"/>
        </w:rPr>
        <w:t> 日上午集中研讨改</w:t>
      </w:r>
    </w:p>
    <w:p>
      <w:pPr>
        <w:spacing w:line="292" w:lineRule="auto" w:before="0"/>
        <w:ind w:left="780" w:right="1236" w:firstLine="0"/>
        <w:jc w:val="both"/>
        <w:rPr>
          <w:rFonts w:ascii="仿宋" w:eastAsia="仿宋" w:hint="eastAsia"/>
          <w:sz w:val="32"/>
        </w:rPr>
      </w:pPr>
      <w:r>
        <w:rPr>
          <w:rFonts w:ascii="仿宋" w:eastAsia="仿宋" w:hint="eastAsia"/>
          <w:spacing w:val="-6"/>
          <w:sz w:val="32"/>
        </w:rPr>
        <w:t>革政策与举措，凝练形成政策建议；</w:t>
      </w:r>
      <w:r>
        <w:rPr>
          <w:rFonts w:ascii="仿宋" w:eastAsia="仿宋" w:hint="eastAsia"/>
          <w:spacing w:val="-5"/>
          <w:sz w:val="32"/>
        </w:rPr>
        <w:t>24</w:t>
      </w:r>
      <w:r>
        <w:rPr>
          <w:rFonts w:ascii="仿宋" w:eastAsia="仿宋" w:hint="eastAsia"/>
          <w:spacing w:val="-15"/>
          <w:sz w:val="32"/>
        </w:rPr>
        <w:t> 日下午离会。论坛拟</w:t>
      </w:r>
      <w:r>
        <w:rPr>
          <w:rFonts w:ascii="仿宋" w:eastAsia="仿宋" w:hint="eastAsia"/>
          <w:spacing w:val="-3"/>
          <w:sz w:val="32"/>
        </w:rPr>
        <w:t>采用报告和专家研讨相结合，力求凝聚共识，探讨丰富和完</w:t>
      </w:r>
      <w:r>
        <w:rPr>
          <w:rFonts w:ascii="仿宋" w:eastAsia="仿宋" w:hint="eastAsia"/>
          <w:spacing w:val="-6"/>
          <w:sz w:val="32"/>
        </w:rPr>
        <w:t>善新时期科学基金深化改革的政策及具体措施，提出有针对</w:t>
      </w:r>
      <w:r>
        <w:rPr>
          <w:rFonts w:ascii="仿宋" w:eastAsia="仿宋" w:hint="eastAsia"/>
          <w:spacing w:val="-1"/>
          <w:sz w:val="32"/>
        </w:rPr>
        <w:t>性、创新性的意见或建议。报告时间为 </w:t>
      </w:r>
      <w:r>
        <w:rPr>
          <w:rFonts w:ascii="仿宋" w:eastAsia="仿宋" w:hint="eastAsia"/>
          <w:sz w:val="32"/>
        </w:rPr>
        <w:t>15</w:t>
      </w:r>
      <w:r>
        <w:rPr>
          <w:rFonts w:ascii="仿宋" w:eastAsia="仿宋" w:hint="eastAsia"/>
          <w:spacing w:val="-5"/>
          <w:sz w:val="32"/>
        </w:rPr>
        <w:t> 分钟，研讨期间</w:t>
      </w:r>
    </w:p>
    <w:p>
      <w:pPr>
        <w:spacing w:line="408" w:lineRule="exact" w:before="0"/>
        <w:ind w:left="780" w:right="0" w:firstLine="0"/>
        <w:jc w:val="both"/>
        <w:rPr>
          <w:rFonts w:ascii="仿宋" w:eastAsia="仿宋" w:hint="eastAsia"/>
          <w:sz w:val="32"/>
        </w:rPr>
      </w:pPr>
      <w:r>
        <w:rPr>
          <w:rFonts w:ascii="仿宋" w:eastAsia="仿宋" w:hint="eastAsia"/>
          <w:sz w:val="32"/>
        </w:rPr>
        <w:t>每人每次发言不超过 5 分钟，可以多次发言。</w:t>
      </w:r>
    </w:p>
    <w:p>
      <w:pPr>
        <w:spacing w:before="92"/>
        <w:ind w:left="1366" w:right="0" w:firstLine="0"/>
        <w:jc w:val="left"/>
        <w:rPr>
          <w:rFonts w:ascii="仿宋" w:eastAsia="仿宋" w:hint="eastAsia"/>
          <w:sz w:val="32"/>
        </w:rPr>
      </w:pPr>
      <w:r>
        <w:rPr>
          <w:rFonts w:ascii="仿宋" w:eastAsia="仿宋" w:hint="eastAsia"/>
          <w:b/>
          <w:sz w:val="32"/>
        </w:rPr>
        <w:t>会议时间</w:t>
      </w:r>
      <w:r>
        <w:rPr>
          <w:rFonts w:ascii="仿宋" w:eastAsia="仿宋" w:hint="eastAsia"/>
          <w:sz w:val="32"/>
        </w:rPr>
        <w:t>：2019</w:t>
      </w:r>
      <w:r>
        <w:rPr>
          <w:rFonts w:ascii="仿宋" w:eastAsia="仿宋" w:hint="eastAsia"/>
          <w:spacing w:val="-55"/>
          <w:sz w:val="32"/>
        </w:rPr>
        <w:t> 年 </w:t>
      </w:r>
      <w:r>
        <w:rPr>
          <w:rFonts w:ascii="仿宋" w:eastAsia="仿宋" w:hint="eastAsia"/>
          <w:sz w:val="32"/>
        </w:rPr>
        <w:t>5</w:t>
      </w:r>
      <w:r>
        <w:rPr>
          <w:rFonts w:ascii="仿宋" w:eastAsia="仿宋" w:hint="eastAsia"/>
          <w:spacing w:val="-53"/>
          <w:sz w:val="32"/>
        </w:rPr>
        <w:t> 月 </w:t>
      </w:r>
      <w:r>
        <w:rPr>
          <w:rFonts w:ascii="仿宋" w:eastAsia="仿宋" w:hint="eastAsia"/>
          <w:sz w:val="32"/>
        </w:rPr>
        <w:t>23</w:t>
      </w:r>
      <w:r>
        <w:rPr>
          <w:rFonts w:ascii="仿宋" w:eastAsia="仿宋" w:hint="eastAsia"/>
          <w:spacing w:val="-41"/>
          <w:sz w:val="32"/>
        </w:rPr>
        <w:t> 日至 </w:t>
      </w:r>
      <w:r>
        <w:rPr>
          <w:rFonts w:ascii="仿宋" w:eastAsia="仿宋" w:hint="eastAsia"/>
          <w:sz w:val="32"/>
        </w:rPr>
        <w:t>24</w:t>
      </w:r>
      <w:r>
        <w:rPr>
          <w:rFonts w:ascii="仿宋" w:eastAsia="仿宋" w:hint="eastAsia"/>
          <w:spacing w:val="-40"/>
          <w:sz w:val="32"/>
        </w:rPr>
        <w:t> 日</w:t>
      </w:r>
    </w:p>
    <w:p>
      <w:pPr>
        <w:spacing w:before="90"/>
        <w:ind w:left="1366" w:right="0" w:firstLine="0"/>
        <w:jc w:val="left"/>
        <w:rPr>
          <w:rFonts w:ascii="仿宋" w:eastAsia="仿宋" w:hint="eastAsia"/>
          <w:sz w:val="32"/>
        </w:rPr>
      </w:pPr>
      <w:r>
        <w:rPr>
          <w:rFonts w:ascii="仿宋" w:eastAsia="仿宋" w:hint="eastAsia"/>
          <w:b/>
          <w:sz w:val="32"/>
        </w:rPr>
        <w:t>会议地点</w:t>
      </w:r>
      <w:r>
        <w:rPr>
          <w:rFonts w:ascii="仿宋" w:eastAsia="仿宋" w:hint="eastAsia"/>
          <w:sz w:val="32"/>
        </w:rPr>
        <w:t>：北京会议中心 6 号楼第一会议室</w:t>
      </w:r>
    </w:p>
    <w:p>
      <w:pPr>
        <w:spacing w:before="89"/>
        <w:ind w:left="1387" w:right="0" w:firstLine="0"/>
        <w:jc w:val="left"/>
        <w:rPr>
          <w:rFonts w:ascii="仿宋" w:eastAsia="仿宋" w:hint="eastAsia"/>
          <w:sz w:val="32"/>
        </w:rPr>
      </w:pPr>
      <w:r>
        <w:rPr>
          <w:rFonts w:ascii="仿宋" w:eastAsia="仿宋" w:hint="eastAsia"/>
          <w:b/>
          <w:sz w:val="32"/>
        </w:rPr>
        <w:t>报到时间</w:t>
      </w:r>
      <w:r>
        <w:rPr>
          <w:rFonts w:ascii="仿宋" w:eastAsia="仿宋" w:hint="eastAsia"/>
          <w:sz w:val="32"/>
        </w:rPr>
        <w:t>：2019</w:t>
      </w:r>
      <w:r>
        <w:rPr>
          <w:rFonts w:ascii="仿宋" w:eastAsia="仿宋" w:hint="eastAsia"/>
          <w:spacing w:val="-55"/>
          <w:sz w:val="32"/>
        </w:rPr>
        <w:t> 年 </w:t>
      </w:r>
      <w:r>
        <w:rPr>
          <w:rFonts w:ascii="仿宋" w:eastAsia="仿宋" w:hint="eastAsia"/>
          <w:sz w:val="32"/>
        </w:rPr>
        <w:t>5</w:t>
      </w:r>
      <w:r>
        <w:rPr>
          <w:rFonts w:ascii="仿宋" w:eastAsia="仿宋" w:hint="eastAsia"/>
          <w:spacing w:val="-53"/>
          <w:sz w:val="32"/>
        </w:rPr>
        <w:t> 月 </w:t>
      </w:r>
      <w:r>
        <w:rPr>
          <w:rFonts w:ascii="仿宋" w:eastAsia="仿宋" w:hint="eastAsia"/>
          <w:sz w:val="32"/>
        </w:rPr>
        <w:t>22</w:t>
      </w:r>
      <w:r>
        <w:rPr>
          <w:rFonts w:ascii="仿宋" w:eastAsia="仿宋" w:hint="eastAsia"/>
          <w:spacing w:val="-21"/>
          <w:sz w:val="32"/>
        </w:rPr>
        <w:t> 日下午</w:t>
      </w:r>
    </w:p>
    <w:p>
      <w:pPr>
        <w:spacing w:line="292" w:lineRule="auto" w:before="91"/>
        <w:ind w:left="2701" w:right="1382" w:hanging="1314"/>
        <w:jc w:val="both"/>
        <w:rPr>
          <w:rFonts w:ascii="仿宋" w:eastAsia="仿宋" w:hint="eastAsia"/>
          <w:sz w:val="32"/>
        </w:rPr>
      </w:pPr>
      <w:r>
        <w:rPr>
          <w:rFonts w:ascii="仿宋" w:eastAsia="仿宋" w:hint="eastAsia"/>
          <w:b/>
          <w:sz w:val="32"/>
        </w:rPr>
        <w:t>联系人</w:t>
      </w:r>
      <w:r>
        <w:rPr>
          <w:rFonts w:ascii="仿宋" w:eastAsia="仿宋" w:hint="eastAsia"/>
          <w:sz w:val="32"/>
        </w:rPr>
        <w:t>：张兴伟（政策局）</w:t>
      </w:r>
      <w:r>
        <w:rPr>
          <w:rFonts w:ascii="仿宋" w:eastAsia="仿宋" w:hint="eastAsia"/>
          <w:spacing w:val="28"/>
          <w:sz w:val="32"/>
        </w:rPr>
        <w:t>  电话：</w:t>
      </w:r>
      <w:r>
        <w:rPr>
          <w:rFonts w:ascii="仿宋" w:eastAsia="仿宋" w:hint="eastAsia"/>
          <w:sz w:val="32"/>
        </w:rPr>
        <w:t>010-62326912 刘益宏（计划局）</w:t>
      </w:r>
      <w:r>
        <w:rPr>
          <w:rFonts w:ascii="仿宋" w:eastAsia="仿宋" w:hint="eastAsia"/>
          <w:spacing w:val="29"/>
          <w:sz w:val="32"/>
        </w:rPr>
        <w:t>  电话：</w:t>
      </w:r>
      <w:r>
        <w:rPr>
          <w:rFonts w:ascii="仿宋" w:eastAsia="仿宋" w:hint="eastAsia"/>
          <w:sz w:val="32"/>
        </w:rPr>
        <w:t>010-62328287 </w:t>
      </w:r>
      <w:r>
        <w:rPr>
          <w:rFonts w:ascii="仿宋" w:eastAsia="仿宋" w:hint="eastAsia"/>
          <w:spacing w:val="18"/>
          <w:sz w:val="32"/>
        </w:rPr>
        <w:t>李 璐 (人事局)   电话：</w:t>
      </w:r>
      <w:r>
        <w:rPr>
          <w:rFonts w:ascii="仿宋" w:eastAsia="仿宋" w:hint="eastAsia"/>
          <w:sz w:val="32"/>
        </w:rPr>
        <w:t>010-62326459 </w:t>
      </w:r>
      <w:r>
        <w:rPr>
          <w:rFonts w:ascii="仿宋" w:eastAsia="仿宋" w:hint="eastAsia"/>
          <w:spacing w:val="50"/>
          <w:sz w:val="32"/>
        </w:rPr>
        <w:t>吴 刚</w:t>
      </w:r>
      <w:r>
        <w:rPr>
          <w:rFonts w:ascii="仿宋" w:eastAsia="仿宋" w:hint="eastAsia"/>
          <w:sz w:val="32"/>
        </w:rPr>
        <w:t>（管理科学部）</w:t>
      </w:r>
      <w:r>
        <w:rPr>
          <w:rFonts w:ascii="仿宋" w:eastAsia="仿宋" w:hint="eastAsia"/>
          <w:spacing w:val="-2"/>
          <w:sz w:val="32"/>
        </w:rPr>
        <w:t> 电话：</w:t>
      </w:r>
      <w:r>
        <w:rPr>
          <w:rFonts w:ascii="仿宋" w:eastAsia="仿宋" w:hint="eastAsia"/>
          <w:sz w:val="32"/>
        </w:rPr>
        <w:t>010-62327152 任之光（管理科学部）</w:t>
      </w:r>
      <w:r>
        <w:rPr>
          <w:rFonts w:ascii="仿宋" w:eastAsia="仿宋" w:hint="eastAsia"/>
          <w:spacing w:val="-3"/>
          <w:sz w:val="32"/>
        </w:rPr>
        <w:t> 电话：</w:t>
      </w:r>
      <w:r>
        <w:rPr>
          <w:rFonts w:ascii="仿宋" w:eastAsia="仿宋" w:hint="eastAsia"/>
          <w:sz w:val="32"/>
        </w:rPr>
        <w:t>010-62326972</w:t>
      </w:r>
    </w:p>
    <w:p>
      <w:pPr>
        <w:spacing w:line="408" w:lineRule="exact" w:before="0"/>
        <w:ind w:left="1370" w:right="0" w:firstLine="0"/>
        <w:jc w:val="left"/>
        <w:rPr>
          <w:rFonts w:ascii="仿宋" w:eastAsia="仿宋" w:hint="eastAsia"/>
          <w:sz w:val="32"/>
        </w:rPr>
      </w:pPr>
      <w:r>
        <w:rPr>
          <w:rFonts w:ascii="仿宋" w:eastAsia="仿宋" w:hint="eastAsia"/>
          <w:b/>
          <w:sz w:val="32"/>
        </w:rPr>
        <w:t>联系电邮</w:t>
      </w:r>
      <w:hyperlink r:id="rId7">
        <w:r>
          <w:rPr>
            <w:rFonts w:ascii="仿宋" w:eastAsia="仿宋" w:hint="eastAsia"/>
            <w:sz w:val="32"/>
          </w:rPr>
          <w:t>：zhcj@nsfc.gov.cn</w:t>
        </w:r>
      </w:hyperlink>
    </w:p>
    <w:p>
      <w:pPr>
        <w:spacing w:line="628" w:lineRule="auto" w:before="92"/>
        <w:ind w:left="1363" w:right="1926" w:firstLine="0"/>
        <w:jc w:val="left"/>
        <w:rPr>
          <w:rFonts w:ascii="仿宋" w:eastAsia="仿宋" w:hint="eastAsia"/>
          <w:sz w:val="32"/>
        </w:rPr>
      </w:pPr>
      <w:r>
        <w:rPr>
          <w:rFonts w:ascii="仿宋" w:eastAsia="仿宋" w:hint="eastAsia"/>
          <w:sz w:val="32"/>
        </w:rPr>
        <w:t>您与会期间食宿费由会议承担，其它费用请自理。</w:t>
      </w:r>
      <w:r>
        <w:rPr>
          <w:rFonts w:ascii="仿宋" w:eastAsia="仿宋" w:hint="eastAsia"/>
          <w:b/>
          <w:sz w:val="32"/>
        </w:rPr>
        <w:t>附件</w:t>
      </w:r>
      <w:r>
        <w:rPr>
          <w:rFonts w:ascii="仿宋" w:eastAsia="仿宋" w:hint="eastAsia"/>
          <w:sz w:val="32"/>
        </w:rPr>
        <w:t>：北京会议中心路线图</w:t>
      </w:r>
    </w:p>
    <w:p>
      <w:pPr>
        <w:pStyle w:val="BodyText"/>
        <w:rPr>
          <w:rFonts w:ascii="仿宋"/>
          <w:sz w:val="32"/>
        </w:rPr>
      </w:pPr>
    </w:p>
    <w:p>
      <w:pPr>
        <w:pStyle w:val="BodyText"/>
        <w:spacing w:before="6"/>
        <w:rPr>
          <w:rFonts w:ascii="仿宋"/>
          <w:sz w:val="46"/>
        </w:rPr>
      </w:pPr>
    </w:p>
    <w:p>
      <w:pPr>
        <w:spacing w:line="324" w:lineRule="auto" w:before="0"/>
        <w:ind w:left="5310" w:right="1602" w:hanging="1066"/>
        <w:jc w:val="left"/>
        <w:rPr>
          <w:rFonts w:ascii="仿宋" w:eastAsia="仿宋" w:hint="eastAsia"/>
          <w:sz w:val="32"/>
        </w:rPr>
      </w:pPr>
      <w:r>
        <w:rPr>
          <w:rFonts w:ascii="仿宋" w:eastAsia="仿宋" w:hint="eastAsia"/>
          <w:spacing w:val="-2"/>
          <w:sz w:val="32"/>
        </w:rPr>
        <w:t>国家自然科学基金委员会政策局</w:t>
      </w:r>
      <w:r>
        <w:rPr>
          <w:rFonts w:ascii="仿宋" w:eastAsia="仿宋" w:hint="eastAsia"/>
          <w:sz w:val="32"/>
        </w:rPr>
        <w:t>2019</w:t>
      </w:r>
      <w:r>
        <w:rPr>
          <w:rFonts w:ascii="仿宋" w:eastAsia="仿宋" w:hint="eastAsia"/>
          <w:spacing w:val="-55"/>
          <w:sz w:val="32"/>
        </w:rPr>
        <w:t> 年 </w:t>
      </w:r>
      <w:r>
        <w:rPr>
          <w:rFonts w:ascii="仿宋" w:eastAsia="仿宋" w:hint="eastAsia"/>
          <w:sz w:val="32"/>
        </w:rPr>
        <w:t>5</w:t>
      </w:r>
      <w:r>
        <w:rPr>
          <w:rFonts w:ascii="仿宋" w:eastAsia="仿宋" w:hint="eastAsia"/>
          <w:spacing w:val="-54"/>
          <w:sz w:val="32"/>
        </w:rPr>
        <w:t> 月 </w:t>
      </w:r>
      <w:r>
        <w:rPr>
          <w:rFonts w:ascii="仿宋" w:eastAsia="仿宋" w:hint="eastAsia"/>
          <w:sz w:val="32"/>
        </w:rPr>
        <w:t>6</w:t>
      </w:r>
      <w:r>
        <w:rPr>
          <w:rFonts w:ascii="仿宋" w:eastAsia="仿宋" w:hint="eastAsia"/>
          <w:spacing w:val="-40"/>
          <w:sz w:val="32"/>
        </w:rPr>
        <w:t> 日</w:t>
      </w:r>
    </w:p>
    <w:p>
      <w:pPr>
        <w:spacing w:after="0" w:line="324" w:lineRule="auto"/>
        <w:jc w:val="left"/>
        <w:rPr>
          <w:rFonts w:ascii="仿宋" w:eastAsia="仿宋" w:hint="eastAsia"/>
          <w:sz w:val="32"/>
        </w:rPr>
        <w:sectPr>
          <w:pgSz w:w="11910" w:h="16840"/>
          <w:pgMar w:header="0" w:footer="1035" w:top="1460" w:bottom="1300" w:left="1020" w:right="560"/>
        </w:sectPr>
      </w:pPr>
    </w:p>
    <w:p>
      <w:pPr>
        <w:spacing w:before="47"/>
        <w:ind w:left="780" w:right="0" w:firstLine="0"/>
        <w:jc w:val="left"/>
        <w:rPr>
          <w:rFonts w:ascii="华文中宋" w:eastAsia="华文中宋" w:hint="eastAsia"/>
          <w:b/>
          <w:sz w:val="32"/>
        </w:rPr>
      </w:pPr>
      <w:r>
        <w:rPr>
          <w:rFonts w:ascii="黑体" w:eastAsia="黑体" w:hint="eastAsia"/>
          <w:b/>
          <w:sz w:val="30"/>
        </w:rPr>
        <w:t>附件</w:t>
      </w:r>
      <w:r>
        <w:rPr>
          <w:rFonts w:ascii="华文中宋" w:eastAsia="华文中宋" w:hint="eastAsia"/>
          <w:b/>
          <w:sz w:val="30"/>
        </w:rPr>
        <w:t>：</w:t>
      </w:r>
      <w:r>
        <w:rPr>
          <w:rFonts w:ascii="华文中宋" w:eastAsia="华文中宋" w:hint="eastAsia"/>
          <w:b/>
          <w:sz w:val="32"/>
        </w:rPr>
        <w:t>北京会议中心路线图</w:t>
      </w:r>
    </w:p>
    <w:p>
      <w:pPr>
        <w:pStyle w:val="BodyText"/>
        <w:spacing w:before="15"/>
        <w:rPr>
          <w:rFonts w:ascii="华文中宋"/>
          <w:b/>
        </w:rPr>
      </w:pPr>
      <w:r>
        <w:rPr/>
        <w:drawing>
          <wp:anchor distT="0" distB="0" distL="0" distR="0" allowOverlap="1" layoutInCell="1" locked="0" behindDoc="0" simplePos="0" relativeHeight="9">
            <wp:simplePos x="0" y="0"/>
            <wp:positionH relativeFrom="page">
              <wp:posOffset>1143000</wp:posOffset>
            </wp:positionH>
            <wp:positionV relativeFrom="paragraph">
              <wp:posOffset>316712</wp:posOffset>
            </wp:positionV>
            <wp:extent cx="5362760" cy="5086921"/>
            <wp:effectExtent l="0" t="0" r="0" b="0"/>
            <wp:wrapTopAndBottom/>
            <wp:docPr id="3" name="image3.jpeg"/>
            <wp:cNvGraphicFramePr>
              <a:graphicFrameLocks noChangeAspect="1"/>
            </wp:cNvGraphicFramePr>
            <a:graphic>
              <a:graphicData uri="http://schemas.openxmlformats.org/drawingml/2006/picture">
                <pic:pic>
                  <pic:nvPicPr>
                    <pic:cNvPr id="4" name="image3.jpeg"/>
                    <pic:cNvPicPr/>
                  </pic:nvPicPr>
                  <pic:blipFill>
                    <a:blip r:embed="rId10" cstate="print"/>
                    <a:stretch>
                      <a:fillRect/>
                    </a:stretch>
                  </pic:blipFill>
                  <pic:spPr>
                    <a:xfrm>
                      <a:off x="0" y="0"/>
                      <a:ext cx="5362760" cy="5086921"/>
                    </a:xfrm>
                    <a:prstGeom prst="rect">
                      <a:avLst/>
                    </a:prstGeom>
                  </pic:spPr>
                </pic:pic>
              </a:graphicData>
            </a:graphic>
          </wp:anchor>
        </w:drawing>
      </w:r>
    </w:p>
    <w:p>
      <w:pPr>
        <w:pStyle w:val="BodyText"/>
        <w:spacing w:before="13"/>
        <w:rPr>
          <w:rFonts w:ascii="华文中宋"/>
          <w:b/>
          <w:sz w:val="26"/>
        </w:rPr>
      </w:pPr>
    </w:p>
    <w:p>
      <w:pPr>
        <w:pStyle w:val="ListParagraph"/>
        <w:numPr>
          <w:ilvl w:val="0"/>
          <w:numId w:val="7"/>
        </w:numPr>
        <w:tabs>
          <w:tab w:pos="1347" w:val="left" w:leader="none"/>
        </w:tabs>
        <w:spacing w:line="240" w:lineRule="auto" w:before="61" w:after="0"/>
        <w:ind w:left="1346" w:right="0" w:hanging="421"/>
        <w:jc w:val="left"/>
        <w:rPr>
          <w:rFonts w:ascii="仿宋" w:eastAsia="仿宋" w:hint="eastAsia"/>
          <w:sz w:val="28"/>
        </w:rPr>
      </w:pPr>
      <w:r>
        <w:rPr>
          <w:rFonts w:ascii="仿宋" w:eastAsia="仿宋" w:hint="eastAsia"/>
          <w:spacing w:val="-8"/>
          <w:sz w:val="28"/>
        </w:rPr>
        <w:t>北京南站：距北京会议中心约 </w:t>
      </w:r>
      <w:r>
        <w:rPr>
          <w:rFonts w:ascii="仿宋" w:eastAsia="仿宋" w:hint="eastAsia"/>
          <w:sz w:val="28"/>
        </w:rPr>
        <w:t>23km</w:t>
      </w:r>
      <w:r>
        <w:rPr>
          <w:rFonts w:ascii="仿宋" w:eastAsia="仿宋" w:hint="eastAsia"/>
          <w:spacing w:val="-14"/>
          <w:sz w:val="28"/>
        </w:rPr>
        <w:t>，打车约 </w:t>
      </w:r>
      <w:r>
        <w:rPr>
          <w:rFonts w:ascii="仿宋" w:eastAsia="仿宋" w:hint="eastAsia"/>
          <w:sz w:val="28"/>
        </w:rPr>
        <w:t>1</w:t>
      </w:r>
      <w:r>
        <w:rPr>
          <w:rFonts w:ascii="仿宋" w:eastAsia="仿宋" w:hint="eastAsia"/>
          <w:spacing w:val="-24"/>
          <w:sz w:val="28"/>
        </w:rPr>
        <w:t> 小时</w:t>
      </w:r>
      <w:r>
        <w:rPr>
          <w:rFonts w:ascii="仿宋" w:eastAsia="仿宋" w:hint="eastAsia"/>
          <w:sz w:val="28"/>
        </w:rPr>
        <w:t>（85</w:t>
      </w:r>
      <w:r>
        <w:rPr>
          <w:rFonts w:ascii="仿宋" w:eastAsia="仿宋" w:hint="eastAsia"/>
          <w:spacing w:val="-36"/>
          <w:sz w:val="28"/>
        </w:rPr>
        <w:t> 元</w:t>
      </w:r>
      <w:r>
        <w:rPr>
          <w:rFonts w:ascii="仿宋" w:eastAsia="仿宋" w:hint="eastAsia"/>
          <w:spacing w:val="-140"/>
          <w:sz w:val="28"/>
        </w:rPr>
        <w:t>）</w:t>
      </w:r>
      <w:r>
        <w:rPr>
          <w:rFonts w:ascii="仿宋" w:eastAsia="仿宋" w:hint="eastAsia"/>
          <w:sz w:val="28"/>
        </w:rPr>
        <w:t>。</w:t>
      </w:r>
    </w:p>
    <w:p>
      <w:pPr>
        <w:pStyle w:val="ListParagraph"/>
        <w:numPr>
          <w:ilvl w:val="0"/>
          <w:numId w:val="7"/>
        </w:numPr>
        <w:tabs>
          <w:tab w:pos="1347" w:val="left" w:leader="none"/>
        </w:tabs>
        <w:spacing w:line="240" w:lineRule="auto" w:before="121" w:after="0"/>
        <w:ind w:left="1346" w:right="0" w:hanging="421"/>
        <w:jc w:val="left"/>
        <w:rPr>
          <w:rFonts w:ascii="仿宋" w:eastAsia="仿宋" w:hint="eastAsia"/>
          <w:sz w:val="28"/>
        </w:rPr>
      </w:pPr>
      <w:r>
        <w:rPr>
          <w:rFonts w:ascii="仿宋" w:eastAsia="仿宋" w:hint="eastAsia"/>
          <w:spacing w:val="-9"/>
          <w:sz w:val="28"/>
        </w:rPr>
        <w:t>北京站：距北京会议中心约 </w:t>
      </w:r>
      <w:r>
        <w:rPr>
          <w:rFonts w:ascii="仿宋" w:eastAsia="仿宋" w:hint="eastAsia"/>
          <w:sz w:val="28"/>
        </w:rPr>
        <w:t>18km</w:t>
      </w:r>
      <w:r>
        <w:rPr>
          <w:rFonts w:ascii="仿宋" w:eastAsia="仿宋" w:hint="eastAsia"/>
          <w:spacing w:val="-15"/>
          <w:sz w:val="28"/>
        </w:rPr>
        <w:t>，打车约 </w:t>
      </w:r>
      <w:r>
        <w:rPr>
          <w:rFonts w:ascii="仿宋" w:eastAsia="仿宋" w:hint="eastAsia"/>
          <w:sz w:val="28"/>
        </w:rPr>
        <w:t>50</w:t>
      </w:r>
      <w:r>
        <w:rPr>
          <w:rFonts w:ascii="仿宋" w:eastAsia="仿宋" w:hint="eastAsia"/>
          <w:spacing w:val="-24"/>
          <w:sz w:val="28"/>
        </w:rPr>
        <w:t> 分钟</w:t>
      </w:r>
      <w:r>
        <w:rPr>
          <w:rFonts w:ascii="仿宋" w:eastAsia="仿宋" w:hint="eastAsia"/>
          <w:sz w:val="28"/>
        </w:rPr>
        <w:t>（55</w:t>
      </w:r>
      <w:r>
        <w:rPr>
          <w:rFonts w:ascii="仿宋" w:eastAsia="仿宋" w:hint="eastAsia"/>
          <w:spacing w:val="-36"/>
          <w:sz w:val="28"/>
        </w:rPr>
        <w:t> 元</w:t>
      </w:r>
      <w:r>
        <w:rPr>
          <w:rFonts w:ascii="仿宋" w:eastAsia="仿宋" w:hint="eastAsia"/>
          <w:spacing w:val="-140"/>
          <w:sz w:val="28"/>
        </w:rPr>
        <w:t>）</w:t>
      </w:r>
      <w:r>
        <w:rPr>
          <w:rFonts w:ascii="仿宋" w:eastAsia="仿宋" w:hint="eastAsia"/>
          <w:sz w:val="28"/>
        </w:rPr>
        <w:t>。</w:t>
      </w:r>
    </w:p>
    <w:p>
      <w:pPr>
        <w:pStyle w:val="ListParagraph"/>
        <w:numPr>
          <w:ilvl w:val="0"/>
          <w:numId w:val="7"/>
        </w:numPr>
        <w:tabs>
          <w:tab w:pos="1347" w:val="left" w:leader="none"/>
        </w:tabs>
        <w:spacing w:line="240" w:lineRule="auto" w:before="122" w:after="0"/>
        <w:ind w:left="1346" w:right="0" w:hanging="421"/>
        <w:jc w:val="left"/>
        <w:rPr>
          <w:rFonts w:ascii="仿宋" w:eastAsia="仿宋" w:hint="eastAsia"/>
          <w:sz w:val="28"/>
        </w:rPr>
      </w:pPr>
      <w:r>
        <w:rPr>
          <w:rFonts w:ascii="仿宋" w:eastAsia="仿宋" w:hint="eastAsia"/>
          <w:spacing w:val="-13"/>
          <w:w w:val="100"/>
          <w:sz w:val="28"/>
        </w:rPr>
        <w:t>首都国际机场：距北京会议中心约</w:t>
      </w:r>
      <w:r>
        <w:rPr>
          <w:rFonts w:ascii="仿宋" w:eastAsia="仿宋" w:hint="eastAsia"/>
          <w:spacing w:val="-70"/>
          <w:sz w:val="28"/>
        </w:rPr>
        <w:t> </w:t>
      </w:r>
      <w:r>
        <w:rPr>
          <w:rFonts w:ascii="仿宋" w:eastAsia="仿宋" w:hint="eastAsia"/>
          <w:spacing w:val="-2"/>
          <w:w w:val="100"/>
          <w:sz w:val="28"/>
        </w:rPr>
        <w:t>25</w:t>
      </w:r>
      <w:r>
        <w:rPr>
          <w:rFonts w:ascii="仿宋" w:eastAsia="仿宋" w:hint="eastAsia"/>
          <w:spacing w:val="1"/>
          <w:w w:val="100"/>
          <w:sz w:val="28"/>
        </w:rPr>
        <w:t>k</w:t>
      </w:r>
      <w:r>
        <w:rPr>
          <w:rFonts w:ascii="仿宋" w:eastAsia="仿宋" w:hint="eastAsia"/>
          <w:spacing w:val="-2"/>
          <w:w w:val="100"/>
          <w:sz w:val="28"/>
        </w:rPr>
        <w:t>m</w:t>
      </w:r>
      <w:r>
        <w:rPr>
          <w:rFonts w:ascii="仿宋" w:eastAsia="仿宋" w:hint="eastAsia"/>
          <w:spacing w:val="-33"/>
          <w:w w:val="100"/>
          <w:sz w:val="28"/>
        </w:rPr>
        <w:t>，打车约</w:t>
      </w:r>
      <w:r>
        <w:rPr>
          <w:rFonts w:ascii="仿宋" w:eastAsia="仿宋" w:hint="eastAsia"/>
          <w:spacing w:val="-71"/>
          <w:sz w:val="28"/>
        </w:rPr>
        <w:t> </w:t>
      </w:r>
      <w:r>
        <w:rPr>
          <w:rFonts w:ascii="仿宋" w:eastAsia="仿宋" w:hint="eastAsia"/>
          <w:spacing w:val="-2"/>
          <w:w w:val="100"/>
          <w:sz w:val="28"/>
        </w:rPr>
        <w:t>3</w:t>
      </w:r>
      <w:r>
        <w:rPr>
          <w:rFonts w:ascii="仿宋" w:eastAsia="仿宋" w:hint="eastAsia"/>
          <w:w w:val="100"/>
          <w:sz w:val="28"/>
        </w:rPr>
        <w:t>5</w:t>
      </w:r>
      <w:r>
        <w:rPr>
          <w:rFonts w:ascii="仿宋" w:eastAsia="仿宋" w:hint="eastAsia"/>
          <w:spacing w:val="-72"/>
          <w:sz w:val="28"/>
        </w:rPr>
        <w:t> </w:t>
      </w:r>
      <w:r>
        <w:rPr>
          <w:rFonts w:ascii="仿宋" w:eastAsia="仿宋" w:hint="eastAsia"/>
          <w:spacing w:val="-64"/>
          <w:w w:val="100"/>
          <w:sz w:val="28"/>
        </w:rPr>
        <w:t>分钟</w:t>
      </w:r>
      <w:r>
        <w:rPr>
          <w:rFonts w:ascii="仿宋" w:eastAsia="仿宋" w:hint="eastAsia"/>
          <w:w w:val="100"/>
          <w:sz w:val="28"/>
        </w:rPr>
        <w:t>（</w:t>
      </w:r>
      <w:r>
        <w:rPr>
          <w:rFonts w:ascii="仿宋" w:eastAsia="仿宋" w:hint="eastAsia"/>
          <w:spacing w:val="-4"/>
          <w:w w:val="100"/>
          <w:sz w:val="28"/>
        </w:rPr>
        <w:t>8</w:t>
      </w:r>
      <w:r>
        <w:rPr>
          <w:rFonts w:ascii="仿宋" w:eastAsia="仿宋" w:hint="eastAsia"/>
          <w:w w:val="100"/>
          <w:sz w:val="28"/>
        </w:rPr>
        <w:t>0</w:t>
      </w:r>
      <w:r>
        <w:rPr>
          <w:rFonts w:ascii="仿宋" w:eastAsia="仿宋" w:hint="eastAsia"/>
          <w:spacing w:val="-72"/>
          <w:sz w:val="28"/>
        </w:rPr>
        <w:t> </w:t>
      </w:r>
      <w:r>
        <w:rPr>
          <w:rFonts w:ascii="仿宋" w:eastAsia="仿宋" w:hint="eastAsia"/>
          <w:w w:val="100"/>
          <w:sz w:val="28"/>
        </w:rPr>
        <w:t>元</w:t>
      </w:r>
      <w:r>
        <w:rPr>
          <w:rFonts w:ascii="仿宋" w:eastAsia="仿宋" w:hint="eastAsia"/>
          <w:spacing w:val="-140"/>
          <w:w w:val="100"/>
          <w:sz w:val="28"/>
        </w:rPr>
        <w:t>）</w:t>
      </w:r>
      <w:r>
        <w:rPr>
          <w:rFonts w:ascii="仿宋" w:eastAsia="仿宋" w:hint="eastAsia"/>
          <w:w w:val="100"/>
          <w:sz w:val="28"/>
        </w:rPr>
        <w:t>。</w:t>
      </w:r>
    </w:p>
    <w:p>
      <w:pPr>
        <w:spacing w:after="0" w:line="240" w:lineRule="auto"/>
        <w:jc w:val="left"/>
        <w:rPr>
          <w:rFonts w:ascii="仿宋" w:eastAsia="仿宋" w:hint="eastAsia"/>
          <w:sz w:val="28"/>
        </w:rPr>
        <w:sectPr>
          <w:pgSz w:w="11910" w:h="16840"/>
          <w:pgMar w:header="0" w:footer="1035" w:top="1460" w:bottom="1300" w:left="1020" w:right="560"/>
        </w:sectPr>
      </w:pPr>
    </w:p>
    <w:p>
      <w:pPr>
        <w:pStyle w:val="BodyText"/>
        <w:rPr>
          <w:rFonts w:ascii="仿宋"/>
          <w:sz w:val="20"/>
        </w:rPr>
      </w:pPr>
    </w:p>
    <w:p>
      <w:pPr>
        <w:pStyle w:val="BodyText"/>
        <w:rPr>
          <w:rFonts w:ascii="仿宋"/>
          <w:sz w:val="20"/>
        </w:rPr>
      </w:pPr>
    </w:p>
    <w:p>
      <w:pPr>
        <w:pStyle w:val="BodyText"/>
        <w:rPr>
          <w:rFonts w:ascii="仿宋"/>
          <w:sz w:val="20"/>
        </w:rPr>
      </w:pPr>
    </w:p>
    <w:p>
      <w:pPr>
        <w:pStyle w:val="BodyText"/>
        <w:rPr>
          <w:rFonts w:ascii="仿宋"/>
          <w:sz w:val="20"/>
        </w:rPr>
      </w:pPr>
    </w:p>
    <w:p>
      <w:pPr>
        <w:pStyle w:val="BodyText"/>
        <w:rPr>
          <w:rFonts w:ascii="仿宋"/>
          <w:sz w:val="20"/>
        </w:rPr>
      </w:pPr>
    </w:p>
    <w:p>
      <w:pPr>
        <w:pStyle w:val="BodyText"/>
        <w:rPr>
          <w:rFonts w:ascii="仿宋"/>
          <w:sz w:val="20"/>
        </w:rPr>
      </w:pPr>
    </w:p>
    <w:p>
      <w:pPr>
        <w:pStyle w:val="BodyText"/>
        <w:rPr>
          <w:rFonts w:ascii="仿宋"/>
          <w:sz w:val="20"/>
        </w:rPr>
      </w:pPr>
    </w:p>
    <w:p>
      <w:pPr>
        <w:pStyle w:val="BodyText"/>
        <w:rPr>
          <w:rFonts w:ascii="仿宋"/>
          <w:sz w:val="20"/>
        </w:rPr>
      </w:pPr>
    </w:p>
    <w:p>
      <w:pPr>
        <w:pStyle w:val="BodyText"/>
        <w:rPr>
          <w:rFonts w:ascii="仿宋"/>
          <w:sz w:val="20"/>
        </w:rPr>
      </w:pPr>
    </w:p>
    <w:p>
      <w:pPr>
        <w:pStyle w:val="BodyText"/>
        <w:rPr>
          <w:rFonts w:ascii="仿宋"/>
          <w:sz w:val="20"/>
        </w:rPr>
      </w:pPr>
    </w:p>
    <w:p>
      <w:pPr>
        <w:pStyle w:val="BodyText"/>
        <w:rPr>
          <w:rFonts w:ascii="仿宋"/>
          <w:sz w:val="20"/>
        </w:rPr>
      </w:pPr>
    </w:p>
    <w:p>
      <w:pPr>
        <w:pStyle w:val="BodyText"/>
        <w:rPr>
          <w:rFonts w:ascii="仿宋"/>
          <w:sz w:val="20"/>
        </w:rPr>
      </w:pPr>
    </w:p>
    <w:p>
      <w:pPr>
        <w:pStyle w:val="BodyText"/>
        <w:spacing w:before="4"/>
        <w:rPr>
          <w:rFonts w:ascii="仿宋"/>
          <w:sz w:val="18"/>
        </w:rPr>
      </w:pPr>
    </w:p>
    <w:p>
      <w:pPr>
        <w:pStyle w:val="Heading1"/>
        <w:spacing w:before="21"/>
        <w:ind w:left="0" w:right="453"/>
        <w:jc w:val="center"/>
      </w:pPr>
      <w:bookmarkStart w:name="_TOC_250010" w:id="17"/>
      <w:bookmarkEnd w:id="17"/>
      <w:r>
        <w:rPr/>
        <w:t>附件二：会议手册模板</w:t>
      </w:r>
    </w:p>
    <w:p>
      <w:pPr>
        <w:pStyle w:val="Heading3"/>
        <w:spacing w:before="399"/>
        <w:ind w:left="1841"/>
        <w:rPr>
          <w:rFonts w:ascii="宋体" w:eastAsia="宋体" w:hint="eastAsia"/>
        </w:rPr>
      </w:pPr>
      <w:r>
        <w:rPr>
          <w:rFonts w:ascii="宋体" w:eastAsia="宋体" w:hint="eastAsia"/>
        </w:rPr>
        <w:t>（一）设分会场的会议手册模板</w:t>
      </w:r>
    </w:p>
    <w:p>
      <w:pPr>
        <w:spacing w:before="300"/>
        <w:ind w:left="1841" w:right="0" w:firstLine="0"/>
        <w:jc w:val="left"/>
        <w:rPr>
          <w:b/>
          <w:sz w:val="44"/>
        </w:rPr>
      </w:pPr>
      <w:r>
        <w:rPr>
          <w:b/>
          <w:sz w:val="44"/>
        </w:rPr>
        <w:t>（二）不设分会场的会议手册模板</w:t>
      </w:r>
    </w:p>
    <w:p>
      <w:pPr>
        <w:spacing w:after="0"/>
        <w:jc w:val="left"/>
        <w:rPr>
          <w:sz w:val="44"/>
        </w:rPr>
        <w:sectPr>
          <w:pgSz w:w="11910" w:h="16840"/>
          <w:pgMar w:header="0" w:footer="1035" w:top="1580" w:bottom="1300" w:left="1020" w:right="560"/>
        </w:sectPr>
      </w:pPr>
    </w:p>
    <w:p>
      <w:pPr>
        <w:pStyle w:val="Heading4"/>
        <w:spacing w:before="26"/>
        <w:ind w:left="780"/>
        <w:jc w:val="left"/>
        <w:rPr>
          <w:rFonts w:ascii="黑体" w:eastAsia="黑体" w:hint="eastAsia"/>
        </w:rPr>
      </w:pPr>
      <w:r>
        <w:rPr>
          <w:rFonts w:ascii="黑体" w:eastAsia="黑体" w:hint="eastAsia"/>
        </w:rPr>
        <w:t>（一）设分会场的会议手册模板</w:t>
      </w:r>
    </w:p>
    <w:p>
      <w:pPr>
        <w:pStyle w:val="BodyText"/>
        <w:spacing w:before="7"/>
        <w:rPr>
          <w:rFonts w:ascii="黑体"/>
          <w:b/>
          <w:sz w:val="34"/>
        </w:rPr>
      </w:pPr>
    </w:p>
    <w:p>
      <w:pPr>
        <w:pStyle w:val="Heading6"/>
      </w:pPr>
      <w:r>
        <w:rPr/>
        <w:t>（请根据实际情况填写修改）</w:t>
      </w:r>
    </w:p>
    <w:p>
      <w:pPr>
        <w:pStyle w:val="BodyText"/>
        <w:rPr>
          <w:rFonts w:ascii="黑体"/>
          <w:b/>
          <w:sz w:val="32"/>
        </w:rPr>
      </w:pPr>
    </w:p>
    <w:p>
      <w:pPr>
        <w:pStyle w:val="BodyText"/>
        <w:spacing w:before="5"/>
        <w:rPr>
          <w:rFonts w:ascii="黑体"/>
          <w:b/>
          <w:sz w:val="25"/>
        </w:rPr>
      </w:pPr>
    </w:p>
    <w:p>
      <w:pPr>
        <w:spacing w:before="0"/>
        <w:ind w:left="0" w:right="460" w:firstLine="0"/>
        <w:jc w:val="center"/>
        <w:rPr>
          <w:rFonts w:ascii="黑体" w:eastAsia="黑体" w:hint="eastAsia"/>
          <w:b/>
          <w:sz w:val="48"/>
        </w:rPr>
      </w:pPr>
      <w:r>
        <w:rPr>
          <w:rFonts w:ascii="黑体" w:eastAsia="黑体" w:hint="eastAsia"/>
          <w:b/>
          <w:sz w:val="48"/>
        </w:rPr>
        <w:t>论坛手册封面</w:t>
      </w:r>
    </w:p>
    <w:p>
      <w:pPr>
        <w:pStyle w:val="BodyText"/>
        <w:rPr>
          <w:rFonts w:ascii="黑体"/>
          <w:b/>
          <w:sz w:val="48"/>
        </w:rPr>
      </w:pPr>
    </w:p>
    <w:p>
      <w:pPr>
        <w:pStyle w:val="BodyText"/>
        <w:spacing w:before="12"/>
        <w:rPr>
          <w:rFonts w:ascii="黑体"/>
          <w:b/>
          <w:sz w:val="55"/>
        </w:rPr>
      </w:pPr>
    </w:p>
    <w:p>
      <w:pPr>
        <w:spacing w:before="0"/>
        <w:ind w:left="0" w:right="456" w:firstLine="0"/>
        <w:jc w:val="center"/>
        <w:rPr>
          <w:rFonts w:ascii="方正小标宋简体" w:eastAsia="方正小标宋简体" w:hint="eastAsia"/>
          <w:b/>
          <w:sz w:val="44"/>
        </w:rPr>
      </w:pPr>
      <w:r>
        <w:rPr>
          <w:rFonts w:ascii="方正小标宋简体" w:eastAsia="方正小标宋简体" w:hint="eastAsia"/>
          <w:b/>
          <w:sz w:val="44"/>
        </w:rPr>
        <w:t>第 235 期双清论坛</w:t>
      </w:r>
    </w:p>
    <w:p>
      <w:pPr>
        <w:pStyle w:val="BodyText"/>
        <w:spacing w:before="17"/>
        <w:rPr>
          <w:rFonts w:ascii="方正小标宋简体"/>
          <w:b/>
          <w:sz w:val="41"/>
        </w:rPr>
      </w:pPr>
    </w:p>
    <w:p>
      <w:pPr>
        <w:spacing w:before="0"/>
        <w:ind w:left="0" w:right="462" w:firstLine="0"/>
        <w:jc w:val="center"/>
        <w:rPr>
          <w:rFonts w:ascii="方正小标宋简体" w:eastAsia="方正小标宋简体" w:hint="eastAsia"/>
          <w:b/>
          <w:sz w:val="48"/>
        </w:rPr>
      </w:pPr>
      <w:r>
        <w:rPr>
          <w:rFonts w:ascii="方正小标宋简体" w:eastAsia="方正小标宋简体" w:hint="eastAsia"/>
          <w:b/>
          <w:sz w:val="48"/>
        </w:rPr>
        <w:t>科学基金深化改革的政策与举措</w:t>
      </w:r>
    </w:p>
    <w:p>
      <w:pPr>
        <w:pStyle w:val="BodyText"/>
        <w:spacing w:before="7"/>
        <w:rPr>
          <w:rFonts w:ascii="方正小标宋简体"/>
          <w:b/>
          <w:sz w:val="54"/>
        </w:rPr>
      </w:pPr>
    </w:p>
    <w:p>
      <w:pPr>
        <w:spacing w:before="0"/>
        <w:ind w:left="0" w:right="458" w:firstLine="0"/>
        <w:jc w:val="center"/>
        <w:rPr>
          <w:rFonts w:ascii="方正小标宋简体" w:eastAsia="方正小标宋简体" w:hint="eastAsia"/>
          <w:sz w:val="72"/>
        </w:rPr>
      </w:pPr>
      <w:r>
        <w:rPr>
          <w:rFonts w:ascii="方正小标宋简体" w:eastAsia="方正小标宋简体" w:hint="eastAsia"/>
          <w:sz w:val="72"/>
        </w:rPr>
        <w:t>会议手册</w:t>
      </w:r>
    </w:p>
    <w:p>
      <w:pPr>
        <w:pStyle w:val="BodyText"/>
        <w:spacing w:before="7"/>
        <w:rPr>
          <w:rFonts w:ascii="方正小标宋简体"/>
          <w:sz w:val="106"/>
        </w:rPr>
      </w:pPr>
    </w:p>
    <w:p>
      <w:pPr>
        <w:pStyle w:val="Heading7"/>
        <w:ind w:left="0" w:right="458"/>
        <w:jc w:val="center"/>
        <w:rPr>
          <w:rFonts w:ascii="方正小标宋简体" w:eastAsia="方正小标宋简体" w:hint="eastAsia"/>
        </w:rPr>
      </w:pPr>
      <w:r>
        <w:rPr>
          <w:rFonts w:ascii="方正小标宋简体" w:eastAsia="方正小标宋简体" w:hint="eastAsia"/>
          <w:w w:val="95"/>
        </w:rPr>
        <w:t>国家自然科学基金委员会</w:t>
      </w:r>
    </w:p>
    <w:p>
      <w:pPr>
        <w:tabs>
          <w:tab w:pos="3492" w:val="left" w:leader="none"/>
          <w:tab w:pos="4772" w:val="left" w:leader="none"/>
          <w:tab w:pos="6054" w:val="left" w:leader="none"/>
        </w:tabs>
        <w:spacing w:line="427" w:lineRule="auto" w:before="47"/>
        <w:ind w:left="2213" w:right="2669" w:firstLine="0"/>
        <w:jc w:val="center"/>
        <w:rPr>
          <w:rFonts w:ascii="方正小标宋简体" w:hAnsi="方正小标宋简体" w:eastAsia="方正小标宋简体" w:hint="eastAsia"/>
          <w:sz w:val="32"/>
        </w:rPr>
      </w:pPr>
      <w:r>
        <w:rPr>
          <w:rFonts w:ascii="方正小标宋简体" w:hAnsi="方正小标宋简体" w:eastAsia="方正小标宋简体" w:hint="eastAsia"/>
          <w:sz w:val="32"/>
        </w:rPr>
        <w:t>政策局</w:t>
        <w:tab/>
        <w:t>计划局</w:t>
        <w:tab/>
        <w:t>人事局</w:t>
        <w:tab/>
        <w:t>管理科学</w:t>
      </w:r>
      <w:r>
        <w:rPr>
          <w:rFonts w:ascii="方正小标宋简体" w:hAnsi="方正小标宋简体" w:eastAsia="方正小标宋简体" w:hint="eastAsia"/>
          <w:spacing w:val="-17"/>
          <w:sz w:val="32"/>
        </w:rPr>
        <w:t>部</w:t>
      </w:r>
      <w:r>
        <w:rPr>
          <w:rFonts w:ascii="方正小标宋简体" w:hAnsi="方正小标宋简体" w:eastAsia="方正小标宋简体" w:hint="eastAsia"/>
          <w:sz w:val="32"/>
        </w:rPr>
        <w:t>2019 年</w:t>
      </w:r>
      <w:r>
        <w:rPr>
          <w:rFonts w:ascii="方正小标宋简体" w:hAnsi="方正小标宋简体" w:eastAsia="方正小标宋简体" w:hint="eastAsia"/>
          <w:spacing w:val="1"/>
          <w:sz w:val="32"/>
        </w:rPr>
        <w:t> </w:t>
      </w:r>
      <w:r>
        <w:rPr>
          <w:rFonts w:ascii="方正小标宋简体" w:hAnsi="方正小标宋简体" w:eastAsia="方正小标宋简体" w:hint="eastAsia"/>
          <w:sz w:val="32"/>
        </w:rPr>
        <w:t>5</w:t>
      </w:r>
      <w:r>
        <w:rPr>
          <w:rFonts w:ascii="方正小标宋简体" w:hAnsi="方正小标宋简体" w:eastAsia="方正小标宋简体" w:hint="eastAsia"/>
          <w:spacing w:val="-3"/>
          <w:sz w:val="32"/>
        </w:rPr>
        <w:t> </w:t>
      </w:r>
      <w:r>
        <w:rPr>
          <w:rFonts w:ascii="方正小标宋简体" w:hAnsi="方正小标宋简体" w:eastAsia="方正小标宋简体" w:hint="eastAsia"/>
          <w:sz w:val="32"/>
        </w:rPr>
        <w:t>月</w:t>
      </w:r>
      <w:r>
        <w:rPr>
          <w:rFonts w:ascii="方正小标宋简体" w:hAnsi="方正小标宋简体" w:eastAsia="方正小标宋简体" w:hint="eastAsia"/>
          <w:spacing w:val="1"/>
          <w:sz w:val="32"/>
        </w:rPr>
        <w:t> </w:t>
      </w:r>
      <w:r>
        <w:rPr>
          <w:rFonts w:ascii="方正小标宋简体" w:hAnsi="方正小标宋简体" w:eastAsia="方正小标宋简体" w:hint="eastAsia"/>
          <w:sz w:val="32"/>
        </w:rPr>
        <w:t>23-24</w:t>
      </w:r>
      <w:r>
        <w:rPr>
          <w:rFonts w:ascii="方正小标宋简体" w:hAnsi="方正小标宋简体" w:eastAsia="方正小标宋简体" w:hint="eastAsia"/>
          <w:spacing w:val="-1"/>
          <w:sz w:val="32"/>
        </w:rPr>
        <w:t> </w:t>
      </w:r>
      <w:r>
        <w:rPr>
          <w:rFonts w:ascii="方正小标宋简体" w:hAnsi="方正小标宋简体" w:eastAsia="方正小标宋简体" w:hint="eastAsia"/>
          <w:sz w:val="32"/>
        </w:rPr>
        <w:t>日  中国</w:t>
      </w:r>
      <w:r>
        <w:rPr>
          <w:sz w:val="32"/>
        </w:rPr>
        <w:t>•</w:t>
      </w:r>
      <w:r>
        <w:rPr>
          <w:rFonts w:ascii="方正小标宋简体" w:hAnsi="方正小标宋简体" w:eastAsia="方正小标宋简体" w:hint="eastAsia"/>
          <w:sz w:val="32"/>
        </w:rPr>
        <w:t>北京</w:t>
      </w:r>
    </w:p>
    <w:p>
      <w:pPr>
        <w:spacing w:after="0" w:line="427" w:lineRule="auto"/>
        <w:jc w:val="center"/>
        <w:rPr>
          <w:rFonts w:ascii="方正小标宋简体" w:hAnsi="方正小标宋简体" w:eastAsia="方正小标宋简体" w:hint="eastAsia"/>
          <w:sz w:val="32"/>
        </w:rPr>
        <w:sectPr>
          <w:pgSz w:w="11910" w:h="16840"/>
          <w:pgMar w:header="0" w:footer="1035" w:top="1480" w:bottom="1300" w:left="1020" w:right="560"/>
        </w:sectPr>
      </w:pPr>
    </w:p>
    <w:p>
      <w:pPr>
        <w:pStyle w:val="BodyText"/>
        <w:spacing w:before="2"/>
        <w:rPr>
          <w:rFonts w:ascii="方正小标宋简体"/>
          <w:sz w:val="26"/>
        </w:rPr>
      </w:pPr>
    </w:p>
    <w:p>
      <w:pPr>
        <w:spacing w:line="633" w:lineRule="exact" w:before="0"/>
        <w:ind w:left="0" w:right="459" w:firstLine="0"/>
        <w:jc w:val="center"/>
        <w:rPr>
          <w:rFonts w:ascii="方正小标宋简体" w:eastAsia="方正小标宋简体" w:hint="eastAsia"/>
          <w:b/>
          <w:sz w:val="36"/>
        </w:rPr>
      </w:pPr>
      <w:r>
        <w:rPr>
          <w:rFonts w:ascii="方正小标宋简体" w:eastAsia="方正小标宋简体" w:hint="eastAsia"/>
          <w:b/>
          <w:sz w:val="36"/>
        </w:rPr>
        <w:t>论坛组织机构</w:t>
      </w:r>
    </w:p>
    <w:p>
      <w:pPr>
        <w:pStyle w:val="BodyText"/>
        <w:rPr>
          <w:rFonts w:ascii="方正小标宋简体"/>
          <w:b/>
          <w:sz w:val="20"/>
        </w:rPr>
      </w:pPr>
    </w:p>
    <w:p>
      <w:pPr>
        <w:pStyle w:val="BodyText"/>
        <w:spacing w:before="5"/>
        <w:rPr>
          <w:rFonts w:ascii="方正小标宋简体"/>
          <w:b/>
          <w:sz w:val="23"/>
        </w:rPr>
      </w:pPr>
    </w:p>
    <w:tbl>
      <w:tblPr>
        <w:tblW w:w="0" w:type="auto"/>
        <w:jc w:val="left"/>
        <w:tblInd w:w="14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29"/>
        <w:gridCol w:w="6595"/>
      </w:tblGrid>
      <w:tr>
        <w:trPr>
          <w:trHeight w:val="552" w:hRule="atLeast"/>
        </w:trPr>
        <w:tc>
          <w:tcPr>
            <w:tcW w:w="2129" w:type="dxa"/>
          </w:tcPr>
          <w:p>
            <w:pPr>
              <w:pStyle w:val="TableParagraph"/>
              <w:spacing w:line="364" w:lineRule="exact"/>
              <w:ind w:right="-15"/>
              <w:jc w:val="right"/>
              <w:rPr>
                <w:sz w:val="32"/>
              </w:rPr>
            </w:pPr>
            <w:r>
              <w:rPr>
                <w:b/>
                <w:spacing w:val="-42"/>
                <w:sz w:val="32"/>
              </w:rPr>
              <w:t>论 坛 主 席 </w:t>
            </w:r>
            <w:r>
              <w:rPr>
                <w:sz w:val="32"/>
              </w:rPr>
              <w:t>：</w:t>
            </w:r>
          </w:p>
        </w:tc>
        <w:tc>
          <w:tcPr>
            <w:tcW w:w="6595" w:type="dxa"/>
          </w:tcPr>
          <w:p>
            <w:pPr>
              <w:pStyle w:val="TableParagraph"/>
              <w:spacing w:line="341" w:lineRule="exact"/>
              <w:ind w:left="-2"/>
              <w:rPr>
                <w:b/>
                <w:sz w:val="28"/>
              </w:rPr>
            </w:pPr>
            <w:r>
              <w:rPr>
                <w:b/>
                <w:sz w:val="28"/>
              </w:rPr>
              <w:t>不超过 </w:t>
            </w:r>
            <w:r>
              <w:rPr>
                <w:rFonts w:ascii="Times New Roman" w:eastAsia="Times New Roman"/>
                <w:b/>
                <w:sz w:val="28"/>
              </w:rPr>
              <w:t>3 </w:t>
            </w:r>
            <w:r>
              <w:rPr>
                <w:b/>
                <w:sz w:val="28"/>
              </w:rPr>
              <w:t>人</w:t>
            </w:r>
          </w:p>
        </w:tc>
      </w:tr>
      <w:tr>
        <w:trPr>
          <w:trHeight w:val="780" w:hRule="atLeast"/>
        </w:trPr>
        <w:tc>
          <w:tcPr>
            <w:tcW w:w="2129" w:type="dxa"/>
          </w:tcPr>
          <w:p>
            <w:pPr>
              <w:pStyle w:val="TableParagraph"/>
              <w:spacing w:before="184"/>
              <w:ind w:right="1"/>
              <w:jc w:val="right"/>
              <w:rPr>
                <w:sz w:val="32"/>
              </w:rPr>
            </w:pPr>
            <w:r>
              <w:rPr>
                <w:b/>
                <w:w w:val="95"/>
                <w:sz w:val="32"/>
              </w:rPr>
              <w:t>组委会成员</w:t>
            </w:r>
            <w:r>
              <w:rPr>
                <w:w w:val="95"/>
                <w:sz w:val="32"/>
              </w:rPr>
              <w:t>：</w:t>
            </w:r>
          </w:p>
        </w:tc>
        <w:tc>
          <w:tcPr>
            <w:tcW w:w="6595" w:type="dxa"/>
          </w:tcPr>
          <w:p>
            <w:pPr>
              <w:pStyle w:val="TableParagraph"/>
              <w:spacing w:before="184"/>
              <w:ind w:left="-2"/>
              <w:rPr>
                <w:sz w:val="32"/>
              </w:rPr>
            </w:pPr>
            <w:r>
              <w:rPr>
                <w:sz w:val="32"/>
              </w:rPr>
              <w:t>主办部门负责人（学部常务副主任或者局长）</w:t>
            </w:r>
          </w:p>
        </w:tc>
      </w:tr>
      <w:tr>
        <w:trPr>
          <w:trHeight w:val="781" w:hRule="atLeast"/>
        </w:trPr>
        <w:tc>
          <w:tcPr>
            <w:tcW w:w="2129" w:type="dxa"/>
          </w:tcPr>
          <w:p>
            <w:pPr>
              <w:pStyle w:val="TableParagraph"/>
              <w:spacing w:before="186"/>
              <w:ind w:right="1"/>
              <w:jc w:val="right"/>
              <w:rPr>
                <w:sz w:val="32"/>
              </w:rPr>
            </w:pPr>
            <w:r>
              <w:rPr>
                <w:b/>
                <w:w w:val="95"/>
                <w:sz w:val="32"/>
              </w:rPr>
              <w:t>秘书组成员</w:t>
            </w:r>
            <w:r>
              <w:rPr>
                <w:w w:val="95"/>
                <w:sz w:val="32"/>
              </w:rPr>
              <w:t>：</w:t>
            </w:r>
          </w:p>
        </w:tc>
        <w:tc>
          <w:tcPr>
            <w:tcW w:w="6595" w:type="dxa"/>
          </w:tcPr>
          <w:p>
            <w:pPr>
              <w:pStyle w:val="TableParagraph"/>
              <w:spacing w:before="186"/>
              <w:ind w:left="-2"/>
              <w:rPr>
                <w:sz w:val="32"/>
              </w:rPr>
            </w:pPr>
            <w:r>
              <w:rPr>
                <w:sz w:val="32"/>
              </w:rPr>
              <w:t>学科处负责人、政策局局秘、中青年科学家</w:t>
            </w:r>
          </w:p>
        </w:tc>
      </w:tr>
      <w:tr>
        <w:trPr>
          <w:trHeight w:val="781" w:hRule="atLeast"/>
        </w:trPr>
        <w:tc>
          <w:tcPr>
            <w:tcW w:w="2129" w:type="dxa"/>
          </w:tcPr>
          <w:p>
            <w:pPr>
              <w:pStyle w:val="TableParagraph"/>
              <w:spacing w:before="185"/>
              <w:ind w:right="1"/>
              <w:jc w:val="right"/>
              <w:rPr>
                <w:sz w:val="32"/>
              </w:rPr>
            </w:pPr>
            <w:r>
              <w:rPr>
                <w:b/>
                <w:w w:val="95"/>
                <w:sz w:val="32"/>
              </w:rPr>
              <w:t>论坛工作组</w:t>
            </w:r>
            <w:r>
              <w:rPr>
                <w:w w:val="95"/>
                <w:sz w:val="32"/>
              </w:rPr>
              <w:t>：</w:t>
            </w:r>
          </w:p>
        </w:tc>
        <w:tc>
          <w:tcPr>
            <w:tcW w:w="6595" w:type="dxa"/>
          </w:tcPr>
          <w:p>
            <w:pPr>
              <w:pStyle w:val="TableParagraph"/>
              <w:spacing w:before="185"/>
              <w:ind w:left="-2"/>
              <w:rPr>
                <w:sz w:val="32"/>
              </w:rPr>
            </w:pPr>
            <w:r>
              <w:rPr>
                <w:sz w:val="32"/>
              </w:rPr>
              <w:t>政策局局秘、学科处负责人与其他工作人员</w:t>
            </w:r>
          </w:p>
        </w:tc>
      </w:tr>
      <w:tr>
        <w:trPr>
          <w:trHeight w:val="550" w:hRule="atLeast"/>
        </w:trPr>
        <w:tc>
          <w:tcPr>
            <w:tcW w:w="2129" w:type="dxa"/>
          </w:tcPr>
          <w:p>
            <w:pPr>
              <w:pStyle w:val="TableParagraph"/>
              <w:spacing w:line="345" w:lineRule="exact" w:before="186"/>
              <w:ind w:right="1"/>
              <w:jc w:val="right"/>
              <w:rPr>
                <w:sz w:val="32"/>
              </w:rPr>
            </w:pPr>
            <w:r>
              <w:rPr>
                <w:b/>
                <w:w w:val="95"/>
                <w:sz w:val="32"/>
              </w:rPr>
              <w:t>会务组成员</w:t>
            </w:r>
            <w:r>
              <w:rPr>
                <w:w w:val="95"/>
                <w:sz w:val="32"/>
              </w:rPr>
              <w:t>：</w:t>
            </w:r>
          </w:p>
        </w:tc>
        <w:tc>
          <w:tcPr>
            <w:tcW w:w="6595" w:type="dxa"/>
          </w:tcPr>
          <w:p>
            <w:pPr>
              <w:pStyle w:val="TableParagraph"/>
              <w:spacing w:line="345" w:lineRule="exact" w:before="186"/>
              <w:ind w:left="-2"/>
              <w:rPr>
                <w:sz w:val="32"/>
              </w:rPr>
            </w:pPr>
            <w:r>
              <w:rPr>
                <w:sz w:val="32"/>
              </w:rPr>
              <w:t>会议承办部门会务负责人与联系方式</w:t>
            </w:r>
          </w:p>
        </w:tc>
      </w:tr>
    </w:tbl>
    <w:p>
      <w:pPr>
        <w:spacing w:after="0" w:line="345" w:lineRule="exact"/>
        <w:rPr>
          <w:sz w:val="32"/>
        </w:rPr>
        <w:sectPr>
          <w:pgSz w:w="11910" w:h="16840"/>
          <w:pgMar w:header="0" w:footer="1035" w:top="1580" w:bottom="1300" w:left="1020" w:right="560"/>
        </w:sectPr>
      </w:pPr>
    </w:p>
    <w:p>
      <w:pPr>
        <w:pStyle w:val="BodyText"/>
        <w:spacing w:before="9"/>
        <w:rPr>
          <w:rFonts w:ascii="方正小标宋简体"/>
          <w:b/>
          <w:sz w:val="8"/>
        </w:rPr>
      </w:pPr>
    </w:p>
    <w:p>
      <w:pPr>
        <w:spacing w:line="634" w:lineRule="exact" w:before="0"/>
        <w:ind w:left="0" w:right="458" w:firstLine="0"/>
        <w:jc w:val="center"/>
        <w:rPr>
          <w:rFonts w:ascii="方正小标宋简体" w:eastAsia="方正小标宋简体" w:hint="eastAsia"/>
          <w:b/>
          <w:sz w:val="36"/>
        </w:rPr>
      </w:pPr>
      <w:r>
        <w:rPr>
          <w:rFonts w:ascii="方正小标宋简体" w:eastAsia="方正小标宋简体" w:hint="eastAsia"/>
          <w:b/>
          <w:sz w:val="36"/>
        </w:rPr>
        <w:t>论坛须知</w:t>
      </w:r>
    </w:p>
    <w:p>
      <w:pPr>
        <w:pStyle w:val="BodyText"/>
        <w:spacing w:before="5"/>
        <w:rPr>
          <w:rFonts w:ascii="方正小标宋简体"/>
          <w:b/>
          <w:sz w:val="42"/>
        </w:rPr>
      </w:pPr>
    </w:p>
    <w:p>
      <w:pPr>
        <w:pStyle w:val="BodyText"/>
        <w:ind w:left="780"/>
      </w:pPr>
      <w:r>
        <w:rPr/>
        <w:t>1</w:t>
      </w:r>
      <w:r>
        <w:rPr>
          <w:spacing w:val="-3"/>
        </w:rPr>
        <w:t>、本次论坛的意义</w:t>
      </w:r>
      <w:r>
        <w:rPr/>
        <w:t>（</w:t>
      </w:r>
      <w:r>
        <w:rPr>
          <w:spacing w:val="-1"/>
        </w:rPr>
        <w:t>请补充</w:t>
      </w:r>
      <w:r>
        <w:rPr>
          <w:spacing w:val="-140"/>
        </w:rPr>
        <w:t>）</w:t>
      </w:r>
      <w:r>
        <w:rPr/>
        <w:t>。</w:t>
      </w:r>
    </w:p>
    <w:p>
      <w:pPr>
        <w:pStyle w:val="BodyText"/>
        <w:spacing w:before="9"/>
        <w:rPr>
          <w:sz w:val="20"/>
        </w:rPr>
      </w:pPr>
    </w:p>
    <w:p>
      <w:pPr>
        <w:pStyle w:val="BodyText"/>
        <w:spacing w:line="417" w:lineRule="auto"/>
        <w:ind w:left="780" w:right="1234"/>
      </w:pPr>
      <w:r>
        <w:rPr/>
        <w:t>2、本论坛提倡学术民主，鼓励不同学术观点的碰撞和交流，希望与会者在宽松、活泼、和谐的研讨氛围中畅所欲言、各抒己见。</w:t>
      </w:r>
    </w:p>
    <w:p>
      <w:pPr>
        <w:pStyle w:val="BodyText"/>
        <w:spacing w:line="358" w:lineRule="exact"/>
        <w:ind w:left="780"/>
      </w:pPr>
      <w:r>
        <w:rPr/>
        <w:t>3、请与会者尽量全程出席会议，并积极参加研讨。</w:t>
      </w:r>
    </w:p>
    <w:p>
      <w:pPr>
        <w:pStyle w:val="BodyText"/>
        <w:spacing w:before="10"/>
        <w:rPr>
          <w:sz w:val="20"/>
        </w:rPr>
      </w:pPr>
    </w:p>
    <w:p>
      <w:pPr>
        <w:pStyle w:val="BodyText"/>
        <w:spacing w:line="417" w:lineRule="auto"/>
        <w:ind w:left="780" w:right="1234"/>
        <w:jc w:val="both"/>
      </w:pPr>
      <w:r>
        <w:rPr/>
        <w:t>4</w:t>
      </w:r>
      <w:r>
        <w:rPr>
          <w:spacing w:val="-1"/>
        </w:rPr>
        <w:t>、发言时突出重点、言简意赅，重在研讨，避免过多、过细地介绍</w:t>
      </w:r>
      <w:r>
        <w:rPr>
          <w:spacing w:val="-9"/>
        </w:rPr>
        <w:t>个人研究工作。讨论时每人每次发言不超过 </w:t>
      </w:r>
      <w:r>
        <w:rPr/>
        <w:t>5</w:t>
      </w:r>
      <w:r>
        <w:rPr>
          <w:spacing w:val="-14"/>
        </w:rPr>
        <w:t> 分钟，可多次发言；发</w:t>
      </w:r>
      <w:r>
        <w:rPr>
          <w:spacing w:val="-8"/>
        </w:rPr>
        <w:t>言前请先介绍自己的姓名和工作单位。</w:t>
      </w:r>
    </w:p>
    <w:p>
      <w:pPr>
        <w:pStyle w:val="BodyText"/>
        <w:spacing w:line="417" w:lineRule="auto"/>
        <w:ind w:left="780" w:right="1237"/>
        <w:jc w:val="both"/>
      </w:pPr>
      <w:r>
        <w:rPr/>
        <w:t>5</w:t>
      </w:r>
      <w:r>
        <w:rPr>
          <w:spacing w:val="-8"/>
        </w:rPr>
        <w:t>、请备有发言用 </w:t>
      </w:r>
      <w:r>
        <w:rPr/>
        <w:t>ppt</w:t>
      </w:r>
      <w:r>
        <w:rPr>
          <w:spacing w:val="-7"/>
        </w:rPr>
        <w:t> 文件的专家提前将文件拷贝到会务组的计算机</w:t>
      </w:r>
      <w:r>
        <w:rPr>
          <w:spacing w:val="-5"/>
        </w:rPr>
        <w:t>上，以提高论坛效率。</w:t>
      </w:r>
    </w:p>
    <w:p>
      <w:pPr>
        <w:pStyle w:val="BodyText"/>
        <w:spacing w:line="358" w:lineRule="exact"/>
        <w:ind w:left="780"/>
      </w:pPr>
      <w:r>
        <w:rPr/>
        <w:t>6、进入会场前请关闭手机，或设置为静音状态，以免影响会场秩序。</w:t>
      </w:r>
    </w:p>
    <w:p>
      <w:pPr>
        <w:pStyle w:val="BodyText"/>
        <w:spacing w:before="8"/>
        <w:rPr>
          <w:sz w:val="20"/>
        </w:rPr>
      </w:pPr>
    </w:p>
    <w:p>
      <w:pPr>
        <w:pStyle w:val="BodyText"/>
        <w:spacing w:line="417" w:lineRule="auto"/>
        <w:ind w:left="780" w:right="1232"/>
      </w:pPr>
      <w:r>
        <w:rPr/>
        <w:t>7、会后秘书组按论坛要求提交会议纪要和学术综述（</w:t>
      </w:r>
      <w:r>
        <w:rPr>
          <w:spacing w:val="-3"/>
        </w:rPr>
        <w:t>或提交战略研</w:t>
      </w:r>
      <w:r>
        <w:rPr>
          <w:spacing w:val="-1"/>
        </w:rPr>
        <w:t>究报告</w:t>
      </w:r>
      <w:r>
        <w:rPr>
          <w:spacing w:val="-140"/>
        </w:rPr>
        <w:t>）</w:t>
      </w:r>
      <w:r>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20"/>
        </w:rPr>
      </w:pPr>
      <w:r>
        <w:rPr/>
        <w:pict>
          <v:group style="position:absolute;margin-left:54pt;margin-top:15.392787pt;width:481.5pt;height:6pt;mso-position-horizontal-relative:page;mso-position-vertical-relative:paragraph;z-index:-251648000;mso-wrap-distance-left:0;mso-wrap-distance-right:0" coordorigin="1080,308" coordsize="9630,120">
            <v:line style="position:absolute" from="1080,318" to="10710,318" stroked="true" strokeweight="1pt" strokecolor="#000000">
              <v:stroke dashstyle="solid"/>
            </v:line>
            <v:line style="position:absolute" from="1080,368" to="10710,368" stroked="true" strokeweight="2pt" strokecolor="#000000">
              <v:stroke dashstyle="solid"/>
            </v:line>
            <v:line style="position:absolute" from="1080,418" to="10710,418" stroked="true" strokeweight="1pt" strokecolor="#000000">
              <v:stroke dashstyle="solid"/>
            </v:line>
            <w10:wrap type="topAndBottom"/>
          </v:group>
        </w:pict>
      </w:r>
    </w:p>
    <w:p>
      <w:pPr>
        <w:pStyle w:val="BodyText"/>
        <w:spacing w:before="11"/>
        <w:rPr>
          <w:sz w:val="27"/>
        </w:rPr>
      </w:pPr>
    </w:p>
    <w:p>
      <w:pPr>
        <w:pStyle w:val="Heading8"/>
        <w:spacing w:before="1"/>
        <w:rPr>
          <w:rFonts w:ascii="宋体" w:eastAsia="宋体" w:hint="eastAsia"/>
        </w:rPr>
      </w:pPr>
      <w:r>
        <w:rPr>
          <w:rFonts w:ascii="宋体" w:eastAsia="宋体" w:hint="eastAsia"/>
        </w:rPr>
        <w:t>就餐时间、地点：</w:t>
      </w:r>
    </w:p>
    <w:p>
      <w:pPr>
        <w:pStyle w:val="BodyText"/>
        <w:tabs>
          <w:tab w:pos="3584" w:val="left" w:leader="none"/>
          <w:tab w:pos="5965" w:val="left" w:leader="none"/>
        </w:tabs>
        <w:spacing w:line="620" w:lineRule="atLeast" w:before="4"/>
        <w:ind w:left="780" w:right="2819"/>
      </w:pPr>
      <w:r>
        <w:rPr/>
        <w:t>早餐：7:00-8:30</w:t>
        <w:tab/>
      </w:r>
      <w:r>
        <w:rPr>
          <w:spacing w:val="-3"/>
        </w:rPr>
        <w:t>午</w:t>
      </w:r>
      <w:r>
        <w:rPr/>
        <w:t>餐：12:00</w:t>
        <w:tab/>
      </w:r>
      <w:r>
        <w:rPr>
          <w:spacing w:val="-3"/>
        </w:rPr>
        <w:t>晚</w:t>
      </w:r>
      <w:r>
        <w:rPr/>
        <w:t>餐</w:t>
      </w:r>
      <w:r>
        <w:rPr>
          <w:spacing w:val="-4"/>
        </w:rPr>
        <w:t>：18:00 </w:t>
      </w:r>
      <w:r>
        <w:rPr/>
        <w:t>地点：</w:t>
      </w:r>
    </w:p>
    <w:p>
      <w:pPr>
        <w:spacing w:after="0" w:line="620" w:lineRule="atLeast"/>
        <w:sectPr>
          <w:pgSz w:w="11910" w:h="16840"/>
          <w:pgMar w:header="0" w:footer="1035" w:top="1580" w:bottom="1300" w:left="1020" w:right="560"/>
        </w:sectPr>
      </w:pPr>
    </w:p>
    <w:p>
      <w:pPr>
        <w:pStyle w:val="Heading4"/>
        <w:spacing w:line="613" w:lineRule="exact"/>
        <w:ind w:right="598"/>
      </w:pPr>
      <w:r>
        <w:rPr/>
        <w:t>会议日程</w:t>
      </w:r>
    </w:p>
    <w:p>
      <w:pPr>
        <w:pStyle w:val="BodyText"/>
        <w:spacing w:before="9" w:after="1"/>
        <w:rPr>
          <w:rFonts w:ascii="方正小标宋简体"/>
          <w:b/>
          <w:sz w:val="26"/>
        </w:rPr>
      </w:pPr>
    </w:p>
    <w:tbl>
      <w:tblPr>
        <w:tblW w:w="0" w:type="auto"/>
        <w:jc w:val="left"/>
        <w:tblInd w:w="2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67"/>
        <w:gridCol w:w="6643"/>
        <w:gridCol w:w="1260"/>
      </w:tblGrid>
      <w:tr>
        <w:trPr>
          <w:trHeight w:val="567" w:hRule="atLeast"/>
        </w:trPr>
        <w:tc>
          <w:tcPr>
            <w:tcW w:w="1567" w:type="dxa"/>
          </w:tcPr>
          <w:p>
            <w:pPr>
              <w:pStyle w:val="TableParagraph"/>
              <w:spacing w:before="129"/>
              <w:ind w:left="112" w:right="75"/>
              <w:jc w:val="center"/>
              <w:rPr>
                <w:b/>
                <w:sz w:val="24"/>
              </w:rPr>
            </w:pPr>
            <w:r>
              <w:rPr>
                <w:b/>
                <w:sz w:val="24"/>
              </w:rPr>
              <w:t>*月*日</w:t>
            </w:r>
          </w:p>
        </w:tc>
        <w:tc>
          <w:tcPr>
            <w:tcW w:w="7903" w:type="dxa"/>
            <w:gridSpan w:val="2"/>
          </w:tcPr>
          <w:p>
            <w:pPr>
              <w:pStyle w:val="TableParagraph"/>
              <w:spacing w:before="129"/>
              <w:ind w:left="816" w:right="783"/>
              <w:jc w:val="center"/>
              <w:rPr>
                <w:sz w:val="24"/>
              </w:rPr>
            </w:pPr>
            <w:r>
              <w:rPr>
                <w:sz w:val="24"/>
              </w:rPr>
              <w:t>会议报到（地点）</w:t>
            </w:r>
          </w:p>
        </w:tc>
      </w:tr>
      <w:tr>
        <w:trPr>
          <w:trHeight w:val="623" w:hRule="atLeast"/>
        </w:trPr>
        <w:tc>
          <w:tcPr>
            <w:tcW w:w="1567" w:type="dxa"/>
          </w:tcPr>
          <w:p>
            <w:pPr>
              <w:pStyle w:val="TableParagraph"/>
              <w:spacing w:before="155"/>
              <w:ind w:left="112" w:right="75"/>
              <w:jc w:val="center"/>
              <w:rPr>
                <w:sz w:val="24"/>
              </w:rPr>
            </w:pPr>
            <w:r>
              <w:rPr>
                <w:sz w:val="24"/>
              </w:rPr>
              <w:t>16:00-17:00</w:t>
            </w:r>
          </w:p>
        </w:tc>
        <w:tc>
          <w:tcPr>
            <w:tcW w:w="7903" w:type="dxa"/>
            <w:gridSpan w:val="2"/>
          </w:tcPr>
          <w:p>
            <w:pPr>
              <w:pStyle w:val="TableParagraph"/>
              <w:spacing w:line="307" w:lineRule="exact"/>
              <w:ind w:left="816" w:right="783"/>
              <w:jc w:val="center"/>
              <w:rPr>
                <w:sz w:val="24"/>
              </w:rPr>
            </w:pPr>
            <w:r>
              <w:rPr>
                <w:b/>
                <w:sz w:val="24"/>
              </w:rPr>
              <w:t>预备会议</w:t>
            </w:r>
            <w:r>
              <w:rPr>
                <w:sz w:val="24"/>
              </w:rPr>
              <w:t>（参加人：论坛主席、组委会、秘书组、工作组）</w:t>
            </w:r>
          </w:p>
          <w:p>
            <w:pPr>
              <w:pStyle w:val="TableParagraph"/>
              <w:spacing w:line="292" w:lineRule="exact" w:before="4"/>
              <w:ind w:left="816" w:right="422"/>
              <w:jc w:val="center"/>
              <w:rPr>
                <w:b/>
                <w:sz w:val="24"/>
              </w:rPr>
            </w:pPr>
            <w:r>
              <w:rPr>
                <w:b/>
                <w:sz w:val="24"/>
              </w:rPr>
              <w:t>会议室：**</w:t>
            </w:r>
          </w:p>
        </w:tc>
      </w:tr>
      <w:tr>
        <w:trPr>
          <w:trHeight w:val="407" w:hRule="atLeast"/>
        </w:trPr>
        <w:tc>
          <w:tcPr>
            <w:tcW w:w="9470" w:type="dxa"/>
            <w:gridSpan w:val="3"/>
          </w:tcPr>
          <w:p>
            <w:pPr>
              <w:pStyle w:val="TableParagraph"/>
              <w:rPr>
                <w:rFonts w:ascii="Times New Roman"/>
                <w:sz w:val="24"/>
              </w:rPr>
            </w:pPr>
          </w:p>
        </w:tc>
      </w:tr>
      <w:tr>
        <w:trPr>
          <w:trHeight w:val="568" w:hRule="atLeast"/>
        </w:trPr>
        <w:tc>
          <w:tcPr>
            <w:tcW w:w="1567" w:type="dxa"/>
          </w:tcPr>
          <w:p>
            <w:pPr>
              <w:pStyle w:val="TableParagraph"/>
              <w:spacing w:before="126"/>
              <w:ind w:left="112" w:right="75"/>
              <w:jc w:val="center"/>
              <w:rPr>
                <w:b/>
                <w:sz w:val="24"/>
              </w:rPr>
            </w:pPr>
            <w:r>
              <w:rPr>
                <w:b/>
                <w:sz w:val="24"/>
              </w:rPr>
              <w:t>*月*日</w:t>
            </w:r>
          </w:p>
        </w:tc>
        <w:tc>
          <w:tcPr>
            <w:tcW w:w="6643" w:type="dxa"/>
          </w:tcPr>
          <w:p>
            <w:pPr>
              <w:pStyle w:val="TableParagraph"/>
              <w:spacing w:before="126"/>
              <w:ind w:left="807" w:right="772"/>
              <w:jc w:val="center"/>
              <w:rPr>
                <w:b/>
                <w:sz w:val="24"/>
              </w:rPr>
            </w:pPr>
            <w:r>
              <w:rPr>
                <w:b/>
                <w:sz w:val="24"/>
              </w:rPr>
              <w:t>活动内容</w:t>
            </w:r>
          </w:p>
        </w:tc>
        <w:tc>
          <w:tcPr>
            <w:tcW w:w="1260" w:type="dxa"/>
            <w:tcBorders>
              <w:bottom w:val="single" w:sz="4" w:space="0" w:color="000000"/>
            </w:tcBorders>
          </w:tcPr>
          <w:p>
            <w:pPr>
              <w:pStyle w:val="TableParagraph"/>
              <w:spacing w:before="126"/>
              <w:ind w:right="247"/>
              <w:jc w:val="right"/>
              <w:rPr>
                <w:b/>
                <w:sz w:val="24"/>
              </w:rPr>
            </w:pPr>
            <w:r>
              <w:rPr>
                <w:b/>
                <w:w w:val="95"/>
                <w:sz w:val="24"/>
              </w:rPr>
              <w:t>主持人</w:t>
            </w:r>
          </w:p>
        </w:tc>
      </w:tr>
      <w:tr>
        <w:trPr>
          <w:trHeight w:val="1247" w:hRule="atLeast"/>
        </w:trPr>
        <w:tc>
          <w:tcPr>
            <w:tcW w:w="1567" w:type="dxa"/>
          </w:tcPr>
          <w:p>
            <w:pPr>
              <w:pStyle w:val="TableParagraph"/>
              <w:spacing w:before="6"/>
              <w:rPr>
                <w:rFonts w:ascii="方正小标宋简体"/>
                <w:b/>
                <w:sz w:val="26"/>
              </w:rPr>
            </w:pPr>
          </w:p>
          <w:p>
            <w:pPr>
              <w:pStyle w:val="TableParagraph"/>
              <w:ind w:left="112" w:right="75"/>
              <w:jc w:val="center"/>
              <w:rPr>
                <w:sz w:val="24"/>
              </w:rPr>
            </w:pPr>
            <w:r>
              <w:rPr>
                <w:sz w:val="24"/>
              </w:rPr>
              <w:t>*:**-*:**</w:t>
            </w:r>
          </w:p>
        </w:tc>
        <w:tc>
          <w:tcPr>
            <w:tcW w:w="6643" w:type="dxa"/>
          </w:tcPr>
          <w:p>
            <w:pPr>
              <w:pStyle w:val="TableParagraph"/>
              <w:spacing w:line="307" w:lineRule="exact"/>
              <w:ind w:left="808" w:right="772"/>
              <w:jc w:val="center"/>
              <w:rPr>
                <w:sz w:val="24"/>
              </w:rPr>
            </w:pPr>
            <w:r>
              <w:rPr>
                <w:b/>
                <w:sz w:val="24"/>
              </w:rPr>
              <w:t>开幕式</w:t>
            </w:r>
            <w:r>
              <w:rPr>
                <w:sz w:val="24"/>
              </w:rPr>
              <w:t>（地点）</w:t>
            </w:r>
          </w:p>
          <w:p>
            <w:pPr>
              <w:pStyle w:val="TableParagraph"/>
              <w:spacing w:line="244" w:lineRule="auto" w:before="4"/>
              <w:ind w:left="1289" w:right="772"/>
              <w:jc w:val="center"/>
              <w:rPr>
                <w:sz w:val="24"/>
              </w:rPr>
            </w:pPr>
            <w:r>
              <w:rPr>
                <w:sz w:val="24"/>
              </w:rPr>
              <w:t>承办单位领导致辞（根据实际需要可安排） 自然科学基金委领导讲话</w:t>
            </w:r>
          </w:p>
          <w:p>
            <w:pPr>
              <w:pStyle w:val="TableParagraph"/>
              <w:spacing w:line="289" w:lineRule="exact"/>
              <w:ind w:left="1288" w:right="772"/>
              <w:jc w:val="center"/>
              <w:rPr>
                <w:sz w:val="24"/>
              </w:rPr>
            </w:pPr>
            <w:r>
              <w:rPr>
                <w:sz w:val="24"/>
              </w:rPr>
              <w:t>论坛执行主席代表致辞</w:t>
            </w:r>
          </w:p>
        </w:tc>
        <w:tc>
          <w:tcPr>
            <w:tcW w:w="1260" w:type="dxa"/>
            <w:tcBorders>
              <w:top w:val="single" w:sz="4" w:space="0" w:color="000000"/>
              <w:bottom w:val="single" w:sz="4" w:space="0" w:color="000000"/>
            </w:tcBorders>
          </w:tcPr>
          <w:p>
            <w:pPr>
              <w:pStyle w:val="TableParagraph"/>
              <w:rPr>
                <w:rFonts w:ascii="Times New Roman"/>
                <w:sz w:val="24"/>
              </w:rPr>
            </w:pPr>
          </w:p>
        </w:tc>
      </w:tr>
      <w:tr>
        <w:trPr>
          <w:trHeight w:val="392" w:hRule="atLeast"/>
        </w:trPr>
        <w:tc>
          <w:tcPr>
            <w:tcW w:w="1567" w:type="dxa"/>
          </w:tcPr>
          <w:p>
            <w:pPr>
              <w:pStyle w:val="TableParagraph"/>
              <w:spacing w:before="40"/>
              <w:ind w:left="88" w:right="75"/>
              <w:jc w:val="center"/>
              <w:rPr>
                <w:b/>
                <w:sz w:val="24"/>
              </w:rPr>
            </w:pPr>
            <w:r>
              <w:rPr>
                <w:b/>
                <w:sz w:val="24"/>
              </w:rPr>
              <w:t>时间</w:t>
            </w:r>
          </w:p>
        </w:tc>
        <w:tc>
          <w:tcPr>
            <w:tcW w:w="6643" w:type="dxa"/>
          </w:tcPr>
          <w:p>
            <w:pPr>
              <w:pStyle w:val="TableParagraph"/>
              <w:spacing w:before="40"/>
              <w:ind w:left="779" w:right="772"/>
              <w:jc w:val="center"/>
              <w:rPr>
                <w:b/>
                <w:sz w:val="24"/>
              </w:rPr>
            </w:pPr>
            <w:r>
              <w:rPr>
                <w:b/>
                <w:sz w:val="24"/>
              </w:rPr>
              <w:t>报告人及题目（每个报告含5分钟讨论时间）</w:t>
            </w:r>
          </w:p>
        </w:tc>
        <w:tc>
          <w:tcPr>
            <w:tcW w:w="1260" w:type="dxa"/>
            <w:tcBorders>
              <w:top w:val="single" w:sz="4" w:space="0" w:color="000000"/>
              <w:bottom w:val="single" w:sz="4" w:space="0" w:color="000000"/>
            </w:tcBorders>
          </w:tcPr>
          <w:p>
            <w:pPr>
              <w:pStyle w:val="TableParagraph"/>
              <w:spacing w:before="40"/>
              <w:ind w:right="247"/>
              <w:jc w:val="right"/>
              <w:rPr>
                <w:b/>
                <w:sz w:val="24"/>
              </w:rPr>
            </w:pPr>
            <w:r>
              <w:rPr>
                <w:b/>
                <w:w w:val="95"/>
                <w:sz w:val="24"/>
              </w:rPr>
              <w:t>主持人</w:t>
            </w:r>
          </w:p>
        </w:tc>
      </w:tr>
      <w:tr>
        <w:trPr>
          <w:trHeight w:val="567" w:hRule="atLeast"/>
        </w:trPr>
        <w:tc>
          <w:tcPr>
            <w:tcW w:w="1567" w:type="dxa"/>
          </w:tcPr>
          <w:p>
            <w:pPr>
              <w:pStyle w:val="TableParagraph"/>
              <w:rPr>
                <w:rFonts w:ascii="Times New Roman"/>
                <w:sz w:val="24"/>
              </w:rPr>
            </w:pPr>
          </w:p>
        </w:tc>
        <w:tc>
          <w:tcPr>
            <w:tcW w:w="6643" w:type="dxa"/>
          </w:tcPr>
          <w:p>
            <w:pPr>
              <w:pStyle w:val="TableParagraph"/>
              <w:spacing w:before="129"/>
              <w:ind w:left="98"/>
              <w:rPr>
                <w:sz w:val="24"/>
              </w:rPr>
            </w:pPr>
            <w:r>
              <w:rPr>
                <w:sz w:val="24"/>
              </w:rPr>
              <w:t>报告人：报告题目</w:t>
            </w:r>
          </w:p>
        </w:tc>
        <w:tc>
          <w:tcPr>
            <w:tcW w:w="1260" w:type="dxa"/>
            <w:vMerge w:val="restart"/>
            <w:tcBorders>
              <w:top w:val="single" w:sz="4" w:space="0" w:color="000000"/>
            </w:tcBorders>
          </w:tcPr>
          <w:p>
            <w:pPr>
              <w:pStyle w:val="TableParagraph"/>
              <w:rPr>
                <w:rFonts w:ascii="Times New Roman"/>
                <w:sz w:val="24"/>
              </w:rPr>
            </w:pPr>
          </w:p>
        </w:tc>
      </w:tr>
      <w:tr>
        <w:trPr>
          <w:trHeight w:val="568" w:hRule="atLeast"/>
        </w:trPr>
        <w:tc>
          <w:tcPr>
            <w:tcW w:w="1567" w:type="dxa"/>
          </w:tcPr>
          <w:p>
            <w:pPr>
              <w:pStyle w:val="TableParagraph"/>
              <w:rPr>
                <w:rFonts w:ascii="Times New Roman"/>
                <w:sz w:val="24"/>
              </w:rPr>
            </w:pPr>
          </w:p>
        </w:tc>
        <w:tc>
          <w:tcPr>
            <w:tcW w:w="6643" w:type="dxa"/>
          </w:tcPr>
          <w:p>
            <w:pPr>
              <w:pStyle w:val="TableParagraph"/>
              <w:rPr>
                <w:rFonts w:ascii="Times New Roman"/>
                <w:sz w:val="24"/>
              </w:rPr>
            </w:pPr>
          </w:p>
        </w:tc>
        <w:tc>
          <w:tcPr>
            <w:tcW w:w="1260" w:type="dxa"/>
            <w:vMerge/>
            <w:tcBorders>
              <w:top w:val="nil"/>
            </w:tcBorders>
          </w:tcPr>
          <w:p>
            <w:pPr>
              <w:rPr>
                <w:sz w:val="2"/>
                <w:szCs w:val="2"/>
              </w:rPr>
            </w:pPr>
          </w:p>
        </w:tc>
      </w:tr>
      <w:tr>
        <w:trPr>
          <w:trHeight w:val="565" w:hRule="atLeast"/>
        </w:trPr>
        <w:tc>
          <w:tcPr>
            <w:tcW w:w="1567" w:type="dxa"/>
          </w:tcPr>
          <w:p>
            <w:pPr>
              <w:pStyle w:val="TableParagraph"/>
              <w:rPr>
                <w:rFonts w:ascii="Times New Roman"/>
                <w:sz w:val="24"/>
              </w:rPr>
            </w:pPr>
          </w:p>
        </w:tc>
        <w:tc>
          <w:tcPr>
            <w:tcW w:w="6643" w:type="dxa"/>
          </w:tcPr>
          <w:p>
            <w:pPr>
              <w:pStyle w:val="TableParagraph"/>
              <w:rPr>
                <w:rFonts w:ascii="Times New Roman"/>
                <w:sz w:val="24"/>
              </w:rPr>
            </w:pPr>
          </w:p>
        </w:tc>
        <w:tc>
          <w:tcPr>
            <w:tcW w:w="1260" w:type="dxa"/>
            <w:vMerge/>
            <w:tcBorders>
              <w:top w:val="nil"/>
            </w:tcBorders>
          </w:tcPr>
          <w:p>
            <w:pPr>
              <w:rPr>
                <w:sz w:val="2"/>
                <w:szCs w:val="2"/>
              </w:rPr>
            </w:pPr>
          </w:p>
        </w:tc>
      </w:tr>
      <w:tr>
        <w:trPr>
          <w:trHeight w:val="567" w:hRule="atLeast"/>
        </w:trPr>
        <w:tc>
          <w:tcPr>
            <w:tcW w:w="1567" w:type="dxa"/>
          </w:tcPr>
          <w:p>
            <w:pPr>
              <w:pStyle w:val="TableParagraph"/>
              <w:rPr>
                <w:rFonts w:ascii="Times New Roman"/>
                <w:sz w:val="24"/>
              </w:rPr>
            </w:pPr>
          </w:p>
        </w:tc>
        <w:tc>
          <w:tcPr>
            <w:tcW w:w="7903" w:type="dxa"/>
            <w:gridSpan w:val="2"/>
          </w:tcPr>
          <w:p>
            <w:pPr>
              <w:pStyle w:val="TableParagraph"/>
              <w:spacing w:before="129"/>
              <w:ind w:left="816" w:right="571"/>
              <w:jc w:val="center"/>
              <w:rPr>
                <w:b/>
                <w:sz w:val="24"/>
              </w:rPr>
            </w:pPr>
            <w:r>
              <w:rPr>
                <w:b/>
                <w:sz w:val="24"/>
              </w:rPr>
              <w:t>休息</w:t>
            </w:r>
          </w:p>
        </w:tc>
      </w:tr>
      <w:tr>
        <w:trPr>
          <w:trHeight w:val="565" w:hRule="atLeast"/>
        </w:trPr>
        <w:tc>
          <w:tcPr>
            <w:tcW w:w="1567" w:type="dxa"/>
          </w:tcPr>
          <w:p>
            <w:pPr>
              <w:pStyle w:val="TableParagraph"/>
              <w:rPr>
                <w:rFonts w:ascii="Times New Roman"/>
                <w:sz w:val="24"/>
              </w:rPr>
            </w:pPr>
          </w:p>
        </w:tc>
        <w:tc>
          <w:tcPr>
            <w:tcW w:w="6643" w:type="dxa"/>
          </w:tcPr>
          <w:p>
            <w:pPr>
              <w:pStyle w:val="TableParagraph"/>
              <w:rPr>
                <w:rFonts w:ascii="Times New Roman"/>
                <w:sz w:val="24"/>
              </w:rPr>
            </w:pPr>
          </w:p>
        </w:tc>
        <w:tc>
          <w:tcPr>
            <w:tcW w:w="1260" w:type="dxa"/>
            <w:vMerge w:val="restart"/>
          </w:tcPr>
          <w:p>
            <w:pPr>
              <w:pStyle w:val="TableParagraph"/>
              <w:rPr>
                <w:rFonts w:ascii="Times New Roman"/>
                <w:sz w:val="24"/>
              </w:rPr>
            </w:pPr>
          </w:p>
        </w:tc>
      </w:tr>
      <w:tr>
        <w:trPr>
          <w:trHeight w:val="568" w:hRule="atLeast"/>
        </w:trPr>
        <w:tc>
          <w:tcPr>
            <w:tcW w:w="1567" w:type="dxa"/>
          </w:tcPr>
          <w:p>
            <w:pPr>
              <w:pStyle w:val="TableParagraph"/>
              <w:rPr>
                <w:rFonts w:ascii="Times New Roman"/>
                <w:sz w:val="24"/>
              </w:rPr>
            </w:pPr>
          </w:p>
        </w:tc>
        <w:tc>
          <w:tcPr>
            <w:tcW w:w="6643" w:type="dxa"/>
          </w:tcPr>
          <w:p>
            <w:pPr>
              <w:pStyle w:val="TableParagraph"/>
              <w:rPr>
                <w:rFonts w:ascii="Times New Roman"/>
                <w:sz w:val="24"/>
              </w:rPr>
            </w:pPr>
          </w:p>
        </w:tc>
        <w:tc>
          <w:tcPr>
            <w:tcW w:w="1260" w:type="dxa"/>
            <w:vMerge/>
            <w:tcBorders>
              <w:top w:val="nil"/>
            </w:tcBorders>
          </w:tcPr>
          <w:p>
            <w:pPr>
              <w:rPr>
                <w:sz w:val="2"/>
                <w:szCs w:val="2"/>
              </w:rPr>
            </w:pPr>
          </w:p>
        </w:tc>
      </w:tr>
      <w:tr>
        <w:trPr>
          <w:trHeight w:val="565" w:hRule="atLeast"/>
        </w:trPr>
        <w:tc>
          <w:tcPr>
            <w:tcW w:w="1567" w:type="dxa"/>
          </w:tcPr>
          <w:p>
            <w:pPr>
              <w:pStyle w:val="TableParagraph"/>
              <w:rPr>
                <w:rFonts w:ascii="Times New Roman"/>
                <w:sz w:val="24"/>
              </w:rPr>
            </w:pPr>
          </w:p>
        </w:tc>
        <w:tc>
          <w:tcPr>
            <w:tcW w:w="6643" w:type="dxa"/>
          </w:tcPr>
          <w:p>
            <w:pPr>
              <w:pStyle w:val="TableParagraph"/>
              <w:rPr>
                <w:rFonts w:ascii="Times New Roman"/>
                <w:sz w:val="24"/>
              </w:rPr>
            </w:pPr>
          </w:p>
        </w:tc>
        <w:tc>
          <w:tcPr>
            <w:tcW w:w="1260" w:type="dxa"/>
            <w:vMerge/>
            <w:tcBorders>
              <w:top w:val="nil"/>
            </w:tcBorders>
          </w:tcPr>
          <w:p>
            <w:pPr>
              <w:rPr>
                <w:sz w:val="2"/>
                <w:szCs w:val="2"/>
              </w:rPr>
            </w:pPr>
          </w:p>
        </w:tc>
      </w:tr>
      <w:tr>
        <w:trPr>
          <w:trHeight w:val="568" w:hRule="atLeast"/>
        </w:trPr>
        <w:tc>
          <w:tcPr>
            <w:tcW w:w="1567" w:type="dxa"/>
          </w:tcPr>
          <w:p>
            <w:pPr>
              <w:pStyle w:val="TableParagraph"/>
              <w:rPr>
                <w:rFonts w:ascii="Times New Roman"/>
                <w:sz w:val="24"/>
              </w:rPr>
            </w:pPr>
          </w:p>
        </w:tc>
        <w:tc>
          <w:tcPr>
            <w:tcW w:w="7903" w:type="dxa"/>
            <w:gridSpan w:val="2"/>
          </w:tcPr>
          <w:p>
            <w:pPr>
              <w:pStyle w:val="TableParagraph"/>
              <w:spacing w:before="129"/>
              <w:ind w:left="816" w:right="571"/>
              <w:jc w:val="center"/>
              <w:rPr>
                <w:b/>
                <w:sz w:val="24"/>
              </w:rPr>
            </w:pPr>
            <w:r>
              <w:rPr>
                <w:b/>
                <w:sz w:val="24"/>
              </w:rPr>
              <w:t>午餐</w:t>
            </w:r>
          </w:p>
        </w:tc>
      </w:tr>
      <w:tr>
        <w:trPr>
          <w:trHeight w:val="539" w:hRule="atLeast"/>
        </w:trPr>
        <w:tc>
          <w:tcPr>
            <w:tcW w:w="8210" w:type="dxa"/>
            <w:gridSpan w:val="2"/>
          </w:tcPr>
          <w:p>
            <w:pPr>
              <w:pStyle w:val="TableParagraph"/>
              <w:spacing w:before="112"/>
              <w:ind w:left="465"/>
              <w:rPr>
                <w:sz w:val="24"/>
              </w:rPr>
            </w:pPr>
            <w:r>
              <w:rPr>
                <w:b/>
                <w:sz w:val="24"/>
              </w:rPr>
              <w:t>会场1：</w:t>
            </w:r>
            <w:r>
              <w:rPr>
                <w:sz w:val="24"/>
              </w:rPr>
              <w:t>地点</w:t>
            </w:r>
          </w:p>
        </w:tc>
        <w:tc>
          <w:tcPr>
            <w:tcW w:w="1260" w:type="dxa"/>
            <w:tcBorders>
              <w:bottom w:val="single" w:sz="4" w:space="0" w:color="000000"/>
            </w:tcBorders>
          </w:tcPr>
          <w:p>
            <w:pPr>
              <w:pStyle w:val="TableParagraph"/>
              <w:spacing w:before="112"/>
              <w:ind w:left="107"/>
              <w:rPr>
                <w:b/>
                <w:sz w:val="24"/>
              </w:rPr>
            </w:pPr>
            <w:r>
              <w:rPr>
                <w:b/>
                <w:sz w:val="24"/>
              </w:rPr>
              <w:t>主持人</w:t>
            </w:r>
          </w:p>
        </w:tc>
      </w:tr>
      <w:tr>
        <w:trPr>
          <w:trHeight w:val="565" w:hRule="atLeast"/>
        </w:trPr>
        <w:tc>
          <w:tcPr>
            <w:tcW w:w="1567" w:type="dxa"/>
          </w:tcPr>
          <w:p>
            <w:pPr>
              <w:pStyle w:val="TableParagraph"/>
              <w:spacing w:before="126"/>
              <w:ind w:left="83" w:right="75"/>
              <w:jc w:val="center"/>
              <w:rPr>
                <w:sz w:val="24"/>
              </w:rPr>
            </w:pPr>
            <w:r>
              <w:rPr>
                <w:sz w:val="24"/>
              </w:rPr>
              <w:t>时间</w:t>
            </w:r>
          </w:p>
        </w:tc>
        <w:tc>
          <w:tcPr>
            <w:tcW w:w="6643" w:type="dxa"/>
          </w:tcPr>
          <w:p>
            <w:pPr>
              <w:pStyle w:val="TableParagraph"/>
              <w:rPr>
                <w:rFonts w:ascii="Times New Roman"/>
                <w:sz w:val="24"/>
              </w:rPr>
            </w:pPr>
          </w:p>
        </w:tc>
        <w:tc>
          <w:tcPr>
            <w:tcW w:w="1260" w:type="dxa"/>
            <w:vMerge w:val="restart"/>
            <w:tcBorders>
              <w:top w:val="single" w:sz="4" w:space="0" w:color="000000"/>
            </w:tcBorders>
          </w:tcPr>
          <w:p>
            <w:pPr>
              <w:pStyle w:val="TableParagraph"/>
              <w:rPr>
                <w:rFonts w:ascii="Times New Roman"/>
                <w:sz w:val="24"/>
              </w:rPr>
            </w:pPr>
          </w:p>
        </w:tc>
      </w:tr>
      <w:tr>
        <w:trPr>
          <w:trHeight w:val="467" w:hRule="atLeast"/>
        </w:trPr>
        <w:tc>
          <w:tcPr>
            <w:tcW w:w="1567" w:type="dxa"/>
          </w:tcPr>
          <w:p>
            <w:pPr>
              <w:pStyle w:val="TableParagraph"/>
              <w:rPr>
                <w:rFonts w:ascii="Times New Roman"/>
                <w:sz w:val="24"/>
              </w:rPr>
            </w:pPr>
          </w:p>
        </w:tc>
        <w:tc>
          <w:tcPr>
            <w:tcW w:w="6643" w:type="dxa"/>
          </w:tcPr>
          <w:p>
            <w:pPr>
              <w:pStyle w:val="TableParagraph"/>
              <w:rPr>
                <w:rFonts w:ascii="Times New Roman"/>
                <w:sz w:val="24"/>
              </w:rPr>
            </w:pPr>
          </w:p>
        </w:tc>
        <w:tc>
          <w:tcPr>
            <w:tcW w:w="1260" w:type="dxa"/>
            <w:vMerge/>
            <w:tcBorders>
              <w:top w:val="nil"/>
            </w:tcBorders>
          </w:tcPr>
          <w:p>
            <w:pPr>
              <w:rPr>
                <w:sz w:val="2"/>
                <w:szCs w:val="2"/>
              </w:rPr>
            </w:pPr>
          </w:p>
        </w:tc>
      </w:tr>
      <w:tr>
        <w:trPr>
          <w:trHeight w:val="443" w:hRule="atLeast"/>
        </w:trPr>
        <w:tc>
          <w:tcPr>
            <w:tcW w:w="1567" w:type="dxa"/>
          </w:tcPr>
          <w:p>
            <w:pPr>
              <w:pStyle w:val="TableParagraph"/>
              <w:rPr>
                <w:rFonts w:ascii="Times New Roman"/>
                <w:sz w:val="24"/>
              </w:rPr>
            </w:pPr>
          </w:p>
        </w:tc>
        <w:tc>
          <w:tcPr>
            <w:tcW w:w="6643" w:type="dxa"/>
          </w:tcPr>
          <w:p>
            <w:pPr>
              <w:pStyle w:val="TableParagraph"/>
              <w:rPr>
                <w:rFonts w:ascii="Times New Roman"/>
                <w:sz w:val="24"/>
              </w:rPr>
            </w:pPr>
          </w:p>
        </w:tc>
        <w:tc>
          <w:tcPr>
            <w:tcW w:w="1260" w:type="dxa"/>
            <w:vMerge/>
            <w:tcBorders>
              <w:top w:val="nil"/>
            </w:tcBorders>
          </w:tcPr>
          <w:p>
            <w:pPr>
              <w:rPr>
                <w:sz w:val="2"/>
                <w:szCs w:val="2"/>
              </w:rPr>
            </w:pPr>
          </w:p>
        </w:tc>
      </w:tr>
      <w:tr>
        <w:trPr>
          <w:trHeight w:val="568" w:hRule="atLeast"/>
        </w:trPr>
        <w:tc>
          <w:tcPr>
            <w:tcW w:w="1567" w:type="dxa"/>
          </w:tcPr>
          <w:p>
            <w:pPr>
              <w:pStyle w:val="TableParagraph"/>
              <w:rPr>
                <w:rFonts w:ascii="Times New Roman"/>
                <w:sz w:val="24"/>
              </w:rPr>
            </w:pPr>
          </w:p>
        </w:tc>
        <w:tc>
          <w:tcPr>
            <w:tcW w:w="6643" w:type="dxa"/>
          </w:tcPr>
          <w:p>
            <w:pPr>
              <w:pStyle w:val="TableParagraph"/>
              <w:rPr>
                <w:rFonts w:ascii="Times New Roman"/>
                <w:sz w:val="24"/>
              </w:rPr>
            </w:pPr>
          </w:p>
        </w:tc>
        <w:tc>
          <w:tcPr>
            <w:tcW w:w="1260" w:type="dxa"/>
            <w:vMerge/>
            <w:tcBorders>
              <w:top w:val="nil"/>
            </w:tcBorders>
          </w:tcPr>
          <w:p>
            <w:pPr>
              <w:rPr>
                <w:sz w:val="2"/>
                <w:szCs w:val="2"/>
              </w:rPr>
            </w:pPr>
          </w:p>
        </w:tc>
      </w:tr>
      <w:tr>
        <w:trPr>
          <w:trHeight w:val="565" w:hRule="atLeast"/>
        </w:trPr>
        <w:tc>
          <w:tcPr>
            <w:tcW w:w="1567" w:type="dxa"/>
          </w:tcPr>
          <w:p>
            <w:pPr>
              <w:pStyle w:val="TableParagraph"/>
              <w:rPr>
                <w:rFonts w:ascii="Times New Roman"/>
                <w:sz w:val="24"/>
              </w:rPr>
            </w:pPr>
          </w:p>
        </w:tc>
        <w:tc>
          <w:tcPr>
            <w:tcW w:w="7903" w:type="dxa"/>
            <w:gridSpan w:val="2"/>
          </w:tcPr>
          <w:p>
            <w:pPr>
              <w:pStyle w:val="TableParagraph"/>
              <w:spacing w:before="126"/>
              <w:ind w:left="816" w:right="571"/>
              <w:jc w:val="center"/>
              <w:rPr>
                <w:b/>
                <w:sz w:val="24"/>
              </w:rPr>
            </w:pPr>
            <w:r>
              <w:rPr>
                <w:b/>
                <w:sz w:val="24"/>
              </w:rPr>
              <w:t>休息</w:t>
            </w:r>
          </w:p>
        </w:tc>
      </w:tr>
      <w:tr>
        <w:trPr>
          <w:trHeight w:val="567" w:hRule="atLeast"/>
        </w:trPr>
        <w:tc>
          <w:tcPr>
            <w:tcW w:w="1567" w:type="dxa"/>
          </w:tcPr>
          <w:p>
            <w:pPr>
              <w:pStyle w:val="TableParagraph"/>
              <w:rPr>
                <w:rFonts w:ascii="Times New Roman"/>
                <w:sz w:val="24"/>
              </w:rPr>
            </w:pPr>
          </w:p>
        </w:tc>
        <w:tc>
          <w:tcPr>
            <w:tcW w:w="6643" w:type="dxa"/>
          </w:tcPr>
          <w:p>
            <w:pPr>
              <w:pStyle w:val="TableParagraph"/>
              <w:rPr>
                <w:rFonts w:ascii="Times New Roman"/>
                <w:sz w:val="24"/>
              </w:rPr>
            </w:pPr>
          </w:p>
        </w:tc>
        <w:tc>
          <w:tcPr>
            <w:tcW w:w="1260" w:type="dxa"/>
          </w:tcPr>
          <w:p>
            <w:pPr>
              <w:pStyle w:val="TableParagraph"/>
              <w:rPr>
                <w:rFonts w:ascii="Times New Roman"/>
                <w:sz w:val="24"/>
              </w:rPr>
            </w:pPr>
          </w:p>
        </w:tc>
      </w:tr>
    </w:tbl>
    <w:p>
      <w:pPr>
        <w:spacing w:after="0"/>
        <w:rPr>
          <w:rFonts w:ascii="Times New Roman"/>
          <w:sz w:val="24"/>
        </w:rPr>
        <w:sectPr>
          <w:pgSz w:w="11910" w:h="16840"/>
          <w:pgMar w:header="0" w:footer="1035" w:top="1440" w:bottom="1300" w:left="1020" w:right="560"/>
        </w:sectPr>
      </w:pPr>
    </w:p>
    <w:tbl>
      <w:tblPr>
        <w:tblW w:w="0" w:type="auto"/>
        <w:jc w:val="left"/>
        <w:tblInd w:w="2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58"/>
        <w:gridCol w:w="6652"/>
        <w:gridCol w:w="1260"/>
      </w:tblGrid>
      <w:tr>
        <w:trPr>
          <w:trHeight w:val="568" w:hRule="atLeast"/>
        </w:trPr>
        <w:tc>
          <w:tcPr>
            <w:tcW w:w="1558" w:type="dxa"/>
          </w:tcPr>
          <w:p>
            <w:pPr>
              <w:pStyle w:val="TableParagraph"/>
              <w:rPr>
                <w:rFonts w:ascii="Times New Roman"/>
                <w:sz w:val="24"/>
              </w:rPr>
            </w:pPr>
          </w:p>
        </w:tc>
        <w:tc>
          <w:tcPr>
            <w:tcW w:w="6652" w:type="dxa"/>
          </w:tcPr>
          <w:p>
            <w:pPr>
              <w:pStyle w:val="TableParagraph"/>
              <w:rPr>
                <w:rFonts w:ascii="Times New Roman"/>
                <w:sz w:val="24"/>
              </w:rPr>
            </w:pPr>
          </w:p>
        </w:tc>
        <w:tc>
          <w:tcPr>
            <w:tcW w:w="1260" w:type="dxa"/>
            <w:vMerge w:val="restart"/>
          </w:tcPr>
          <w:p>
            <w:pPr>
              <w:pStyle w:val="TableParagraph"/>
              <w:rPr>
                <w:rFonts w:ascii="Times New Roman"/>
                <w:sz w:val="24"/>
              </w:rPr>
            </w:pPr>
          </w:p>
        </w:tc>
      </w:tr>
      <w:tr>
        <w:trPr>
          <w:trHeight w:val="565" w:hRule="atLeast"/>
        </w:trPr>
        <w:tc>
          <w:tcPr>
            <w:tcW w:w="1558" w:type="dxa"/>
          </w:tcPr>
          <w:p>
            <w:pPr>
              <w:pStyle w:val="TableParagraph"/>
              <w:rPr>
                <w:rFonts w:ascii="Times New Roman"/>
                <w:sz w:val="24"/>
              </w:rPr>
            </w:pPr>
          </w:p>
        </w:tc>
        <w:tc>
          <w:tcPr>
            <w:tcW w:w="6652" w:type="dxa"/>
          </w:tcPr>
          <w:p>
            <w:pPr>
              <w:pStyle w:val="TableParagraph"/>
              <w:rPr>
                <w:rFonts w:ascii="Times New Roman"/>
                <w:sz w:val="24"/>
              </w:rPr>
            </w:pPr>
          </w:p>
        </w:tc>
        <w:tc>
          <w:tcPr>
            <w:tcW w:w="1260" w:type="dxa"/>
            <w:vMerge/>
            <w:tcBorders>
              <w:top w:val="nil"/>
            </w:tcBorders>
          </w:tcPr>
          <w:p>
            <w:pPr>
              <w:rPr>
                <w:sz w:val="2"/>
                <w:szCs w:val="2"/>
              </w:rPr>
            </w:pPr>
          </w:p>
        </w:tc>
      </w:tr>
      <w:tr>
        <w:trPr>
          <w:trHeight w:val="568" w:hRule="atLeast"/>
        </w:trPr>
        <w:tc>
          <w:tcPr>
            <w:tcW w:w="1558" w:type="dxa"/>
          </w:tcPr>
          <w:p>
            <w:pPr>
              <w:pStyle w:val="TableParagraph"/>
              <w:rPr>
                <w:rFonts w:ascii="Times New Roman"/>
                <w:sz w:val="24"/>
              </w:rPr>
            </w:pPr>
          </w:p>
        </w:tc>
        <w:tc>
          <w:tcPr>
            <w:tcW w:w="6652" w:type="dxa"/>
          </w:tcPr>
          <w:p>
            <w:pPr>
              <w:pStyle w:val="TableParagraph"/>
              <w:rPr>
                <w:rFonts w:ascii="Times New Roman"/>
                <w:sz w:val="24"/>
              </w:rPr>
            </w:pPr>
          </w:p>
        </w:tc>
        <w:tc>
          <w:tcPr>
            <w:tcW w:w="1260" w:type="dxa"/>
            <w:vMerge/>
            <w:tcBorders>
              <w:top w:val="nil"/>
            </w:tcBorders>
          </w:tcPr>
          <w:p>
            <w:pPr>
              <w:rPr>
                <w:sz w:val="2"/>
                <w:szCs w:val="2"/>
              </w:rPr>
            </w:pPr>
          </w:p>
        </w:tc>
      </w:tr>
      <w:tr>
        <w:trPr>
          <w:trHeight w:val="565" w:hRule="atLeast"/>
        </w:trPr>
        <w:tc>
          <w:tcPr>
            <w:tcW w:w="1558" w:type="dxa"/>
          </w:tcPr>
          <w:p>
            <w:pPr>
              <w:pStyle w:val="TableParagraph"/>
              <w:rPr>
                <w:rFonts w:ascii="Times New Roman"/>
                <w:sz w:val="24"/>
              </w:rPr>
            </w:pPr>
          </w:p>
        </w:tc>
        <w:tc>
          <w:tcPr>
            <w:tcW w:w="6652" w:type="dxa"/>
          </w:tcPr>
          <w:p>
            <w:pPr>
              <w:pStyle w:val="TableParagraph"/>
              <w:rPr>
                <w:rFonts w:ascii="Times New Roman"/>
                <w:sz w:val="24"/>
              </w:rPr>
            </w:pPr>
          </w:p>
        </w:tc>
        <w:tc>
          <w:tcPr>
            <w:tcW w:w="1260" w:type="dxa"/>
            <w:vMerge/>
            <w:tcBorders>
              <w:top w:val="nil"/>
            </w:tcBorders>
          </w:tcPr>
          <w:p>
            <w:pPr>
              <w:rPr>
                <w:sz w:val="2"/>
                <w:szCs w:val="2"/>
              </w:rPr>
            </w:pPr>
          </w:p>
        </w:tc>
      </w:tr>
      <w:tr>
        <w:trPr>
          <w:trHeight w:val="567" w:hRule="atLeast"/>
        </w:trPr>
        <w:tc>
          <w:tcPr>
            <w:tcW w:w="1558" w:type="dxa"/>
          </w:tcPr>
          <w:p>
            <w:pPr>
              <w:pStyle w:val="TableParagraph"/>
              <w:rPr>
                <w:rFonts w:ascii="Times New Roman"/>
                <w:sz w:val="24"/>
              </w:rPr>
            </w:pPr>
          </w:p>
        </w:tc>
        <w:tc>
          <w:tcPr>
            <w:tcW w:w="6652" w:type="dxa"/>
          </w:tcPr>
          <w:p>
            <w:pPr>
              <w:pStyle w:val="TableParagraph"/>
              <w:rPr>
                <w:rFonts w:ascii="Times New Roman"/>
                <w:sz w:val="24"/>
              </w:rPr>
            </w:pPr>
          </w:p>
        </w:tc>
        <w:tc>
          <w:tcPr>
            <w:tcW w:w="1260" w:type="dxa"/>
            <w:vMerge/>
            <w:tcBorders>
              <w:top w:val="nil"/>
            </w:tcBorders>
          </w:tcPr>
          <w:p>
            <w:pPr>
              <w:rPr>
                <w:sz w:val="2"/>
                <w:szCs w:val="2"/>
              </w:rPr>
            </w:pPr>
          </w:p>
        </w:tc>
      </w:tr>
      <w:tr>
        <w:trPr>
          <w:trHeight w:val="697" w:hRule="atLeast"/>
        </w:trPr>
        <w:tc>
          <w:tcPr>
            <w:tcW w:w="1558" w:type="dxa"/>
          </w:tcPr>
          <w:p>
            <w:pPr>
              <w:pStyle w:val="TableParagraph"/>
              <w:rPr>
                <w:rFonts w:ascii="Times New Roman"/>
                <w:sz w:val="24"/>
              </w:rPr>
            </w:pPr>
          </w:p>
        </w:tc>
        <w:tc>
          <w:tcPr>
            <w:tcW w:w="7912" w:type="dxa"/>
            <w:gridSpan w:val="2"/>
          </w:tcPr>
          <w:p>
            <w:pPr>
              <w:pStyle w:val="TableParagraph"/>
              <w:spacing w:before="194"/>
              <w:ind w:left="3453" w:right="3201"/>
              <w:jc w:val="center"/>
              <w:rPr>
                <w:b/>
                <w:sz w:val="24"/>
              </w:rPr>
            </w:pPr>
            <w:r>
              <w:rPr>
                <w:b/>
                <w:sz w:val="24"/>
              </w:rPr>
              <w:t>晚 餐</w:t>
            </w:r>
          </w:p>
        </w:tc>
      </w:tr>
      <w:tr>
        <w:trPr>
          <w:trHeight w:val="734" w:hRule="atLeast"/>
        </w:trPr>
        <w:tc>
          <w:tcPr>
            <w:tcW w:w="8210" w:type="dxa"/>
            <w:gridSpan w:val="2"/>
            <w:tcBorders>
              <w:right w:val="single" w:sz="4" w:space="0" w:color="000000"/>
            </w:tcBorders>
          </w:tcPr>
          <w:p>
            <w:pPr>
              <w:pStyle w:val="TableParagraph"/>
              <w:spacing w:before="211"/>
              <w:ind w:left="460"/>
              <w:rPr>
                <w:sz w:val="24"/>
              </w:rPr>
            </w:pPr>
            <w:r>
              <w:rPr>
                <w:b/>
                <w:sz w:val="24"/>
              </w:rPr>
              <w:t>会场2：</w:t>
            </w:r>
            <w:r>
              <w:rPr>
                <w:sz w:val="24"/>
              </w:rPr>
              <w:t>地点</w:t>
            </w:r>
          </w:p>
        </w:tc>
        <w:tc>
          <w:tcPr>
            <w:tcW w:w="1260" w:type="dxa"/>
            <w:tcBorders>
              <w:left w:val="single" w:sz="4" w:space="0" w:color="000000"/>
              <w:bottom w:val="single" w:sz="4" w:space="0" w:color="000000"/>
            </w:tcBorders>
          </w:tcPr>
          <w:p>
            <w:pPr>
              <w:pStyle w:val="TableParagraph"/>
              <w:spacing w:before="211"/>
              <w:ind w:left="112"/>
              <w:rPr>
                <w:b/>
                <w:sz w:val="24"/>
              </w:rPr>
            </w:pPr>
            <w:r>
              <w:rPr>
                <w:b/>
                <w:sz w:val="24"/>
              </w:rPr>
              <w:t>主持人</w:t>
            </w:r>
          </w:p>
        </w:tc>
      </w:tr>
      <w:tr>
        <w:trPr>
          <w:trHeight w:val="568" w:hRule="atLeast"/>
        </w:trPr>
        <w:tc>
          <w:tcPr>
            <w:tcW w:w="1558" w:type="dxa"/>
          </w:tcPr>
          <w:p>
            <w:pPr>
              <w:pStyle w:val="TableParagraph"/>
              <w:spacing w:before="129"/>
              <w:ind w:left="395" w:right="378"/>
              <w:jc w:val="center"/>
              <w:rPr>
                <w:sz w:val="24"/>
              </w:rPr>
            </w:pPr>
            <w:r>
              <w:rPr>
                <w:sz w:val="24"/>
              </w:rPr>
              <w:t>时间</w:t>
            </w:r>
          </w:p>
        </w:tc>
        <w:tc>
          <w:tcPr>
            <w:tcW w:w="6652" w:type="dxa"/>
          </w:tcPr>
          <w:p>
            <w:pPr>
              <w:pStyle w:val="TableParagraph"/>
              <w:rPr>
                <w:rFonts w:ascii="Times New Roman"/>
                <w:sz w:val="24"/>
              </w:rPr>
            </w:pPr>
          </w:p>
        </w:tc>
        <w:tc>
          <w:tcPr>
            <w:tcW w:w="1260" w:type="dxa"/>
            <w:vMerge w:val="restart"/>
            <w:tcBorders>
              <w:top w:val="single" w:sz="4" w:space="0" w:color="000000"/>
            </w:tcBorders>
          </w:tcPr>
          <w:p>
            <w:pPr>
              <w:pStyle w:val="TableParagraph"/>
              <w:rPr>
                <w:rFonts w:ascii="Times New Roman"/>
                <w:sz w:val="24"/>
              </w:rPr>
            </w:pPr>
          </w:p>
        </w:tc>
      </w:tr>
      <w:tr>
        <w:trPr>
          <w:trHeight w:val="565" w:hRule="atLeast"/>
        </w:trPr>
        <w:tc>
          <w:tcPr>
            <w:tcW w:w="1558" w:type="dxa"/>
          </w:tcPr>
          <w:p>
            <w:pPr>
              <w:pStyle w:val="TableParagraph"/>
              <w:rPr>
                <w:rFonts w:ascii="Times New Roman"/>
                <w:sz w:val="24"/>
              </w:rPr>
            </w:pPr>
          </w:p>
        </w:tc>
        <w:tc>
          <w:tcPr>
            <w:tcW w:w="6652" w:type="dxa"/>
          </w:tcPr>
          <w:p>
            <w:pPr>
              <w:pStyle w:val="TableParagraph"/>
              <w:rPr>
                <w:rFonts w:ascii="Times New Roman"/>
                <w:sz w:val="24"/>
              </w:rPr>
            </w:pPr>
          </w:p>
        </w:tc>
        <w:tc>
          <w:tcPr>
            <w:tcW w:w="1260" w:type="dxa"/>
            <w:vMerge/>
            <w:tcBorders>
              <w:top w:val="nil"/>
            </w:tcBorders>
          </w:tcPr>
          <w:p>
            <w:pPr>
              <w:rPr>
                <w:sz w:val="2"/>
                <w:szCs w:val="2"/>
              </w:rPr>
            </w:pPr>
          </w:p>
        </w:tc>
      </w:tr>
      <w:tr>
        <w:trPr>
          <w:trHeight w:val="567" w:hRule="atLeast"/>
        </w:trPr>
        <w:tc>
          <w:tcPr>
            <w:tcW w:w="1558" w:type="dxa"/>
          </w:tcPr>
          <w:p>
            <w:pPr>
              <w:pStyle w:val="TableParagraph"/>
              <w:rPr>
                <w:rFonts w:ascii="Times New Roman"/>
                <w:sz w:val="24"/>
              </w:rPr>
            </w:pPr>
          </w:p>
        </w:tc>
        <w:tc>
          <w:tcPr>
            <w:tcW w:w="6652" w:type="dxa"/>
          </w:tcPr>
          <w:p>
            <w:pPr>
              <w:pStyle w:val="TableParagraph"/>
              <w:rPr>
                <w:rFonts w:ascii="Times New Roman"/>
                <w:sz w:val="24"/>
              </w:rPr>
            </w:pPr>
          </w:p>
        </w:tc>
        <w:tc>
          <w:tcPr>
            <w:tcW w:w="1260" w:type="dxa"/>
            <w:vMerge/>
            <w:tcBorders>
              <w:top w:val="nil"/>
            </w:tcBorders>
          </w:tcPr>
          <w:p>
            <w:pPr>
              <w:rPr>
                <w:sz w:val="2"/>
                <w:szCs w:val="2"/>
              </w:rPr>
            </w:pPr>
          </w:p>
        </w:tc>
      </w:tr>
      <w:tr>
        <w:trPr>
          <w:trHeight w:val="567" w:hRule="atLeast"/>
        </w:trPr>
        <w:tc>
          <w:tcPr>
            <w:tcW w:w="1558" w:type="dxa"/>
          </w:tcPr>
          <w:p>
            <w:pPr>
              <w:pStyle w:val="TableParagraph"/>
              <w:rPr>
                <w:rFonts w:ascii="Times New Roman"/>
                <w:sz w:val="24"/>
              </w:rPr>
            </w:pPr>
          </w:p>
        </w:tc>
        <w:tc>
          <w:tcPr>
            <w:tcW w:w="6652" w:type="dxa"/>
          </w:tcPr>
          <w:p>
            <w:pPr>
              <w:pStyle w:val="TableParagraph"/>
              <w:rPr>
                <w:rFonts w:ascii="Times New Roman"/>
                <w:sz w:val="24"/>
              </w:rPr>
            </w:pPr>
          </w:p>
        </w:tc>
        <w:tc>
          <w:tcPr>
            <w:tcW w:w="1260" w:type="dxa"/>
            <w:vMerge/>
            <w:tcBorders>
              <w:top w:val="nil"/>
            </w:tcBorders>
          </w:tcPr>
          <w:p>
            <w:pPr>
              <w:rPr>
                <w:sz w:val="2"/>
                <w:szCs w:val="2"/>
              </w:rPr>
            </w:pPr>
          </w:p>
        </w:tc>
      </w:tr>
      <w:tr>
        <w:trPr>
          <w:trHeight w:val="565" w:hRule="atLeast"/>
        </w:trPr>
        <w:tc>
          <w:tcPr>
            <w:tcW w:w="1558" w:type="dxa"/>
          </w:tcPr>
          <w:p>
            <w:pPr>
              <w:pStyle w:val="TableParagraph"/>
              <w:rPr>
                <w:rFonts w:ascii="Times New Roman"/>
                <w:sz w:val="24"/>
              </w:rPr>
            </w:pPr>
          </w:p>
        </w:tc>
        <w:tc>
          <w:tcPr>
            <w:tcW w:w="6652" w:type="dxa"/>
          </w:tcPr>
          <w:p>
            <w:pPr>
              <w:pStyle w:val="TableParagraph"/>
              <w:rPr>
                <w:rFonts w:ascii="Times New Roman"/>
                <w:sz w:val="24"/>
              </w:rPr>
            </w:pPr>
          </w:p>
        </w:tc>
        <w:tc>
          <w:tcPr>
            <w:tcW w:w="1260" w:type="dxa"/>
            <w:vMerge/>
            <w:tcBorders>
              <w:top w:val="nil"/>
            </w:tcBorders>
          </w:tcPr>
          <w:p>
            <w:pPr>
              <w:rPr>
                <w:sz w:val="2"/>
                <w:szCs w:val="2"/>
              </w:rPr>
            </w:pPr>
          </w:p>
        </w:tc>
      </w:tr>
      <w:tr>
        <w:trPr>
          <w:trHeight w:val="726" w:hRule="atLeast"/>
        </w:trPr>
        <w:tc>
          <w:tcPr>
            <w:tcW w:w="1558" w:type="dxa"/>
          </w:tcPr>
          <w:p>
            <w:pPr>
              <w:pStyle w:val="TableParagraph"/>
              <w:rPr>
                <w:rFonts w:ascii="Times New Roman"/>
                <w:sz w:val="24"/>
              </w:rPr>
            </w:pPr>
          </w:p>
        </w:tc>
        <w:tc>
          <w:tcPr>
            <w:tcW w:w="7912" w:type="dxa"/>
            <w:gridSpan w:val="2"/>
          </w:tcPr>
          <w:p>
            <w:pPr>
              <w:pStyle w:val="TableParagraph"/>
              <w:spacing w:before="208"/>
              <w:ind w:left="3453" w:right="3199"/>
              <w:jc w:val="center"/>
              <w:rPr>
                <w:b/>
                <w:sz w:val="24"/>
              </w:rPr>
            </w:pPr>
            <w:r>
              <w:rPr>
                <w:b/>
                <w:sz w:val="24"/>
              </w:rPr>
              <w:t>休息</w:t>
            </w:r>
          </w:p>
        </w:tc>
      </w:tr>
      <w:tr>
        <w:trPr>
          <w:trHeight w:val="568" w:hRule="atLeast"/>
        </w:trPr>
        <w:tc>
          <w:tcPr>
            <w:tcW w:w="1558" w:type="dxa"/>
          </w:tcPr>
          <w:p>
            <w:pPr>
              <w:pStyle w:val="TableParagraph"/>
              <w:rPr>
                <w:rFonts w:ascii="Times New Roman"/>
                <w:sz w:val="24"/>
              </w:rPr>
            </w:pPr>
          </w:p>
        </w:tc>
        <w:tc>
          <w:tcPr>
            <w:tcW w:w="6652" w:type="dxa"/>
          </w:tcPr>
          <w:p>
            <w:pPr>
              <w:pStyle w:val="TableParagraph"/>
              <w:rPr>
                <w:rFonts w:ascii="Times New Roman"/>
                <w:sz w:val="24"/>
              </w:rPr>
            </w:pPr>
          </w:p>
        </w:tc>
        <w:tc>
          <w:tcPr>
            <w:tcW w:w="1260" w:type="dxa"/>
            <w:vMerge w:val="restart"/>
          </w:tcPr>
          <w:p>
            <w:pPr>
              <w:pStyle w:val="TableParagraph"/>
              <w:rPr>
                <w:rFonts w:ascii="Times New Roman"/>
                <w:sz w:val="24"/>
              </w:rPr>
            </w:pPr>
          </w:p>
        </w:tc>
      </w:tr>
      <w:tr>
        <w:trPr>
          <w:trHeight w:val="565" w:hRule="atLeast"/>
        </w:trPr>
        <w:tc>
          <w:tcPr>
            <w:tcW w:w="1558" w:type="dxa"/>
          </w:tcPr>
          <w:p>
            <w:pPr>
              <w:pStyle w:val="TableParagraph"/>
              <w:rPr>
                <w:rFonts w:ascii="Times New Roman"/>
                <w:sz w:val="24"/>
              </w:rPr>
            </w:pPr>
          </w:p>
        </w:tc>
        <w:tc>
          <w:tcPr>
            <w:tcW w:w="6652" w:type="dxa"/>
          </w:tcPr>
          <w:p>
            <w:pPr>
              <w:pStyle w:val="TableParagraph"/>
              <w:rPr>
                <w:rFonts w:ascii="Times New Roman"/>
                <w:sz w:val="24"/>
              </w:rPr>
            </w:pPr>
          </w:p>
        </w:tc>
        <w:tc>
          <w:tcPr>
            <w:tcW w:w="1260" w:type="dxa"/>
            <w:vMerge/>
            <w:tcBorders>
              <w:top w:val="nil"/>
            </w:tcBorders>
          </w:tcPr>
          <w:p>
            <w:pPr>
              <w:rPr>
                <w:sz w:val="2"/>
                <w:szCs w:val="2"/>
              </w:rPr>
            </w:pPr>
          </w:p>
        </w:tc>
      </w:tr>
      <w:tr>
        <w:trPr>
          <w:trHeight w:val="567" w:hRule="atLeast"/>
        </w:trPr>
        <w:tc>
          <w:tcPr>
            <w:tcW w:w="1558" w:type="dxa"/>
          </w:tcPr>
          <w:p>
            <w:pPr>
              <w:pStyle w:val="TableParagraph"/>
              <w:rPr>
                <w:rFonts w:ascii="Times New Roman"/>
                <w:sz w:val="24"/>
              </w:rPr>
            </w:pPr>
          </w:p>
        </w:tc>
        <w:tc>
          <w:tcPr>
            <w:tcW w:w="6652" w:type="dxa"/>
          </w:tcPr>
          <w:p>
            <w:pPr>
              <w:pStyle w:val="TableParagraph"/>
              <w:rPr>
                <w:rFonts w:ascii="Times New Roman"/>
                <w:sz w:val="24"/>
              </w:rPr>
            </w:pPr>
          </w:p>
        </w:tc>
        <w:tc>
          <w:tcPr>
            <w:tcW w:w="1260" w:type="dxa"/>
            <w:vMerge/>
            <w:tcBorders>
              <w:top w:val="nil"/>
            </w:tcBorders>
          </w:tcPr>
          <w:p>
            <w:pPr>
              <w:rPr>
                <w:sz w:val="2"/>
                <w:szCs w:val="2"/>
              </w:rPr>
            </w:pPr>
          </w:p>
        </w:tc>
      </w:tr>
      <w:tr>
        <w:trPr>
          <w:trHeight w:val="565" w:hRule="atLeast"/>
        </w:trPr>
        <w:tc>
          <w:tcPr>
            <w:tcW w:w="1558" w:type="dxa"/>
          </w:tcPr>
          <w:p>
            <w:pPr>
              <w:pStyle w:val="TableParagraph"/>
              <w:rPr>
                <w:rFonts w:ascii="Times New Roman"/>
                <w:sz w:val="24"/>
              </w:rPr>
            </w:pPr>
          </w:p>
        </w:tc>
        <w:tc>
          <w:tcPr>
            <w:tcW w:w="6652" w:type="dxa"/>
          </w:tcPr>
          <w:p>
            <w:pPr>
              <w:pStyle w:val="TableParagraph"/>
              <w:rPr>
                <w:rFonts w:ascii="Times New Roman"/>
                <w:sz w:val="24"/>
              </w:rPr>
            </w:pPr>
          </w:p>
        </w:tc>
        <w:tc>
          <w:tcPr>
            <w:tcW w:w="1260" w:type="dxa"/>
            <w:vMerge/>
            <w:tcBorders>
              <w:top w:val="nil"/>
            </w:tcBorders>
          </w:tcPr>
          <w:p>
            <w:pPr>
              <w:rPr>
                <w:sz w:val="2"/>
                <w:szCs w:val="2"/>
              </w:rPr>
            </w:pPr>
          </w:p>
        </w:tc>
      </w:tr>
      <w:tr>
        <w:trPr>
          <w:trHeight w:val="567" w:hRule="atLeast"/>
        </w:trPr>
        <w:tc>
          <w:tcPr>
            <w:tcW w:w="1558" w:type="dxa"/>
          </w:tcPr>
          <w:p>
            <w:pPr>
              <w:pStyle w:val="TableParagraph"/>
              <w:rPr>
                <w:rFonts w:ascii="Times New Roman"/>
                <w:sz w:val="24"/>
              </w:rPr>
            </w:pPr>
          </w:p>
        </w:tc>
        <w:tc>
          <w:tcPr>
            <w:tcW w:w="6652" w:type="dxa"/>
          </w:tcPr>
          <w:p>
            <w:pPr>
              <w:pStyle w:val="TableParagraph"/>
              <w:rPr>
                <w:rFonts w:ascii="Times New Roman"/>
                <w:sz w:val="24"/>
              </w:rPr>
            </w:pPr>
          </w:p>
        </w:tc>
        <w:tc>
          <w:tcPr>
            <w:tcW w:w="1260" w:type="dxa"/>
            <w:vMerge/>
            <w:tcBorders>
              <w:top w:val="nil"/>
            </w:tcBorders>
          </w:tcPr>
          <w:p>
            <w:pPr>
              <w:rPr>
                <w:sz w:val="2"/>
                <w:szCs w:val="2"/>
              </w:rPr>
            </w:pPr>
          </w:p>
        </w:tc>
      </w:tr>
      <w:tr>
        <w:trPr>
          <w:trHeight w:val="568" w:hRule="atLeast"/>
        </w:trPr>
        <w:tc>
          <w:tcPr>
            <w:tcW w:w="1558" w:type="dxa"/>
          </w:tcPr>
          <w:p>
            <w:pPr>
              <w:pStyle w:val="TableParagraph"/>
              <w:rPr>
                <w:rFonts w:ascii="Times New Roman"/>
                <w:sz w:val="24"/>
              </w:rPr>
            </w:pPr>
          </w:p>
        </w:tc>
        <w:tc>
          <w:tcPr>
            <w:tcW w:w="6652" w:type="dxa"/>
          </w:tcPr>
          <w:p>
            <w:pPr>
              <w:pStyle w:val="TableParagraph"/>
              <w:rPr>
                <w:rFonts w:ascii="Times New Roman"/>
                <w:sz w:val="24"/>
              </w:rPr>
            </w:pPr>
          </w:p>
        </w:tc>
        <w:tc>
          <w:tcPr>
            <w:tcW w:w="1260" w:type="dxa"/>
            <w:vMerge/>
            <w:tcBorders>
              <w:top w:val="nil"/>
            </w:tcBorders>
          </w:tcPr>
          <w:p>
            <w:pPr>
              <w:rPr>
                <w:sz w:val="2"/>
                <w:szCs w:val="2"/>
              </w:rPr>
            </w:pPr>
          </w:p>
        </w:tc>
      </w:tr>
      <w:tr>
        <w:trPr>
          <w:trHeight w:val="565" w:hRule="atLeast"/>
        </w:trPr>
        <w:tc>
          <w:tcPr>
            <w:tcW w:w="1558" w:type="dxa"/>
          </w:tcPr>
          <w:p>
            <w:pPr>
              <w:pStyle w:val="TableParagraph"/>
              <w:rPr>
                <w:rFonts w:ascii="Times New Roman"/>
                <w:sz w:val="24"/>
              </w:rPr>
            </w:pPr>
          </w:p>
        </w:tc>
        <w:tc>
          <w:tcPr>
            <w:tcW w:w="7912" w:type="dxa"/>
            <w:gridSpan w:val="2"/>
          </w:tcPr>
          <w:p>
            <w:pPr>
              <w:pStyle w:val="TableParagraph"/>
              <w:spacing w:before="127"/>
              <w:ind w:left="3453" w:right="3434"/>
              <w:jc w:val="center"/>
              <w:rPr>
                <w:b/>
                <w:sz w:val="24"/>
              </w:rPr>
            </w:pPr>
            <w:r>
              <w:rPr>
                <w:b/>
                <w:sz w:val="24"/>
              </w:rPr>
              <w:t>晚餐</w:t>
            </w:r>
          </w:p>
        </w:tc>
      </w:tr>
      <w:tr>
        <w:trPr>
          <w:trHeight w:val="567" w:hRule="atLeast"/>
        </w:trPr>
        <w:tc>
          <w:tcPr>
            <w:tcW w:w="1558" w:type="dxa"/>
          </w:tcPr>
          <w:p>
            <w:pPr>
              <w:pStyle w:val="TableParagraph"/>
              <w:spacing w:before="129"/>
              <w:ind w:left="395" w:right="378"/>
              <w:jc w:val="center"/>
              <w:rPr>
                <w:b/>
                <w:sz w:val="24"/>
              </w:rPr>
            </w:pPr>
            <w:r>
              <w:rPr>
                <w:b/>
                <w:sz w:val="24"/>
              </w:rPr>
              <w:t>*月*日</w:t>
            </w:r>
          </w:p>
        </w:tc>
        <w:tc>
          <w:tcPr>
            <w:tcW w:w="6652" w:type="dxa"/>
          </w:tcPr>
          <w:p>
            <w:pPr>
              <w:pStyle w:val="TableParagraph"/>
              <w:spacing w:before="129"/>
              <w:ind w:left="2821" w:right="2806"/>
              <w:jc w:val="center"/>
              <w:rPr>
                <w:b/>
                <w:sz w:val="24"/>
              </w:rPr>
            </w:pPr>
            <w:r>
              <w:rPr>
                <w:b/>
                <w:sz w:val="24"/>
              </w:rPr>
              <w:t>活动内容</w:t>
            </w:r>
          </w:p>
        </w:tc>
        <w:tc>
          <w:tcPr>
            <w:tcW w:w="1260" w:type="dxa"/>
          </w:tcPr>
          <w:p>
            <w:pPr>
              <w:pStyle w:val="TableParagraph"/>
              <w:spacing w:before="129"/>
              <w:ind w:left="107"/>
              <w:rPr>
                <w:b/>
                <w:sz w:val="24"/>
              </w:rPr>
            </w:pPr>
            <w:r>
              <w:rPr>
                <w:b/>
                <w:sz w:val="24"/>
              </w:rPr>
              <w:t>主持人</w:t>
            </w:r>
          </w:p>
        </w:tc>
      </w:tr>
      <w:tr>
        <w:trPr>
          <w:trHeight w:val="935" w:hRule="atLeast"/>
        </w:trPr>
        <w:tc>
          <w:tcPr>
            <w:tcW w:w="1558" w:type="dxa"/>
          </w:tcPr>
          <w:p>
            <w:pPr>
              <w:pStyle w:val="TableParagraph"/>
              <w:spacing w:before="10"/>
              <w:rPr>
                <w:rFonts w:ascii="方正小标宋简体"/>
                <w:b/>
                <w:sz w:val="17"/>
              </w:rPr>
            </w:pPr>
          </w:p>
          <w:p>
            <w:pPr>
              <w:pStyle w:val="TableParagraph"/>
              <w:ind w:left="395" w:right="378"/>
              <w:jc w:val="center"/>
              <w:rPr>
                <w:sz w:val="24"/>
              </w:rPr>
            </w:pPr>
            <w:r>
              <w:rPr>
                <w:sz w:val="24"/>
              </w:rPr>
              <w:t>时间</w:t>
            </w:r>
          </w:p>
        </w:tc>
        <w:tc>
          <w:tcPr>
            <w:tcW w:w="7912" w:type="dxa"/>
            <w:gridSpan w:val="2"/>
          </w:tcPr>
          <w:p>
            <w:pPr>
              <w:pStyle w:val="TableParagraph"/>
              <w:spacing w:before="79"/>
              <w:ind w:left="3453" w:right="3434"/>
              <w:jc w:val="center"/>
              <w:rPr>
                <w:b/>
                <w:sz w:val="24"/>
              </w:rPr>
            </w:pPr>
            <w:r>
              <w:rPr>
                <w:b/>
                <w:sz w:val="24"/>
              </w:rPr>
              <w:t>分组讨论</w:t>
            </w:r>
          </w:p>
          <w:p>
            <w:pPr>
              <w:pStyle w:val="TableParagraph"/>
              <w:spacing w:before="160"/>
              <w:ind w:left="107"/>
              <w:rPr>
                <w:sz w:val="24"/>
              </w:rPr>
            </w:pPr>
            <w:r>
              <w:rPr>
                <w:b/>
                <w:sz w:val="24"/>
              </w:rPr>
              <w:t>讨论形式：</w:t>
            </w:r>
            <w:r>
              <w:rPr>
                <w:sz w:val="24"/>
              </w:rPr>
              <w:t>专家自由发言，每人每次不超 5 分钟，可多次发言</w:t>
            </w:r>
          </w:p>
        </w:tc>
      </w:tr>
    </w:tbl>
    <w:p>
      <w:pPr>
        <w:spacing w:after="0"/>
        <w:rPr>
          <w:sz w:val="24"/>
        </w:rPr>
        <w:sectPr>
          <w:pgSz w:w="11910" w:h="16840"/>
          <w:pgMar w:header="0" w:footer="1035" w:top="1420" w:bottom="1220" w:left="1020" w:right="560"/>
        </w:sectPr>
      </w:pPr>
    </w:p>
    <w:tbl>
      <w:tblPr>
        <w:tblW w:w="0" w:type="auto"/>
        <w:jc w:val="left"/>
        <w:tblInd w:w="2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58"/>
        <w:gridCol w:w="6652"/>
        <w:gridCol w:w="1260"/>
      </w:tblGrid>
      <w:tr>
        <w:trPr>
          <w:trHeight w:val="568" w:hRule="atLeast"/>
        </w:trPr>
        <w:tc>
          <w:tcPr>
            <w:tcW w:w="1558" w:type="dxa"/>
            <w:vMerge w:val="restart"/>
          </w:tcPr>
          <w:p>
            <w:pPr>
              <w:pStyle w:val="TableParagraph"/>
              <w:rPr>
                <w:rFonts w:ascii="Times New Roman"/>
                <w:sz w:val="24"/>
              </w:rPr>
            </w:pPr>
          </w:p>
        </w:tc>
        <w:tc>
          <w:tcPr>
            <w:tcW w:w="7912" w:type="dxa"/>
            <w:gridSpan w:val="2"/>
          </w:tcPr>
          <w:p>
            <w:pPr>
              <w:pStyle w:val="TableParagraph"/>
              <w:spacing w:line="307" w:lineRule="exact"/>
              <w:ind w:left="107"/>
              <w:rPr>
                <w:sz w:val="24"/>
              </w:rPr>
            </w:pPr>
            <w:r>
              <w:rPr>
                <w:b/>
                <w:sz w:val="24"/>
              </w:rPr>
              <w:t>讨论目的：</w:t>
            </w:r>
            <w:r>
              <w:rPr>
                <w:sz w:val="24"/>
              </w:rPr>
              <w:t>凝练主要科学问题、研讨资助模式，形成初步文稿</w:t>
            </w:r>
          </w:p>
        </w:tc>
      </w:tr>
      <w:tr>
        <w:trPr>
          <w:trHeight w:val="1024" w:hRule="atLeast"/>
        </w:trPr>
        <w:tc>
          <w:tcPr>
            <w:tcW w:w="1558" w:type="dxa"/>
            <w:vMerge/>
            <w:tcBorders>
              <w:top w:val="nil"/>
            </w:tcBorders>
          </w:tcPr>
          <w:p>
            <w:pPr>
              <w:rPr>
                <w:sz w:val="2"/>
                <w:szCs w:val="2"/>
              </w:rPr>
            </w:pPr>
          </w:p>
        </w:tc>
        <w:tc>
          <w:tcPr>
            <w:tcW w:w="6652" w:type="dxa"/>
          </w:tcPr>
          <w:p>
            <w:pPr>
              <w:pStyle w:val="TableParagraph"/>
              <w:spacing w:line="242" w:lineRule="auto"/>
              <w:ind w:left="107" w:right="3882"/>
              <w:rPr>
                <w:sz w:val="24"/>
              </w:rPr>
            </w:pPr>
            <w:r>
              <w:rPr>
                <w:sz w:val="24"/>
              </w:rPr>
              <w:t>第一组：人员或讨论主题会议室：地点</w:t>
            </w:r>
          </w:p>
          <w:p>
            <w:pPr>
              <w:pStyle w:val="TableParagraph"/>
              <w:tabs>
                <w:tab w:pos="587" w:val="left" w:leader="none"/>
              </w:tabs>
              <w:spacing w:line="301" w:lineRule="exact" w:before="81"/>
              <w:ind w:left="107"/>
              <w:rPr>
                <w:sz w:val="24"/>
              </w:rPr>
            </w:pPr>
            <w:r>
              <w:rPr>
                <w:sz w:val="24"/>
              </w:rPr>
              <w:t>秘</w:t>
              <w:tab/>
              <w:t>书：</w:t>
            </w:r>
          </w:p>
        </w:tc>
        <w:tc>
          <w:tcPr>
            <w:tcW w:w="1260" w:type="dxa"/>
          </w:tcPr>
          <w:p>
            <w:pPr>
              <w:pStyle w:val="TableParagraph"/>
              <w:rPr>
                <w:rFonts w:ascii="Times New Roman"/>
                <w:sz w:val="24"/>
              </w:rPr>
            </w:pPr>
          </w:p>
        </w:tc>
      </w:tr>
      <w:tr>
        <w:trPr>
          <w:trHeight w:val="1024" w:hRule="atLeast"/>
        </w:trPr>
        <w:tc>
          <w:tcPr>
            <w:tcW w:w="1558" w:type="dxa"/>
            <w:vMerge/>
            <w:tcBorders>
              <w:top w:val="nil"/>
            </w:tcBorders>
          </w:tcPr>
          <w:p>
            <w:pPr>
              <w:rPr>
                <w:sz w:val="2"/>
                <w:szCs w:val="2"/>
              </w:rPr>
            </w:pPr>
          </w:p>
        </w:tc>
        <w:tc>
          <w:tcPr>
            <w:tcW w:w="6652" w:type="dxa"/>
          </w:tcPr>
          <w:p>
            <w:pPr>
              <w:pStyle w:val="TableParagraph"/>
              <w:spacing w:line="242" w:lineRule="auto"/>
              <w:ind w:left="107" w:right="3882"/>
              <w:rPr>
                <w:sz w:val="24"/>
              </w:rPr>
            </w:pPr>
            <w:r>
              <w:rPr>
                <w:sz w:val="24"/>
              </w:rPr>
              <w:t>第二组：人员或讨论主题会议室：地点</w:t>
            </w:r>
          </w:p>
          <w:p>
            <w:pPr>
              <w:pStyle w:val="TableParagraph"/>
              <w:tabs>
                <w:tab w:pos="587" w:val="left" w:leader="none"/>
              </w:tabs>
              <w:spacing w:line="301" w:lineRule="exact" w:before="81"/>
              <w:ind w:left="107"/>
              <w:rPr>
                <w:sz w:val="24"/>
              </w:rPr>
            </w:pPr>
            <w:r>
              <w:rPr>
                <w:sz w:val="24"/>
              </w:rPr>
              <w:t>秘</w:t>
              <w:tab/>
              <w:t>书：</w:t>
            </w:r>
          </w:p>
        </w:tc>
        <w:tc>
          <w:tcPr>
            <w:tcW w:w="1260" w:type="dxa"/>
          </w:tcPr>
          <w:p>
            <w:pPr>
              <w:pStyle w:val="TableParagraph"/>
              <w:rPr>
                <w:rFonts w:ascii="Times New Roman"/>
                <w:sz w:val="24"/>
              </w:rPr>
            </w:pPr>
          </w:p>
        </w:tc>
      </w:tr>
      <w:tr>
        <w:trPr>
          <w:trHeight w:val="1571" w:hRule="atLeast"/>
        </w:trPr>
        <w:tc>
          <w:tcPr>
            <w:tcW w:w="1558" w:type="dxa"/>
          </w:tcPr>
          <w:p>
            <w:pPr>
              <w:pStyle w:val="TableParagraph"/>
              <w:spacing w:before="7"/>
              <w:rPr>
                <w:rFonts w:ascii="方正小标宋简体"/>
                <w:b/>
                <w:sz w:val="35"/>
              </w:rPr>
            </w:pPr>
          </w:p>
          <w:p>
            <w:pPr>
              <w:pStyle w:val="TableParagraph"/>
              <w:ind w:left="395" w:right="378"/>
              <w:jc w:val="center"/>
              <w:rPr>
                <w:sz w:val="24"/>
              </w:rPr>
            </w:pPr>
            <w:r>
              <w:rPr>
                <w:sz w:val="24"/>
              </w:rPr>
              <w:t>时间</w:t>
            </w:r>
          </w:p>
        </w:tc>
        <w:tc>
          <w:tcPr>
            <w:tcW w:w="6652" w:type="dxa"/>
          </w:tcPr>
          <w:p>
            <w:pPr>
              <w:pStyle w:val="TableParagraph"/>
              <w:spacing w:line="307" w:lineRule="exact"/>
              <w:ind w:left="107"/>
              <w:rPr>
                <w:sz w:val="24"/>
              </w:rPr>
            </w:pPr>
            <w:r>
              <w:rPr>
                <w:sz w:val="24"/>
              </w:rPr>
              <w:t>集中研讨交流（地点）</w:t>
            </w:r>
          </w:p>
          <w:p>
            <w:pPr>
              <w:pStyle w:val="TableParagraph"/>
              <w:numPr>
                <w:ilvl w:val="0"/>
                <w:numId w:val="8"/>
              </w:numPr>
              <w:tabs>
                <w:tab w:pos="468" w:val="left" w:leader="none"/>
              </w:tabs>
              <w:spacing w:line="240" w:lineRule="auto" w:before="100" w:after="0"/>
              <w:ind w:left="467" w:right="0" w:hanging="361"/>
              <w:jc w:val="left"/>
              <w:rPr>
                <w:sz w:val="24"/>
              </w:rPr>
            </w:pPr>
            <w:r>
              <w:rPr>
                <w:sz w:val="24"/>
              </w:rPr>
              <w:t>秘书组汇报分会讨论情况</w:t>
            </w:r>
          </w:p>
          <w:p>
            <w:pPr>
              <w:pStyle w:val="TableParagraph"/>
              <w:numPr>
                <w:ilvl w:val="0"/>
                <w:numId w:val="8"/>
              </w:numPr>
              <w:tabs>
                <w:tab w:pos="468" w:val="left" w:leader="none"/>
              </w:tabs>
              <w:spacing w:line="240" w:lineRule="auto" w:before="113" w:after="0"/>
              <w:ind w:left="467" w:right="0" w:hanging="361"/>
              <w:jc w:val="left"/>
              <w:rPr>
                <w:sz w:val="24"/>
              </w:rPr>
            </w:pPr>
            <w:r>
              <w:rPr>
                <w:sz w:val="24"/>
              </w:rPr>
              <w:t>与会专家讨论，凝练科学问题，提出政策建议</w:t>
            </w:r>
          </w:p>
          <w:p>
            <w:pPr>
              <w:pStyle w:val="TableParagraph"/>
              <w:numPr>
                <w:ilvl w:val="0"/>
                <w:numId w:val="8"/>
              </w:numPr>
              <w:tabs>
                <w:tab w:pos="468" w:val="left" w:leader="none"/>
              </w:tabs>
              <w:spacing w:line="304" w:lineRule="exact" w:before="113" w:after="0"/>
              <w:ind w:left="467" w:right="0" w:hanging="361"/>
              <w:jc w:val="left"/>
              <w:rPr>
                <w:sz w:val="24"/>
              </w:rPr>
            </w:pPr>
            <w:r>
              <w:rPr>
                <w:sz w:val="24"/>
              </w:rPr>
              <w:t>论坛主席综述与总结</w:t>
            </w:r>
          </w:p>
        </w:tc>
        <w:tc>
          <w:tcPr>
            <w:tcW w:w="1260" w:type="dxa"/>
          </w:tcPr>
          <w:p>
            <w:pPr>
              <w:pStyle w:val="TableParagraph"/>
              <w:rPr>
                <w:rFonts w:ascii="Times New Roman"/>
                <w:sz w:val="24"/>
              </w:rPr>
            </w:pPr>
          </w:p>
        </w:tc>
      </w:tr>
      <w:tr>
        <w:trPr>
          <w:trHeight w:val="568" w:hRule="atLeast"/>
        </w:trPr>
        <w:tc>
          <w:tcPr>
            <w:tcW w:w="1558" w:type="dxa"/>
          </w:tcPr>
          <w:p>
            <w:pPr>
              <w:pStyle w:val="TableParagraph"/>
              <w:spacing w:before="127"/>
              <w:ind w:left="395" w:right="378"/>
              <w:jc w:val="center"/>
              <w:rPr>
                <w:b/>
                <w:sz w:val="24"/>
              </w:rPr>
            </w:pPr>
            <w:r>
              <w:rPr>
                <w:b/>
                <w:sz w:val="24"/>
              </w:rPr>
              <w:t>*月*日</w:t>
            </w:r>
          </w:p>
        </w:tc>
        <w:tc>
          <w:tcPr>
            <w:tcW w:w="7912" w:type="dxa"/>
            <w:gridSpan w:val="2"/>
          </w:tcPr>
          <w:p>
            <w:pPr>
              <w:pStyle w:val="TableParagraph"/>
              <w:spacing w:before="127"/>
              <w:ind w:left="3453" w:right="3434"/>
              <w:jc w:val="center"/>
              <w:rPr>
                <w:b/>
                <w:sz w:val="24"/>
              </w:rPr>
            </w:pPr>
            <w:r>
              <w:rPr>
                <w:b/>
                <w:sz w:val="24"/>
              </w:rPr>
              <w:t>离会</w:t>
            </w:r>
          </w:p>
        </w:tc>
      </w:tr>
    </w:tbl>
    <w:p>
      <w:pPr>
        <w:spacing w:after="0"/>
        <w:jc w:val="center"/>
        <w:rPr>
          <w:sz w:val="24"/>
        </w:rPr>
        <w:sectPr>
          <w:pgSz w:w="11910" w:h="16840"/>
          <w:pgMar w:header="0" w:footer="1035" w:top="1420" w:bottom="1220" w:left="1020" w:right="560"/>
        </w:sectPr>
      </w:pPr>
    </w:p>
    <w:p>
      <w:pPr>
        <w:spacing w:line="613" w:lineRule="exact" w:before="0"/>
        <w:ind w:left="0" w:right="458" w:firstLine="0"/>
        <w:jc w:val="center"/>
        <w:rPr>
          <w:rFonts w:ascii="方正小标宋简体" w:eastAsia="方正小标宋简体" w:hint="eastAsia"/>
          <w:b/>
          <w:sz w:val="36"/>
        </w:rPr>
      </w:pPr>
      <w:r>
        <w:rPr>
          <w:rFonts w:ascii="方正小标宋简体" w:eastAsia="方正小标宋简体" w:hint="eastAsia"/>
          <w:b/>
          <w:sz w:val="36"/>
        </w:rPr>
        <w:t>与会专家代表名单</w:t>
      </w:r>
    </w:p>
    <w:p>
      <w:pPr>
        <w:pStyle w:val="BodyText"/>
        <w:rPr>
          <w:rFonts w:ascii="方正小标宋简体"/>
          <w:b/>
          <w:sz w:val="20"/>
        </w:rPr>
      </w:pPr>
    </w:p>
    <w:p>
      <w:pPr>
        <w:pStyle w:val="BodyText"/>
        <w:spacing w:before="14"/>
        <w:rPr>
          <w:rFonts w:ascii="方正小标宋简体"/>
          <w:b/>
          <w:sz w:val="14"/>
        </w:rPr>
      </w:pPr>
    </w:p>
    <w:tbl>
      <w:tblPr>
        <w:tblW w:w="0" w:type="auto"/>
        <w:jc w:val="left"/>
        <w:tblInd w:w="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1561"/>
        <w:gridCol w:w="5104"/>
        <w:gridCol w:w="1450"/>
      </w:tblGrid>
      <w:tr>
        <w:trPr>
          <w:trHeight w:val="623" w:hRule="atLeast"/>
        </w:trPr>
        <w:tc>
          <w:tcPr>
            <w:tcW w:w="960" w:type="dxa"/>
          </w:tcPr>
          <w:p>
            <w:pPr>
              <w:pStyle w:val="TableParagraph"/>
              <w:spacing w:before="156"/>
              <w:ind w:left="218" w:right="209"/>
              <w:jc w:val="center"/>
              <w:rPr>
                <w:b/>
                <w:sz w:val="24"/>
              </w:rPr>
            </w:pPr>
            <w:r>
              <w:rPr>
                <w:b/>
                <w:sz w:val="24"/>
              </w:rPr>
              <w:t>序号</w:t>
            </w:r>
          </w:p>
        </w:tc>
        <w:tc>
          <w:tcPr>
            <w:tcW w:w="1561" w:type="dxa"/>
          </w:tcPr>
          <w:p>
            <w:pPr>
              <w:pStyle w:val="TableParagraph"/>
              <w:spacing w:before="156"/>
              <w:ind w:left="518" w:right="510"/>
              <w:jc w:val="center"/>
              <w:rPr>
                <w:b/>
                <w:sz w:val="24"/>
              </w:rPr>
            </w:pPr>
            <w:r>
              <w:rPr>
                <w:b/>
                <w:sz w:val="24"/>
              </w:rPr>
              <w:t>姓名</w:t>
            </w:r>
          </w:p>
        </w:tc>
        <w:tc>
          <w:tcPr>
            <w:tcW w:w="5104" w:type="dxa"/>
          </w:tcPr>
          <w:p>
            <w:pPr>
              <w:pStyle w:val="TableParagraph"/>
              <w:spacing w:before="156"/>
              <w:ind w:left="2289" w:right="2282"/>
              <w:jc w:val="center"/>
              <w:rPr>
                <w:b/>
                <w:sz w:val="24"/>
              </w:rPr>
            </w:pPr>
            <w:r>
              <w:rPr>
                <w:b/>
                <w:sz w:val="24"/>
              </w:rPr>
              <w:t>单位</w:t>
            </w:r>
          </w:p>
        </w:tc>
        <w:tc>
          <w:tcPr>
            <w:tcW w:w="1450" w:type="dxa"/>
          </w:tcPr>
          <w:p>
            <w:pPr>
              <w:pStyle w:val="TableParagraph"/>
              <w:spacing w:before="156"/>
              <w:ind w:left="483"/>
              <w:rPr>
                <w:b/>
                <w:sz w:val="24"/>
              </w:rPr>
            </w:pPr>
            <w:r>
              <w:rPr>
                <w:b/>
                <w:sz w:val="24"/>
              </w:rPr>
              <w:t>职称</w:t>
            </w:r>
          </w:p>
        </w:tc>
      </w:tr>
      <w:tr>
        <w:trPr>
          <w:trHeight w:val="623" w:hRule="atLeast"/>
        </w:trPr>
        <w:tc>
          <w:tcPr>
            <w:tcW w:w="960" w:type="dxa"/>
          </w:tcPr>
          <w:p>
            <w:pPr>
              <w:pStyle w:val="TableParagraph"/>
              <w:spacing w:before="156"/>
              <w:ind w:left="9"/>
              <w:jc w:val="center"/>
              <w:rPr>
                <w:sz w:val="24"/>
              </w:rPr>
            </w:pPr>
            <w:r>
              <w:rPr>
                <w:sz w:val="24"/>
              </w:rPr>
              <w:t>1</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3" w:hRule="atLeast"/>
        </w:trPr>
        <w:tc>
          <w:tcPr>
            <w:tcW w:w="960" w:type="dxa"/>
          </w:tcPr>
          <w:p>
            <w:pPr>
              <w:pStyle w:val="TableParagraph"/>
              <w:spacing w:before="156"/>
              <w:ind w:left="9"/>
              <w:jc w:val="center"/>
              <w:rPr>
                <w:sz w:val="24"/>
              </w:rPr>
            </w:pPr>
            <w:r>
              <w:rPr>
                <w:sz w:val="24"/>
              </w:rPr>
              <w:t>2</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6" w:hRule="atLeast"/>
        </w:trPr>
        <w:tc>
          <w:tcPr>
            <w:tcW w:w="960" w:type="dxa"/>
          </w:tcPr>
          <w:p>
            <w:pPr>
              <w:pStyle w:val="TableParagraph"/>
              <w:spacing w:before="158"/>
              <w:ind w:left="9"/>
              <w:jc w:val="center"/>
              <w:rPr>
                <w:sz w:val="24"/>
              </w:rPr>
            </w:pPr>
            <w:r>
              <w:rPr>
                <w:sz w:val="24"/>
              </w:rPr>
              <w:t>3</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4" w:hRule="atLeast"/>
        </w:trPr>
        <w:tc>
          <w:tcPr>
            <w:tcW w:w="960" w:type="dxa"/>
          </w:tcPr>
          <w:p>
            <w:pPr>
              <w:pStyle w:val="TableParagraph"/>
              <w:spacing w:before="156"/>
              <w:ind w:left="9"/>
              <w:jc w:val="center"/>
              <w:rPr>
                <w:sz w:val="24"/>
              </w:rPr>
            </w:pPr>
            <w:r>
              <w:rPr>
                <w:sz w:val="24"/>
              </w:rPr>
              <w:t>4</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3" w:hRule="atLeast"/>
        </w:trPr>
        <w:tc>
          <w:tcPr>
            <w:tcW w:w="960" w:type="dxa"/>
          </w:tcPr>
          <w:p>
            <w:pPr>
              <w:pStyle w:val="TableParagraph"/>
              <w:spacing w:before="156"/>
              <w:ind w:left="9"/>
              <w:jc w:val="center"/>
              <w:rPr>
                <w:sz w:val="24"/>
              </w:rPr>
            </w:pPr>
            <w:r>
              <w:rPr>
                <w:sz w:val="24"/>
              </w:rPr>
              <w:t>5</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3" w:hRule="atLeast"/>
        </w:trPr>
        <w:tc>
          <w:tcPr>
            <w:tcW w:w="960" w:type="dxa"/>
          </w:tcPr>
          <w:p>
            <w:pPr>
              <w:pStyle w:val="TableParagraph"/>
              <w:spacing w:before="155"/>
              <w:ind w:left="9"/>
              <w:jc w:val="center"/>
              <w:rPr>
                <w:sz w:val="24"/>
              </w:rPr>
            </w:pPr>
            <w:r>
              <w:rPr>
                <w:sz w:val="24"/>
              </w:rPr>
              <w:t>6</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3" w:hRule="atLeast"/>
        </w:trPr>
        <w:tc>
          <w:tcPr>
            <w:tcW w:w="960" w:type="dxa"/>
          </w:tcPr>
          <w:p>
            <w:pPr>
              <w:pStyle w:val="TableParagraph"/>
              <w:spacing w:before="156"/>
              <w:ind w:left="9"/>
              <w:jc w:val="center"/>
              <w:rPr>
                <w:sz w:val="24"/>
              </w:rPr>
            </w:pPr>
            <w:r>
              <w:rPr>
                <w:sz w:val="24"/>
              </w:rPr>
              <w:t>7</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3" w:hRule="atLeast"/>
        </w:trPr>
        <w:tc>
          <w:tcPr>
            <w:tcW w:w="960" w:type="dxa"/>
          </w:tcPr>
          <w:p>
            <w:pPr>
              <w:pStyle w:val="TableParagraph"/>
              <w:spacing w:before="156"/>
              <w:ind w:left="9"/>
              <w:jc w:val="center"/>
              <w:rPr>
                <w:sz w:val="24"/>
              </w:rPr>
            </w:pPr>
            <w:r>
              <w:rPr>
                <w:sz w:val="24"/>
              </w:rPr>
              <w:t>8</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5" w:hRule="atLeast"/>
        </w:trPr>
        <w:tc>
          <w:tcPr>
            <w:tcW w:w="960" w:type="dxa"/>
          </w:tcPr>
          <w:p>
            <w:pPr>
              <w:pStyle w:val="TableParagraph"/>
              <w:spacing w:before="158"/>
              <w:ind w:left="9"/>
              <w:jc w:val="center"/>
              <w:rPr>
                <w:sz w:val="24"/>
              </w:rPr>
            </w:pPr>
            <w:r>
              <w:rPr>
                <w:sz w:val="24"/>
              </w:rPr>
              <w:t>9</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4" w:hRule="atLeast"/>
        </w:trPr>
        <w:tc>
          <w:tcPr>
            <w:tcW w:w="960" w:type="dxa"/>
          </w:tcPr>
          <w:p>
            <w:pPr>
              <w:pStyle w:val="TableParagraph"/>
              <w:spacing w:before="156"/>
              <w:ind w:left="218" w:right="209"/>
              <w:jc w:val="center"/>
              <w:rPr>
                <w:sz w:val="24"/>
              </w:rPr>
            </w:pPr>
            <w:r>
              <w:rPr>
                <w:sz w:val="24"/>
              </w:rPr>
              <w:t>10</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3" w:hRule="atLeast"/>
        </w:trPr>
        <w:tc>
          <w:tcPr>
            <w:tcW w:w="960" w:type="dxa"/>
          </w:tcPr>
          <w:p>
            <w:pPr>
              <w:pStyle w:val="TableParagraph"/>
              <w:spacing w:before="155"/>
              <w:ind w:left="218" w:right="209"/>
              <w:jc w:val="center"/>
              <w:rPr>
                <w:sz w:val="24"/>
              </w:rPr>
            </w:pPr>
            <w:r>
              <w:rPr>
                <w:sz w:val="24"/>
              </w:rPr>
              <w:t>11</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3" w:hRule="atLeast"/>
        </w:trPr>
        <w:tc>
          <w:tcPr>
            <w:tcW w:w="960" w:type="dxa"/>
          </w:tcPr>
          <w:p>
            <w:pPr>
              <w:pStyle w:val="TableParagraph"/>
              <w:spacing w:before="156"/>
              <w:ind w:left="218" w:right="209"/>
              <w:jc w:val="center"/>
              <w:rPr>
                <w:sz w:val="24"/>
              </w:rPr>
            </w:pPr>
            <w:r>
              <w:rPr>
                <w:sz w:val="24"/>
              </w:rPr>
              <w:t>12</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3" w:hRule="atLeast"/>
        </w:trPr>
        <w:tc>
          <w:tcPr>
            <w:tcW w:w="960" w:type="dxa"/>
          </w:tcPr>
          <w:p>
            <w:pPr>
              <w:pStyle w:val="TableParagraph"/>
              <w:spacing w:before="155"/>
              <w:ind w:left="218" w:right="209"/>
              <w:jc w:val="center"/>
              <w:rPr>
                <w:sz w:val="24"/>
              </w:rPr>
            </w:pPr>
            <w:r>
              <w:rPr>
                <w:sz w:val="24"/>
              </w:rPr>
              <w:t>13</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3" w:hRule="atLeast"/>
        </w:trPr>
        <w:tc>
          <w:tcPr>
            <w:tcW w:w="960" w:type="dxa"/>
          </w:tcPr>
          <w:p>
            <w:pPr>
              <w:pStyle w:val="TableParagraph"/>
              <w:spacing w:before="155"/>
              <w:ind w:left="218" w:right="209"/>
              <w:jc w:val="center"/>
              <w:rPr>
                <w:sz w:val="24"/>
              </w:rPr>
            </w:pPr>
            <w:r>
              <w:rPr>
                <w:sz w:val="24"/>
              </w:rPr>
              <w:t>14</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6" w:hRule="atLeast"/>
        </w:trPr>
        <w:tc>
          <w:tcPr>
            <w:tcW w:w="960" w:type="dxa"/>
          </w:tcPr>
          <w:p>
            <w:pPr>
              <w:pStyle w:val="TableParagraph"/>
              <w:spacing w:before="158"/>
              <w:ind w:left="218" w:right="209"/>
              <w:jc w:val="center"/>
              <w:rPr>
                <w:sz w:val="24"/>
              </w:rPr>
            </w:pPr>
            <w:r>
              <w:rPr>
                <w:sz w:val="24"/>
              </w:rPr>
              <w:t>15</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4" w:hRule="atLeast"/>
        </w:trPr>
        <w:tc>
          <w:tcPr>
            <w:tcW w:w="960" w:type="dxa"/>
          </w:tcPr>
          <w:p>
            <w:pPr>
              <w:pStyle w:val="TableParagraph"/>
              <w:spacing w:before="156"/>
              <w:ind w:left="218" w:right="209"/>
              <w:jc w:val="center"/>
              <w:rPr>
                <w:sz w:val="24"/>
              </w:rPr>
            </w:pPr>
            <w:r>
              <w:rPr>
                <w:sz w:val="24"/>
              </w:rPr>
              <w:t>16</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3" w:hRule="atLeast"/>
        </w:trPr>
        <w:tc>
          <w:tcPr>
            <w:tcW w:w="960" w:type="dxa"/>
          </w:tcPr>
          <w:p>
            <w:pPr>
              <w:pStyle w:val="TableParagraph"/>
              <w:spacing w:before="155"/>
              <w:ind w:left="218" w:right="209"/>
              <w:jc w:val="center"/>
              <w:rPr>
                <w:sz w:val="24"/>
              </w:rPr>
            </w:pPr>
            <w:r>
              <w:rPr>
                <w:sz w:val="24"/>
              </w:rPr>
              <w:t>17</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3" w:hRule="atLeast"/>
        </w:trPr>
        <w:tc>
          <w:tcPr>
            <w:tcW w:w="960" w:type="dxa"/>
          </w:tcPr>
          <w:p>
            <w:pPr>
              <w:pStyle w:val="TableParagraph"/>
              <w:spacing w:before="155"/>
              <w:ind w:left="218" w:right="209"/>
              <w:jc w:val="center"/>
              <w:rPr>
                <w:sz w:val="24"/>
              </w:rPr>
            </w:pPr>
            <w:r>
              <w:rPr>
                <w:sz w:val="24"/>
              </w:rPr>
              <w:t>18</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3" w:hRule="atLeast"/>
        </w:trPr>
        <w:tc>
          <w:tcPr>
            <w:tcW w:w="960" w:type="dxa"/>
          </w:tcPr>
          <w:p>
            <w:pPr>
              <w:pStyle w:val="TableParagraph"/>
              <w:spacing w:before="155"/>
              <w:ind w:left="218" w:right="209"/>
              <w:jc w:val="center"/>
              <w:rPr>
                <w:sz w:val="24"/>
              </w:rPr>
            </w:pPr>
            <w:r>
              <w:rPr>
                <w:sz w:val="24"/>
              </w:rPr>
              <w:t>19</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bl>
    <w:p>
      <w:pPr>
        <w:spacing w:after="0"/>
        <w:rPr>
          <w:rFonts w:ascii="Times New Roman"/>
          <w:sz w:val="26"/>
        </w:rPr>
        <w:sectPr>
          <w:pgSz w:w="11910" w:h="16840"/>
          <w:pgMar w:header="0" w:footer="1035" w:top="1440" w:bottom="1220" w:left="1020" w:right="560"/>
        </w:sectPr>
      </w:pPr>
    </w:p>
    <w:tbl>
      <w:tblPr>
        <w:tblW w:w="0" w:type="auto"/>
        <w:jc w:val="left"/>
        <w:tblInd w:w="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1561"/>
        <w:gridCol w:w="5104"/>
        <w:gridCol w:w="1450"/>
      </w:tblGrid>
      <w:tr>
        <w:trPr>
          <w:trHeight w:val="624" w:hRule="atLeast"/>
        </w:trPr>
        <w:tc>
          <w:tcPr>
            <w:tcW w:w="960" w:type="dxa"/>
          </w:tcPr>
          <w:p>
            <w:pPr>
              <w:pStyle w:val="TableParagraph"/>
              <w:spacing w:before="155"/>
              <w:ind w:left="359"/>
              <w:rPr>
                <w:sz w:val="24"/>
              </w:rPr>
            </w:pPr>
            <w:r>
              <w:rPr>
                <w:sz w:val="24"/>
              </w:rPr>
              <w:t>20</w:t>
            </w:r>
          </w:p>
        </w:tc>
        <w:tc>
          <w:tcPr>
            <w:tcW w:w="1561" w:type="dxa"/>
          </w:tcPr>
          <w:p>
            <w:pPr>
              <w:pStyle w:val="TableParagraph"/>
              <w:rPr>
                <w:rFonts w:ascii="Times New Roman"/>
                <w:sz w:val="24"/>
              </w:rPr>
            </w:pPr>
          </w:p>
        </w:tc>
        <w:tc>
          <w:tcPr>
            <w:tcW w:w="5104" w:type="dxa"/>
          </w:tcPr>
          <w:p>
            <w:pPr>
              <w:pStyle w:val="TableParagraph"/>
              <w:rPr>
                <w:rFonts w:ascii="Times New Roman"/>
                <w:sz w:val="24"/>
              </w:rPr>
            </w:pPr>
          </w:p>
        </w:tc>
        <w:tc>
          <w:tcPr>
            <w:tcW w:w="1450" w:type="dxa"/>
          </w:tcPr>
          <w:p>
            <w:pPr>
              <w:pStyle w:val="TableParagraph"/>
              <w:rPr>
                <w:rFonts w:ascii="Times New Roman"/>
                <w:sz w:val="24"/>
              </w:rPr>
            </w:pPr>
          </w:p>
        </w:tc>
      </w:tr>
      <w:tr>
        <w:trPr>
          <w:trHeight w:val="623" w:hRule="atLeast"/>
        </w:trPr>
        <w:tc>
          <w:tcPr>
            <w:tcW w:w="960" w:type="dxa"/>
          </w:tcPr>
          <w:p>
            <w:pPr>
              <w:pStyle w:val="TableParagraph"/>
              <w:spacing w:before="155"/>
              <w:ind w:left="359"/>
              <w:rPr>
                <w:sz w:val="24"/>
              </w:rPr>
            </w:pPr>
            <w:r>
              <w:rPr>
                <w:sz w:val="24"/>
              </w:rPr>
              <w:t>21</w:t>
            </w:r>
          </w:p>
        </w:tc>
        <w:tc>
          <w:tcPr>
            <w:tcW w:w="1561" w:type="dxa"/>
          </w:tcPr>
          <w:p>
            <w:pPr>
              <w:pStyle w:val="TableParagraph"/>
              <w:rPr>
                <w:rFonts w:ascii="Times New Roman"/>
                <w:sz w:val="24"/>
              </w:rPr>
            </w:pPr>
          </w:p>
        </w:tc>
        <w:tc>
          <w:tcPr>
            <w:tcW w:w="5104" w:type="dxa"/>
          </w:tcPr>
          <w:p>
            <w:pPr>
              <w:pStyle w:val="TableParagraph"/>
              <w:rPr>
                <w:rFonts w:ascii="Times New Roman"/>
                <w:sz w:val="24"/>
              </w:rPr>
            </w:pPr>
          </w:p>
        </w:tc>
        <w:tc>
          <w:tcPr>
            <w:tcW w:w="1450" w:type="dxa"/>
          </w:tcPr>
          <w:p>
            <w:pPr>
              <w:pStyle w:val="TableParagraph"/>
              <w:rPr>
                <w:rFonts w:ascii="Times New Roman"/>
                <w:sz w:val="24"/>
              </w:rPr>
            </w:pPr>
          </w:p>
        </w:tc>
      </w:tr>
      <w:tr>
        <w:trPr>
          <w:trHeight w:val="623" w:hRule="atLeast"/>
        </w:trPr>
        <w:tc>
          <w:tcPr>
            <w:tcW w:w="960" w:type="dxa"/>
          </w:tcPr>
          <w:p>
            <w:pPr>
              <w:pStyle w:val="TableParagraph"/>
              <w:spacing w:before="155"/>
              <w:ind w:left="359"/>
              <w:rPr>
                <w:sz w:val="24"/>
              </w:rPr>
            </w:pPr>
            <w:r>
              <w:rPr>
                <w:sz w:val="24"/>
              </w:rPr>
              <w:t>22</w:t>
            </w:r>
          </w:p>
        </w:tc>
        <w:tc>
          <w:tcPr>
            <w:tcW w:w="1561" w:type="dxa"/>
          </w:tcPr>
          <w:p>
            <w:pPr>
              <w:pStyle w:val="TableParagraph"/>
              <w:rPr>
                <w:rFonts w:ascii="Times New Roman"/>
                <w:sz w:val="24"/>
              </w:rPr>
            </w:pPr>
          </w:p>
        </w:tc>
        <w:tc>
          <w:tcPr>
            <w:tcW w:w="5104" w:type="dxa"/>
          </w:tcPr>
          <w:p>
            <w:pPr>
              <w:pStyle w:val="TableParagraph"/>
              <w:rPr>
                <w:rFonts w:ascii="Times New Roman"/>
                <w:sz w:val="24"/>
              </w:rPr>
            </w:pPr>
          </w:p>
        </w:tc>
        <w:tc>
          <w:tcPr>
            <w:tcW w:w="1450" w:type="dxa"/>
          </w:tcPr>
          <w:p>
            <w:pPr>
              <w:pStyle w:val="TableParagraph"/>
              <w:rPr>
                <w:rFonts w:ascii="Times New Roman"/>
                <w:sz w:val="24"/>
              </w:rPr>
            </w:pPr>
          </w:p>
        </w:tc>
      </w:tr>
      <w:tr>
        <w:trPr>
          <w:trHeight w:val="626" w:hRule="atLeast"/>
        </w:trPr>
        <w:tc>
          <w:tcPr>
            <w:tcW w:w="960" w:type="dxa"/>
          </w:tcPr>
          <w:p>
            <w:pPr>
              <w:pStyle w:val="TableParagraph"/>
              <w:spacing w:before="158"/>
              <w:ind w:left="359"/>
              <w:rPr>
                <w:sz w:val="24"/>
              </w:rPr>
            </w:pPr>
            <w:r>
              <w:rPr>
                <w:sz w:val="24"/>
              </w:rPr>
              <w:t>23</w:t>
            </w:r>
          </w:p>
        </w:tc>
        <w:tc>
          <w:tcPr>
            <w:tcW w:w="1561" w:type="dxa"/>
          </w:tcPr>
          <w:p>
            <w:pPr>
              <w:pStyle w:val="TableParagraph"/>
              <w:rPr>
                <w:rFonts w:ascii="Times New Roman"/>
                <w:sz w:val="24"/>
              </w:rPr>
            </w:pPr>
          </w:p>
        </w:tc>
        <w:tc>
          <w:tcPr>
            <w:tcW w:w="5104" w:type="dxa"/>
          </w:tcPr>
          <w:p>
            <w:pPr>
              <w:pStyle w:val="TableParagraph"/>
              <w:rPr>
                <w:rFonts w:ascii="Times New Roman"/>
                <w:sz w:val="24"/>
              </w:rPr>
            </w:pPr>
          </w:p>
        </w:tc>
        <w:tc>
          <w:tcPr>
            <w:tcW w:w="1450" w:type="dxa"/>
          </w:tcPr>
          <w:p>
            <w:pPr>
              <w:pStyle w:val="TableParagraph"/>
              <w:rPr>
                <w:rFonts w:ascii="Times New Roman"/>
                <w:sz w:val="24"/>
              </w:rPr>
            </w:pPr>
          </w:p>
        </w:tc>
      </w:tr>
      <w:tr>
        <w:trPr>
          <w:trHeight w:val="623" w:hRule="atLeast"/>
        </w:trPr>
        <w:tc>
          <w:tcPr>
            <w:tcW w:w="960" w:type="dxa"/>
          </w:tcPr>
          <w:p>
            <w:pPr>
              <w:pStyle w:val="TableParagraph"/>
              <w:spacing w:before="155"/>
              <w:ind w:left="359"/>
              <w:rPr>
                <w:sz w:val="24"/>
              </w:rPr>
            </w:pPr>
            <w:r>
              <w:rPr>
                <w:sz w:val="24"/>
              </w:rPr>
              <w:t>24</w:t>
            </w:r>
          </w:p>
        </w:tc>
        <w:tc>
          <w:tcPr>
            <w:tcW w:w="1561" w:type="dxa"/>
          </w:tcPr>
          <w:p>
            <w:pPr>
              <w:pStyle w:val="TableParagraph"/>
              <w:rPr>
                <w:rFonts w:ascii="Times New Roman"/>
                <w:sz w:val="24"/>
              </w:rPr>
            </w:pPr>
          </w:p>
        </w:tc>
        <w:tc>
          <w:tcPr>
            <w:tcW w:w="5104" w:type="dxa"/>
          </w:tcPr>
          <w:p>
            <w:pPr>
              <w:pStyle w:val="TableParagraph"/>
              <w:rPr>
                <w:rFonts w:ascii="Times New Roman"/>
                <w:sz w:val="24"/>
              </w:rPr>
            </w:pPr>
          </w:p>
        </w:tc>
        <w:tc>
          <w:tcPr>
            <w:tcW w:w="1450" w:type="dxa"/>
          </w:tcPr>
          <w:p>
            <w:pPr>
              <w:pStyle w:val="TableParagraph"/>
              <w:rPr>
                <w:rFonts w:ascii="Times New Roman"/>
                <w:sz w:val="24"/>
              </w:rPr>
            </w:pPr>
          </w:p>
        </w:tc>
      </w:tr>
      <w:tr>
        <w:trPr>
          <w:trHeight w:val="623" w:hRule="atLeast"/>
        </w:trPr>
        <w:tc>
          <w:tcPr>
            <w:tcW w:w="960" w:type="dxa"/>
          </w:tcPr>
          <w:p>
            <w:pPr>
              <w:pStyle w:val="TableParagraph"/>
              <w:spacing w:before="156"/>
              <w:ind w:left="359"/>
              <w:rPr>
                <w:sz w:val="24"/>
              </w:rPr>
            </w:pPr>
            <w:r>
              <w:rPr>
                <w:sz w:val="24"/>
              </w:rPr>
              <w:t>25</w:t>
            </w:r>
          </w:p>
        </w:tc>
        <w:tc>
          <w:tcPr>
            <w:tcW w:w="1561" w:type="dxa"/>
          </w:tcPr>
          <w:p>
            <w:pPr>
              <w:pStyle w:val="TableParagraph"/>
              <w:rPr>
                <w:rFonts w:ascii="Times New Roman"/>
                <w:sz w:val="24"/>
              </w:rPr>
            </w:pPr>
          </w:p>
        </w:tc>
        <w:tc>
          <w:tcPr>
            <w:tcW w:w="5104" w:type="dxa"/>
          </w:tcPr>
          <w:p>
            <w:pPr>
              <w:pStyle w:val="TableParagraph"/>
              <w:rPr>
                <w:rFonts w:ascii="Times New Roman"/>
                <w:sz w:val="24"/>
              </w:rPr>
            </w:pPr>
          </w:p>
        </w:tc>
        <w:tc>
          <w:tcPr>
            <w:tcW w:w="1450" w:type="dxa"/>
          </w:tcPr>
          <w:p>
            <w:pPr>
              <w:pStyle w:val="TableParagraph"/>
              <w:rPr>
                <w:rFonts w:ascii="Times New Roman"/>
                <w:sz w:val="24"/>
              </w:rPr>
            </w:pPr>
          </w:p>
        </w:tc>
      </w:tr>
      <w:tr>
        <w:trPr>
          <w:trHeight w:val="624" w:hRule="atLeast"/>
        </w:trPr>
        <w:tc>
          <w:tcPr>
            <w:tcW w:w="960" w:type="dxa"/>
          </w:tcPr>
          <w:p>
            <w:pPr>
              <w:pStyle w:val="TableParagraph"/>
              <w:spacing w:before="156"/>
              <w:ind w:left="359"/>
              <w:rPr>
                <w:sz w:val="24"/>
              </w:rPr>
            </w:pPr>
            <w:r>
              <w:rPr>
                <w:sz w:val="24"/>
              </w:rPr>
              <w:t>26</w:t>
            </w:r>
          </w:p>
        </w:tc>
        <w:tc>
          <w:tcPr>
            <w:tcW w:w="1561" w:type="dxa"/>
          </w:tcPr>
          <w:p>
            <w:pPr>
              <w:pStyle w:val="TableParagraph"/>
              <w:rPr>
                <w:rFonts w:ascii="Times New Roman"/>
                <w:sz w:val="24"/>
              </w:rPr>
            </w:pPr>
          </w:p>
        </w:tc>
        <w:tc>
          <w:tcPr>
            <w:tcW w:w="5104" w:type="dxa"/>
          </w:tcPr>
          <w:p>
            <w:pPr>
              <w:pStyle w:val="TableParagraph"/>
              <w:rPr>
                <w:rFonts w:ascii="Times New Roman"/>
                <w:sz w:val="24"/>
              </w:rPr>
            </w:pPr>
          </w:p>
        </w:tc>
        <w:tc>
          <w:tcPr>
            <w:tcW w:w="1450" w:type="dxa"/>
          </w:tcPr>
          <w:p>
            <w:pPr>
              <w:pStyle w:val="TableParagraph"/>
              <w:rPr>
                <w:rFonts w:ascii="Times New Roman"/>
                <w:sz w:val="24"/>
              </w:rPr>
            </w:pPr>
          </w:p>
        </w:tc>
      </w:tr>
      <w:tr>
        <w:trPr>
          <w:trHeight w:val="623" w:hRule="atLeast"/>
        </w:trPr>
        <w:tc>
          <w:tcPr>
            <w:tcW w:w="960" w:type="dxa"/>
          </w:tcPr>
          <w:p>
            <w:pPr>
              <w:pStyle w:val="TableParagraph"/>
              <w:spacing w:before="155"/>
              <w:ind w:left="359"/>
              <w:rPr>
                <w:sz w:val="24"/>
              </w:rPr>
            </w:pPr>
            <w:r>
              <w:rPr>
                <w:sz w:val="24"/>
              </w:rPr>
              <w:t>27</w:t>
            </w:r>
          </w:p>
        </w:tc>
        <w:tc>
          <w:tcPr>
            <w:tcW w:w="1561" w:type="dxa"/>
          </w:tcPr>
          <w:p>
            <w:pPr>
              <w:pStyle w:val="TableParagraph"/>
              <w:rPr>
                <w:rFonts w:ascii="Times New Roman"/>
                <w:sz w:val="24"/>
              </w:rPr>
            </w:pPr>
          </w:p>
        </w:tc>
        <w:tc>
          <w:tcPr>
            <w:tcW w:w="5104" w:type="dxa"/>
          </w:tcPr>
          <w:p>
            <w:pPr>
              <w:pStyle w:val="TableParagraph"/>
              <w:rPr>
                <w:rFonts w:ascii="Times New Roman"/>
                <w:sz w:val="24"/>
              </w:rPr>
            </w:pPr>
          </w:p>
        </w:tc>
        <w:tc>
          <w:tcPr>
            <w:tcW w:w="1450" w:type="dxa"/>
          </w:tcPr>
          <w:p>
            <w:pPr>
              <w:pStyle w:val="TableParagraph"/>
              <w:rPr>
                <w:rFonts w:ascii="Times New Roman"/>
                <w:sz w:val="24"/>
              </w:rPr>
            </w:pPr>
          </w:p>
        </w:tc>
      </w:tr>
      <w:tr>
        <w:trPr>
          <w:trHeight w:val="623" w:hRule="atLeast"/>
        </w:trPr>
        <w:tc>
          <w:tcPr>
            <w:tcW w:w="960" w:type="dxa"/>
          </w:tcPr>
          <w:p>
            <w:pPr>
              <w:pStyle w:val="TableParagraph"/>
              <w:spacing w:before="156"/>
              <w:ind w:left="359"/>
              <w:rPr>
                <w:sz w:val="24"/>
              </w:rPr>
            </w:pPr>
            <w:r>
              <w:rPr>
                <w:sz w:val="24"/>
              </w:rPr>
              <w:t>28</w:t>
            </w:r>
          </w:p>
        </w:tc>
        <w:tc>
          <w:tcPr>
            <w:tcW w:w="1561" w:type="dxa"/>
          </w:tcPr>
          <w:p>
            <w:pPr>
              <w:pStyle w:val="TableParagraph"/>
              <w:rPr>
                <w:rFonts w:ascii="Times New Roman"/>
                <w:sz w:val="24"/>
              </w:rPr>
            </w:pPr>
          </w:p>
        </w:tc>
        <w:tc>
          <w:tcPr>
            <w:tcW w:w="5104" w:type="dxa"/>
          </w:tcPr>
          <w:p>
            <w:pPr>
              <w:pStyle w:val="TableParagraph"/>
              <w:rPr>
                <w:rFonts w:ascii="Times New Roman"/>
                <w:sz w:val="24"/>
              </w:rPr>
            </w:pPr>
          </w:p>
        </w:tc>
        <w:tc>
          <w:tcPr>
            <w:tcW w:w="1450" w:type="dxa"/>
          </w:tcPr>
          <w:p>
            <w:pPr>
              <w:pStyle w:val="TableParagraph"/>
              <w:rPr>
                <w:rFonts w:ascii="Times New Roman"/>
                <w:sz w:val="24"/>
              </w:rPr>
            </w:pPr>
          </w:p>
        </w:tc>
      </w:tr>
      <w:tr>
        <w:trPr>
          <w:trHeight w:val="626" w:hRule="atLeast"/>
        </w:trPr>
        <w:tc>
          <w:tcPr>
            <w:tcW w:w="960" w:type="dxa"/>
          </w:tcPr>
          <w:p>
            <w:pPr>
              <w:pStyle w:val="TableParagraph"/>
              <w:spacing w:before="158"/>
              <w:ind w:left="359"/>
              <w:rPr>
                <w:sz w:val="24"/>
              </w:rPr>
            </w:pPr>
            <w:r>
              <w:rPr>
                <w:sz w:val="24"/>
              </w:rPr>
              <w:t>29</w:t>
            </w:r>
          </w:p>
        </w:tc>
        <w:tc>
          <w:tcPr>
            <w:tcW w:w="1561" w:type="dxa"/>
          </w:tcPr>
          <w:p>
            <w:pPr>
              <w:pStyle w:val="TableParagraph"/>
              <w:rPr>
                <w:rFonts w:ascii="Times New Roman"/>
                <w:sz w:val="24"/>
              </w:rPr>
            </w:pPr>
          </w:p>
        </w:tc>
        <w:tc>
          <w:tcPr>
            <w:tcW w:w="5104" w:type="dxa"/>
          </w:tcPr>
          <w:p>
            <w:pPr>
              <w:pStyle w:val="TableParagraph"/>
              <w:rPr>
                <w:rFonts w:ascii="Times New Roman"/>
                <w:sz w:val="24"/>
              </w:rPr>
            </w:pPr>
          </w:p>
        </w:tc>
        <w:tc>
          <w:tcPr>
            <w:tcW w:w="1450" w:type="dxa"/>
          </w:tcPr>
          <w:p>
            <w:pPr>
              <w:pStyle w:val="TableParagraph"/>
              <w:rPr>
                <w:rFonts w:ascii="Times New Roman"/>
                <w:sz w:val="24"/>
              </w:rPr>
            </w:pPr>
          </w:p>
        </w:tc>
      </w:tr>
      <w:tr>
        <w:trPr>
          <w:trHeight w:val="623" w:hRule="atLeast"/>
        </w:trPr>
        <w:tc>
          <w:tcPr>
            <w:tcW w:w="960" w:type="dxa"/>
          </w:tcPr>
          <w:p>
            <w:pPr>
              <w:pStyle w:val="TableParagraph"/>
              <w:spacing w:before="156"/>
              <w:ind w:left="359"/>
              <w:rPr>
                <w:sz w:val="24"/>
              </w:rPr>
            </w:pPr>
            <w:r>
              <w:rPr>
                <w:sz w:val="24"/>
              </w:rPr>
              <w:t>30</w:t>
            </w:r>
          </w:p>
        </w:tc>
        <w:tc>
          <w:tcPr>
            <w:tcW w:w="1561" w:type="dxa"/>
          </w:tcPr>
          <w:p>
            <w:pPr>
              <w:pStyle w:val="TableParagraph"/>
              <w:rPr>
                <w:rFonts w:ascii="Times New Roman"/>
                <w:sz w:val="24"/>
              </w:rPr>
            </w:pPr>
          </w:p>
        </w:tc>
        <w:tc>
          <w:tcPr>
            <w:tcW w:w="5104" w:type="dxa"/>
          </w:tcPr>
          <w:p>
            <w:pPr>
              <w:pStyle w:val="TableParagraph"/>
              <w:rPr>
                <w:rFonts w:ascii="Times New Roman"/>
                <w:sz w:val="24"/>
              </w:rPr>
            </w:pPr>
          </w:p>
        </w:tc>
        <w:tc>
          <w:tcPr>
            <w:tcW w:w="1450" w:type="dxa"/>
          </w:tcPr>
          <w:p>
            <w:pPr>
              <w:pStyle w:val="TableParagraph"/>
              <w:rPr>
                <w:rFonts w:ascii="Times New Roman"/>
                <w:sz w:val="24"/>
              </w:rPr>
            </w:pPr>
          </w:p>
        </w:tc>
      </w:tr>
    </w:tbl>
    <w:p>
      <w:pPr>
        <w:spacing w:after="0"/>
        <w:rPr>
          <w:rFonts w:ascii="Times New Roman"/>
          <w:sz w:val="24"/>
        </w:rPr>
        <w:sectPr>
          <w:pgSz w:w="11910" w:h="16840"/>
          <w:pgMar w:header="0" w:footer="1035" w:top="1420" w:bottom="1220" w:left="1020" w:right="560"/>
        </w:sectPr>
      </w:pPr>
    </w:p>
    <w:p>
      <w:pPr>
        <w:spacing w:line="613" w:lineRule="exact" w:before="0"/>
        <w:ind w:left="0" w:right="459" w:firstLine="0"/>
        <w:jc w:val="center"/>
        <w:rPr>
          <w:rFonts w:ascii="方正小标宋简体" w:eastAsia="方正小标宋简体" w:hint="eastAsia"/>
          <w:b/>
          <w:sz w:val="36"/>
        </w:rPr>
      </w:pPr>
      <w:r>
        <w:rPr>
          <w:rFonts w:ascii="方正小标宋简体" w:eastAsia="方正小标宋简体" w:hint="eastAsia"/>
          <w:b/>
          <w:sz w:val="36"/>
        </w:rPr>
        <w:t>自然科学基金委参会代表名单</w:t>
      </w:r>
    </w:p>
    <w:p>
      <w:pPr>
        <w:pStyle w:val="BodyText"/>
        <w:spacing w:before="4"/>
        <w:rPr>
          <w:rFonts w:ascii="方正小标宋简体"/>
          <w:b/>
          <w:sz w:val="17"/>
        </w:rPr>
      </w:pPr>
    </w:p>
    <w:tbl>
      <w:tblPr>
        <w:tblW w:w="0" w:type="auto"/>
        <w:jc w:val="left"/>
        <w:tblInd w:w="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1561"/>
        <w:gridCol w:w="3678"/>
        <w:gridCol w:w="2877"/>
      </w:tblGrid>
      <w:tr>
        <w:trPr>
          <w:trHeight w:val="520" w:hRule="atLeast"/>
        </w:trPr>
        <w:tc>
          <w:tcPr>
            <w:tcW w:w="960" w:type="dxa"/>
          </w:tcPr>
          <w:p>
            <w:pPr>
              <w:pStyle w:val="TableParagraph"/>
              <w:spacing w:before="103"/>
              <w:ind w:left="218" w:right="209"/>
              <w:jc w:val="center"/>
              <w:rPr>
                <w:b/>
                <w:sz w:val="24"/>
              </w:rPr>
            </w:pPr>
            <w:r>
              <w:rPr>
                <w:b/>
                <w:sz w:val="24"/>
              </w:rPr>
              <w:t>序号</w:t>
            </w:r>
          </w:p>
        </w:tc>
        <w:tc>
          <w:tcPr>
            <w:tcW w:w="1561" w:type="dxa"/>
          </w:tcPr>
          <w:p>
            <w:pPr>
              <w:pStyle w:val="TableParagraph"/>
              <w:spacing w:before="103"/>
              <w:ind w:left="518" w:right="510"/>
              <w:jc w:val="center"/>
              <w:rPr>
                <w:b/>
                <w:sz w:val="24"/>
              </w:rPr>
            </w:pPr>
            <w:r>
              <w:rPr>
                <w:b/>
                <w:sz w:val="24"/>
              </w:rPr>
              <w:t>姓名</w:t>
            </w:r>
          </w:p>
        </w:tc>
        <w:tc>
          <w:tcPr>
            <w:tcW w:w="3678" w:type="dxa"/>
          </w:tcPr>
          <w:p>
            <w:pPr>
              <w:pStyle w:val="TableParagraph"/>
              <w:spacing w:before="103"/>
              <w:ind w:left="1576" w:right="1569"/>
              <w:jc w:val="center"/>
              <w:rPr>
                <w:b/>
                <w:sz w:val="24"/>
              </w:rPr>
            </w:pPr>
            <w:r>
              <w:rPr>
                <w:b/>
                <w:sz w:val="24"/>
              </w:rPr>
              <w:t>单位</w:t>
            </w:r>
          </w:p>
        </w:tc>
        <w:tc>
          <w:tcPr>
            <w:tcW w:w="2877" w:type="dxa"/>
          </w:tcPr>
          <w:p>
            <w:pPr>
              <w:pStyle w:val="TableParagraph"/>
              <w:spacing w:before="103"/>
              <w:ind w:left="903"/>
              <w:rPr>
                <w:b/>
                <w:sz w:val="24"/>
              </w:rPr>
            </w:pPr>
            <w:r>
              <w:rPr>
                <w:b/>
                <w:sz w:val="24"/>
              </w:rPr>
              <w:t>职务</w:t>
            </w:r>
            <w:r>
              <w:rPr>
                <w:rFonts w:ascii="Calibri" w:eastAsia="Calibri"/>
                <w:b/>
                <w:sz w:val="24"/>
              </w:rPr>
              <w:t>/</w:t>
            </w:r>
            <w:r>
              <w:rPr>
                <w:b/>
                <w:sz w:val="24"/>
              </w:rPr>
              <w:t>职称</w:t>
            </w:r>
          </w:p>
        </w:tc>
      </w:tr>
      <w:tr>
        <w:trPr>
          <w:trHeight w:val="623" w:hRule="atLeast"/>
        </w:trPr>
        <w:tc>
          <w:tcPr>
            <w:tcW w:w="960" w:type="dxa"/>
          </w:tcPr>
          <w:p>
            <w:pPr>
              <w:pStyle w:val="TableParagraph"/>
              <w:spacing w:before="165"/>
              <w:ind w:left="6"/>
              <w:jc w:val="center"/>
              <w:rPr>
                <w:rFonts w:ascii="Calibri"/>
                <w:sz w:val="24"/>
              </w:rPr>
            </w:pPr>
            <w:r>
              <w:rPr>
                <w:rFonts w:ascii="Calibri"/>
                <w:sz w:val="24"/>
              </w:rPr>
              <w:t>1</w:t>
            </w:r>
          </w:p>
        </w:tc>
        <w:tc>
          <w:tcPr>
            <w:tcW w:w="1561" w:type="dxa"/>
          </w:tcPr>
          <w:p>
            <w:pPr>
              <w:pStyle w:val="TableParagraph"/>
              <w:rPr>
                <w:rFonts w:ascii="Times New Roman"/>
                <w:sz w:val="28"/>
              </w:rPr>
            </w:pPr>
          </w:p>
        </w:tc>
        <w:tc>
          <w:tcPr>
            <w:tcW w:w="3678" w:type="dxa"/>
          </w:tcPr>
          <w:p>
            <w:pPr>
              <w:pStyle w:val="TableParagraph"/>
              <w:rPr>
                <w:rFonts w:ascii="Times New Roman"/>
                <w:sz w:val="28"/>
              </w:rPr>
            </w:pPr>
          </w:p>
        </w:tc>
        <w:tc>
          <w:tcPr>
            <w:tcW w:w="2877" w:type="dxa"/>
          </w:tcPr>
          <w:p>
            <w:pPr>
              <w:pStyle w:val="TableParagraph"/>
              <w:rPr>
                <w:rFonts w:ascii="Times New Roman"/>
                <w:sz w:val="28"/>
              </w:rPr>
            </w:pPr>
          </w:p>
        </w:tc>
      </w:tr>
      <w:tr>
        <w:trPr>
          <w:trHeight w:val="623" w:hRule="atLeast"/>
        </w:trPr>
        <w:tc>
          <w:tcPr>
            <w:tcW w:w="960" w:type="dxa"/>
          </w:tcPr>
          <w:p>
            <w:pPr>
              <w:pStyle w:val="TableParagraph"/>
              <w:spacing w:before="165"/>
              <w:ind w:left="6"/>
              <w:jc w:val="center"/>
              <w:rPr>
                <w:rFonts w:ascii="Calibri"/>
                <w:sz w:val="24"/>
              </w:rPr>
            </w:pPr>
            <w:r>
              <w:rPr>
                <w:rFonts w:ascii="Calibri"/>
                <w:sz w:val="24"/>
              </w:rPr>
              <w:t>2</w:t>
            </w:r>
          </w:p>
        </w:tc>
        <w:tc>
          <w:tcPr>
            <w:tcW w:w="1561" w:type="dxa"/>
          </w:tcPr>
          <w:p>
            <w:pPr>
              <w:pStyle w:val="TableParagraph"/>
              <w:rPr>
                <w:rFonts w:ascii="Times New Roman"/>
                <w:sz w:val="28"/>
              </w:rPr>
            </w:pPr>
          </w:p>
        </w:tc>
        <w:tc>
          <w:tcPr>
            <w:tcW w:w="3678" w:type="dxa"/>
          </w:tcPr>
          <w:p>
            <w:pPr>
              <w:pStyle w:val="TableParagraph"/>
              <w:rPr>
                <w:rFonts w:ascii="Times New Roman"/>
                <w:sz w:val="28"/>
              </w:rPr>
            </w:pPr>
          </w:p>
        </w:tc>
        <w:tc>
          <w:tcPr>
            <w:tcW w:w="2877" w:type="dxa"/>
          </w:tcPr>
          <w:p>
            <w:pPr>
              <w:pStyle w:val="TableParagraph"/>
              <w:rPr>
                <w:rFonts w:ascii="Times New Roman"/>
                <w:sz w:val="28"/>
              </w:rPr>
            </w:pPr>
          </w:p>
        </w:tc>
      </w:tr>
      <w:tr>
        <w:trPr>
          <w:trHeight w:val="623" w:hRule="atLeast"/>
        </w:trPr>
        <w:tc>
          <w:tcPr>
            <w:tcW w:w="960" w:type="dxa"/>
          </w:tcPr>
          <w:p>
            <w:pPr>
              <w:pStyle w:val="TableParagraph"/>
              <w:spacing w:before="165"/>
              <w:ind w:left="6"/>
              <w:jc w:val="center"/>
              <w:rPr>
                <w:rFonts w:ascii="Calibri"/>
                <w:sz w:val="24"/>
              </w:rPr>
            </w:pPr>
            <w:r>
              <w:rPr>
                <w:rFonts w:ascii="Calibri"/>
                <w:sz w:val="24"/>
              </w:rPr>
              <w:t>3</w:t>
            </w:r>
          </w:p>
        </w:tc>
        <w:tc>
          <w:tcPr>
            <w:tcW w:w="1561" w:type="dxa"/>
          </w:tcPr>
          <w:p>
            <w:pPr>
              <w:pStyle w:val="TableParagraph"/>
              <w:rPr>
                <w:rFonts w:ascii="Times New Roman"/>
                <w:sz w:val="28"/>
              </w:rPr>
            </w:pPr>
          </w:p>
        </w:tc>
        <w:tc>
          <w:tcPr>
            <w:tcW w:w="3678" w:type="dxa"/>
          </w:tcPr>
          <w:p>
            <w:pPr>
              <w:pStyle w:val="TableParagraph"/>
              <w:rPr>
                <w:rFonts w:ascii="Times New Roman"/>
                <w:sz w:val="28"/>
              </w:rPr>
            </w:pPr>
          </w:p>
        </w:tc>
        <w:tc>
          <w:tcPr>
            <w:tcW w:w="2877" w:type="dxa"/>
          </w:tcPr>
          <w:p>
            <w:pPr>
              <w:pStyle w:val="TableParagraph"/>
              <w:rPr>
                <w:rFonts w:ascii="Times New Roman"/>
                <w:sz w:val="28"/>
              </w:rPr>
            </w:pPr>
          </w:p>
        </w:tc>
      </w:tr>
      <w:tr>
        <w:trPr>
          <w:trHeight w:val="623" w:hRule="atLeast"/>
        </w:trPr>
        <w:tc>
          <w:tcPr>
            <w:tcW w:w="960" w:type="dxa"/>
          </w:tcPr>
          <w:p>
            <w:pPr>
              <w:pStyle w:val="TableParagraph"/>
              <w:spacing w:before="165"/>
              <w:ind w:left="6"/>
              <w:jc w:val="center"/>
              <w:rPr>
                <w:rFonts w:ascii="Calibri"/>
                <w:sz w:val="24"/>
              </w:rPr>
            </w:pPr>
            <w:r>
              <w:rPr>
                <w:rFonts w:ascii="Calibri"/>
                <w:sz w:val="24"/>
              </w:rPr>
              <w:t>4</w:t>
            </w:r>
          </w:p>
        </w:tc>
        <w:tc>
          <w:tcPr>
            <w:tcW w:w="1561" w:type="dxa"/>
          </w:tcPr>
          <w:p>
            <w:pPr>
              <w:pStyle w:val="TableParagraph"/>
              <w:rPr>
                <w:rFonts w:ascii="Times New Roman"/>
                <w:sz w:val="28"/>
              </w:rPr>
            </w:pPr>
          </w:p>
        </w:tc>
        <w:tc>
          <w:tcPr>
            <w:tcW w:w="3678" w:type="dxa"/>
          </w:tcPr>
          <w:p>
            <w:pPr>
              <w:pStyle w:val="TableParagraph"/>
              <w:rPr>
                <w:rFonts w:ascii="Times New Roman"/>
                <w:sz w:val="28"/>
              </w:rPr>
            </w:pPr>
          </w:p>
        </w:tc>
        <w:tc>
          <w:tcPr>
            <w:tcW w:w="2877" w:type="dxa"/>
          </w:tcPr>
          <w:p>
            <w:pPr>
              <w:pStyle w:val="TableParagraph"/>
              <w:rPr>
                <w:rFonts w:ascii="Times New Roman"/>
                <w:sz w:val="28"/>
              </w:rPr>
            </w:pPr>
          </w:p>
        </w:tc>
      </w:tr>
      <w:tr>
        <w:trPr>
          <w:trHeight w:val="626" w:hRule="atLeast"/>
        </w:trPr>
        <w:tc>
          <w:tcPr>
            <w:tcW w:w="960" w:type="dxa"/>
          </w:tcPr>
          <w:p>
            <w:pPr>
              <w:pStyle w:val="TableParagraph"/>
              <w:spacing w:before="168"/>
              <w:ind w:left="6"/>
              <w:jc w:val="center"/>
              <w:rPr>
                <w:rFonts w:ascii="Calibri"/>
                <w:sz w:val="24"/>
              </w:rPr>
            </w:pPr>
            <w:r>
              <w:rPr>
                <w:rFonts w:ascii="Calibri"/>
                <w:sz w:val="24"/>
              </w:rPr>
              <w:t>5</w:t>
            </w:r>
          </w:p>
        </w:tc>
        <w:tc>
          <w:tcPr>
            <w:tcW w:w="1561" w:type="dxa"/>
          </w:tcPr>
          <w:p>
            <w:pPr>
              <w:pStyle w:val="TableParagraph"/>
              <w:rPr>
                <w:rFonts w:ascii="Times New Roman"/>
                <w:sz w:val="28"/>
              </w:rPr>
            </w:pPr>
          </w:p>
        </w:tc>
        <w:tc>
          <w:tcPr>
            <w:tcW w:w="3678" w:type="dxa"/>
          </w:tcPr>
          <w:p>
            <w:pPr>
              <w:pStyle w:val="TableParagraph"/>
              <w:rPr>
                <w:rFonts w:ascii="Times New Roman"/>
                <w:sz w:val="28"/>
              </w:rPr>
            </w:pPr>
          </w:p>
        </w:tc>
        <w:tc>
          <w:tcPr>
            <w:tcW w:w="2877" w:type="dxa"/>
          </w:tcPr>
          <w:p>
            <w:pPr>
              <w:pStyle w:val="TableParagraph"/>
              <w:rPr>
                <w:rFonts w:ascii="Times New Roman"/>
                <w:sz w:val="28"/>
              </w:rPr>
            </w:pPr>
          </w:p>
        </w:tc>
      </w:tr>
      <w:tr>
        <w:trPr>
          <w:trHeight w:val="623" w:hRule="atLeast"/>
        </w:trPr>
        <w:tc>
          <w:tcPr>
            <w:tcW w:w="960" w:type="dxa"/>
          </w:tcPr>
          <w:p>
            <w:pPr>
              <w:pStyle w:val="TableParagraph"/>
              <w:spacing w:before="165"/>
              <w:ind w:left="6"/>
              <w:jc w:val="center"/>
              <w:rPr>
                <w:rFonts w:ascii="Calibri"/>
                <w:sz w:val="24"/>
              </w:rPr>
            </w:pPr>
            <w:r>
              <w:rPr>
                <w:rFonts w:ascii="Calibri"/>
                <w:sz w:val="24"/>
              </w:rPr>
              <w:t>6</w:t>
            </w:r>
          </w:p>
        </w:tc>
        <w:tc>
          <w:tcPr>
            <w:tcW w:w="1561" w:type="dxa"/>
          </w:tcPr>
          <w:p>
            <w:pPr>
              <w:pStyle w:val="TableParagraph"/>
              <w:rPr>
                <w:rFonts w:ascii="Times New Roman"/>
                <w:sz w:val="28"/>
              </w:rPr>
            </w:pPr>
          </w:p>
        </w:tc>
        <w:tc>
          <w:tcPr>
            <w:tcW w:w="3678" w:type="dxa"/>
          </w:tcPr>
          <w:p>
            <w:pPr>
              <w:pStyle w:val="TableParagraph"/>
              <w:rPr>
                <w:rFonts w:ascii="Times New Roman"/>
                <w:sz w:val="28"/>
              </w:rPr>
            </w:pPr>
          </w:p>
        </w:tc>
        <w:tc>
          <w:tcPr>
            <w:tcW w:w="2877" w:type="dxa"/>
          </w:tcPr>
          <w:p>
            <w:pPr>
              <w:pStyle w:val="TableParagraph"/>
              <w:rPr>
                <w:rFonts w:ascii="Times New Roman"/>
                <w:sz w:val="28"/>
              </w:rPr>
            </w:pPr>
          </w:p>
        </w:tc>
      </w:tr>
      <w:tr>
        <w:trPr>
          <w:trHeight w:val="623" w:hRule="atLeast"/>
        </w:trPr>
        <w:tc>
          <w:tcPr>
            <w:tcW w:w="960" w:type="dxa"/>
          </w:tcPr>
          <w:p>
            <w:pPr>
              <w:pStyle w:val="TableParagraph"/>
              <w:spacing w:before="165"/>
              <w:ind w:left="6"/>
              <w:jc w:val="center"/>
              <w:rPr>
                <w:rFonts w:ascii="Calibri"/>
                <w:sz w:val="24"/>
              </w:rPr>
            </w:pPr>
            <w:r>
              <w:rPr>
                <w:rFonts w:ascii="Calibri"/>
                <w:sz w:val="24"/>
              </w:rPr>
              <w:t>7</w:t>
            </w:r>
          </w:p>
        </w:tc>
        <w:tc>
          <w:tcPr>
            <w:tcW w:w="1561" w:type="dxa"/>
          </w:tcPr>
          <w:p>
            <w:pPr>
              <w:pStyle w:val="TableParagraph"/>
              <w:rPr>
                <w:rFonts w:ascii="Times New Roman"/>
                <w:sz w:val="28"/>
              </w:rPr>
            </w:pPr>
          </w:p>
        </w:tc>
        <w:tc>
          <w:tcPr>
            <w:tcW w:w="3678" w:type="dxa"/>
          </w:tcPr>
          <w:p>
            <w:pPr>
              <w:pStyle w:val="TableParagraph"/>
              <w:rPr>
                <w:rFonts w:ascii="Times New Roman"/>
                <w:sz w:val="28"/>
              </w:rPr>
            </w:pPr>
          </w:p>
        </w:tc>
        <w:tc>
          <w:tcPr>
            <w:tcW w:w="2877" w:type="dxa"/>
          </w:tcPr>
          <w:p>
            <w:pPr>
              <w:pStyle w:val="TableParagraph"/>
              <w:rPr>
                <w:rFonts w:ascii="Times New Roman"/>
                <w:sz w:val="28"/>
              </w:rPr>
            </w:pPr>
          </w:p>
        </w:tc>
      </w:tr>
      <w:tr>
        <w:trPr>
          <w:trHeight w:val="623" w:hRule="atLeast"/>
        </w:trPr>
        <w:tc>
          <w:tcPr>
            <w:tcW w:w="960" w:type="dxa"/>
          </w:tcPr>
          <w:p>
            <w:pPr>
              <w:pStyle w:val="TableParagraph"/>
              <w:spacing w:before="165"/>
              <w:ind w:left="6"/>
              <w:jc w:val="center"/>
              <w:rPr>
                <w:rFonts w:ascii="Calibri"/>
                <w:sz w:val="24"/>
              </w:rPr>
            </w:pPr>
            <w:r>
              <w:rPr>
                <w:rFonts w:ascii="Calibri"/>
                <w:sz w:val="24"/>
              </w:rPr>
              <w:t>8</w:t>
            </w:r>
          </w:p>
        </w:tc>
        <w:tc>
          <w:tcPr>
            <w:tcW w:w="1561" w:type="dxa"/>
          </w:tcPr>
          <w:p>
            <w:pPr>
              <w:pStyle w:val="TableParagraph"/>
              <w:rPr>
                <w:rFonts w:ascii="Times New Roman"/>
                <w:sz w:val="28"/>
              </w:rPr>
            </w:pPr>
          </w:p>
        </w:tc>
        <w:tc>
          <w:tcPr>
            <w:tcW w:w="3678" w:type="dxa"/>
          </w:tcPr>
          <w:p>
            <w:pPr>
              <w:pStyle w:val="TableParagraph"/>
              <w:rPr>
                <w:rFonts w:ascii="Times New Roman"/>
                <w:sz w:val="28"/>
              </w:rPr>
            </w:pPr>
          </w:p>
        </w:tc>
        <w:tc>
          <w:tcPr>
            <w:tcW w:w="2877" w:type="dxa"/>
          </w:tcPr>
          <w:p>
            <w:pPr>
              <w:pStyle w:val="TableParagraph"/>
              <w:rPr>
                <w:rFonts w:ascii="Times New Roman"/>
                <w:sz w:val="28"/>
              </w:rPr>
            </w:pPr>
          </w:p>
        </w:tc>
      </w:tr>
      <w:tr>
        <w:trPr>
          <w:trHeight w:val="623" w:hRule="atLeast"/>
        </w:trPr>
        <w:tc>
          <w:tcPr>
            <w:tcW w:w="960" w:type="dxa"/>
          </w:tcPr>
          <w:p>
            <w:pPr>
              <w:pStyle w:val="TableParagraph"/>
              <w:spacing w:before="165"/>
              <w:ind w:left="6"/>
              <w:jc w:val="center"/>
              <w:rPr>
                <w:rFonts w:ascii="Calibri"/>
                <w:sz w:val="24"/>
              </w:rPr>
            </w:pPr>
            <w:r>
              <w:rPr>
                <w:rFonts w:ascii="Calibri"/>
                <w:sz w:val="24"/>
              </w:rPr>
              <w:t>9</w:t>
            </w:r>
          </w:p>
        </w:tc>
        <w:tc>
          <w:tcPr>
            <w:tcW w:w="1561" w:type="dxa"/>
          </w:tcPr>
          <w:p>
            <w:pPr>
              <w:pStyle w:val="TableParagraph"/>
              <w:rPr>
                <w:rFonts w:ascii="Times New Roman"/>
                <w:sz w:val="28"/>
              </w:rPr>
            </w:pPr>
          </w:p>
        </w:tc>
        <w:tc>
          <w:tcPr>
            <w:tcW w:w="3678" w:type="dxa"/>
          </w:tcPr>
          <w:p>
            <w:pPr>
              <w:pStyle w:val="TableParagraph"/>
              <w:rPr>
                <w:rFonts w:ascii="Times New Roman"/>
                <w:sz w:val="28"/>
              </w:rPr>
            </w:pPr>
          </w:p>
        </w:tc>
        <w:tc>
          <w:tcPr>
            <w:tcW w:w="2877" w:type="dxa"/>
          </w:tcPr>
          <w:p>
            <w:pPr>
              <w:pStyle w:val="TableParagraph"/>
              <w:rPr>
                <w:rFonts w:ascii="Times New Roman"/>
                <w:sz w:val="28"/>
              </w:rPr>
            </w:pPr>
          </w:p>
        </w:tc>
      </w:tr>
      <w:tr>
        <w:trPr>
          <w:trHeight w:val="626" w:hRule="atLeast"/>
        </w:trPr>
        <w:tc>
          <w:tcPr>
            <w:tcW w:w="960" w:type="dxa"/>
          </w:tcPr>
          <w:p>
            <w:pPr>
              <w:pStyle w:val="TableParagraph"/>
              <w:spacing w:before="165"/>
              <w:ind w:left="218" w:right="209"/>
              <w:jc w:val="center"/>
              <w:rPr>
                <w:rFonts w:ascii="Calibri"/>
                <w:sz w:val="24"/>
              </w:rPr>
            </w:pPr>
            <w:r>
              <w:rPr>
                <w:rFonts w:ascii="Calibri"/>
                <w:sz w:val="24"/>
              </w:rPr>
              <w:t>10</w:t>
            </w:r>
          </w:p>
        </w:tc>
        <w:tc>
          <w:tcPr>
            <w:tcW w:w="1561" w:type="dxa"/>
          </w:tcPr>
          <w:p>
            <w:pPr>
              <w:pStyle w:val="TableParagraph"/>
              <w:rPr>
                <w:rFonts w:ascii="Times New Roman"/>
                <w:sz w:val="28"/>
              </w:rPr>
            </w:pPr>
          </w:p>
        </w:tc>
        <w:tc>
          <w:tcPr>
            <w:tcW w:w="3678" w:type="dxa"/>
          </w:tcPr>
          <w:p>
            <w:pPr>
              <w:pStyle w:val="TableParagraph"/>
              <w:rPr>
                <w:rFonts w:ascii="Times New Roman"/>
                <w:sz w:val="28"/>
              </w:rPr>
            </w:pPr>
          </w:p>
        </w:tc>
        <w:tc>
          <w:tcPr>
            <w:tcW w:w="2877" w:type="dxa"/>
          </w:tcPr>
          <w:p>
            <w:pPr>
              <w:pStyle w:val="TableParagraph"/>
              <w:rPr>
                <w:rFonts w:ascii="Times New Roman"/>
                <w:sz w:val="28"/>
              </w:rPr>
            </w:pPr>
          </w:p>
        </w:tc>
      </w:tr>
    </w:tbl>
    <w:p>
      <w:pPr>
        <w:spacing w:after="0"/>
        <w:rPr>
          <w:rFonts w:ascii="Times New Roman"/>
          <w:sz w:val="28"/>
        </w:rPr>
        <w:sectPr>
          <w:pgSz w:w="11910" w:h="16840"/>
          <w:pgMar w:header="0" w:footer="1035" w:top="1440" w:bottom="1220" w:left="1020" w:right="560"/>
        </w:sectPr>
      </w:pPr>
    </w:p>
    <w:p>
      <w:pPr>
        <w:spacing w:line="613" w:lineRule="exact" w:before="0"/>
        <w:ind w:left="0" w:right="598" w:firstLine="0"/>
        <w:jc w:val="center"/>
        <w:rPr>
          <w:rFonts w:ascii="方正小标宋简体" w:eastAsia="方正小标宋简体" w:hint="eastAsia"/>
          <w:b/>
          <w:sz w:val="36"/>
        </w:rPr>
      </w:pPr>
      <w:r>
        <w:rPr>
          <w:rFonts w:ascii="方正小标宋简体" w:eastAsia="方正小标宋简体" w:hint="eastAsia"/>
          <w:b/>
          <w:sz w:val="36"/>
        </w:rPr>
        <w:t>报告摘要目录</w:t>
      </w:r>
    </w:p>
    <w:p>
      <w:pPr>
        <w:spacing w:after="0" w:line="613" w:lineRule="exact"/>
        <w:jc w:val="center"/>
        <w:rPr>
          <w:rFonts w:ascii="方正小标宋简体" w:eastAsia="方正小标宋简体" w:hint="eastAsia"/>
          <w:sz w:val="36"/>
        </w:rPr>
        <w:sectPr>
          <w:pgSz w:w="11910" w:h="16840"/>
          <w:pgMar w:header="0" w:footer="1035" w:top="1440" w:bottom="1300" w:left="1020" w:right="560"/>
        </w:sectPr>
      </w:pPr>
    </w:p>
    <w:p>
      <w:pPr>
        <w:spacing w:line="605" w:lineRule="exact" w:before="0"/>
        <w:ind w:left="0" w:right="458" w:firstLine="0"/>
        <w:jc w:val="center"/>
        <w:rPr>
          <w:rFonts w:ascii="方正小标宋简体" w:eastAsia="方正小标宋简体" w:hint="eastAsia"/>
          <w:b/>
          <w:sz w:val="36"/>
        </w:rPr>
      </w:pPr>
      <w:r>
        <w:rPr>
          <w:rFonts w:ascii="方正小标宋简体" w:eastAsia="方正小标宋简体" w:hint="eastAsia"/>
          <w:b/>
          <w:sz w:val="36"/>
        </w:rPr>
        <w:t>报告摘要</w:t>
      </w:r>
    </w:p>
    <w:p>
      <w:pPr>
        <w:pStyle w:val="Heading5"/>
      </w:pPr>
      <w:r>
        <w:rPr/>
        <w:t>（注意：每位代表限于一页篇幅）</w:t>
      </w:r>
    </w:p>
    <w:p>
      <w:pPr>
        <w:spacing w:after="0"/>
        <w:sectPr>
          <w:pgSz w:w="11910" w:h="16840"/>
          <w:pgMar w:header="0" w:footer="1035" w:top="1440" w:bottom="1300" w:left="1020" w:right="560"/>
        </w:sectPr>
      </w:pPr>
    </w:p>
    <w:p>
      <w:pPr>
        <w:spacing w:line="613" w:lineRule="exact" w:before="0"/>
        <w:ind w:left="0" w:right="456" w:firstLine="0"/>
        <w:jc w:val="center"/>
        <w:rPr>
          <w:rFonts w:ascii="方正小标宋简体" w:eastAsia="方正小标宋简体" w:hint="eastAsia"/>
          <w:b/>
          <w:sz w:val="36"/>
        </w:rPr>
      </w:pPr>
      <w:r>
        <w:rPr>
          <w:rFonts w:ascii="方正小标宋简体" w:eastAsia="方正小标宋简体" w:hint="eastAsia"/>
          <w:b/>
          <w:sz w:val="36"/>
        </w:rPr>
        <w:t>会议记录纸</w:t>
      </w:r>
    </w:p>
    <w:p>
      <w:pPr>
        <w:spacing w:before="111"/>
        <w:ind w:left="0" w:right="455" w:firstLine="0"/>
        <w:jc w:val="center"/>
        <w:rPr>
          <w:sz w:val="30"/>
        </w:rPr>
      </w:pPr>
      <w:r>
        <w:rPr>
          <w:sz w:val="30"/>
        </w:rPr>
        <w:t>（</w:t>
      </w:r>
      <w:r>
        <w:rPr>
          <w:rFonts w:ascii="Times New Roman" w:eastAsia="Times New Roman"/>
          <w:sz w:val="30"/>
        </w:rPr>
        <w:t>6 </w:t>
      </w:r>
      <w:r>
        <w:rPr>
          <w:sz w:val="30"/>
        </w:rPr>
        <w:t>页）</w:t>
      </w:r>
    </w:p>
    <w:p>
      <w:pPr>
        <w:spacing w:after="0"/>
        <w:jc w:val="center"/>
        <w:rPr>
          <w:sz w:val="30"/>
        </w:rPr>
        <w:sectPr>
          <w:pgSz w:w="11910" w:h="16840"/>
          <w:pgMar w:header="0" w:footer="1035" w:top="1440" w:bottom="1300" w:left="1020" w:right="560"/>
        </w:sectPr>
      </w:pPr>
    </w:p>
    <w:p>
      <w:pPr>
        <w:spacing w:before="26"/>
        <w:ind w:left="780" w:right="0" w:firstLine="0"/>
        <w:jc w:val="left"/>
        <w:rPr>
          <w:rFonts w:ascii="黑体" w:eastAsia="黑体" w:hint="eastAsia"/>
          <w:b/>
          <w:sz w:val="36"/>
        </w:rPr>
      </w:pPr>
      <w:r>
        <w:rPr>
          <w:rFonts w:ascii="黑体" w:eastAsia="黑体" w:hint="eastAsia"/>
          <w:b/>
          <w:sz w:val="36"/>
        </w:rPr>
        <w:t>（二）不设分会场的会议手册模板</w:t>
      </w:r>
    </w:p>
    <w:p>
      <w:pPr>
        <w:pStyle w:val="BodyText"/>
        <w:spacing w:before="7"/>
        <w:rPr>
          <w:rFonts w:ascii="黑体"/>
          <w:b/>
          <w:sz w:val="34"/>
        </w:rPr>
      </w:pPr>
    </w:p>
    <w:p>
      <w:pPr>
        <w:spacing w:before="0"/>
        <w:ind w:left="780" w:right="0" w:firstLine="0"/>
        <w:jc w:val="left"/>
        <w:rPr>
          <w:rFonts w:ascii="黑体" w:eastAsia="黑体" w:hint="eastAsia"/>
          <w:b/>
          <w:sz w:val="32"/>
        </w:rPr>
      </w:pPr>
      <w:r>
        <w:rPr>
          <w:rFonts w:ascii="黑体" w:eastAsia="黑体" w:hint="eastAsia"/>
          <w:b/>
          <w:sz w:val="32"/>
        </w:rPr>
        <w:t>（请根据实际情况填写修改）</w:t>
      </w:r>
    </w:p>
    <w:p>
      <w:pPr>
        <w:pStyle w:val="BodyText"/>
        <w:rPr>
          <w:rFonts w:ascii="黑体"/>
          <w:b/>
          <w:sz w:val="32"/>
        </w:rPr>
      </w:pPr>
    </w:p>
    <w:p>
      <w:pPr>
        <w:pStyle w:val="BodyText"/>
        <w:spacing w:before="5"/>
        <w:rPr>
          <w:rFonts w:ascii="黑体"/>
          <w:b/>
          <w:sz w:val="25"/>
        </w:rPr>
      </w:pPr>
    </w:p>
    <w:p>
      <w:pPr>
        <w:spacing w:before="0"/>
        <w:ind w:left="0" w:right="460" w:firstLine="0"/>
        <w:jc w:val="center"/>
        <w:rPr>
          <w:rFonts w:ascii="黑体" w:eastAsia="黑体" w:hint="eastAsia"/>
          <w:b/>
          <w:sz w:val="48"/>
        </w:rPr>
      </w:pPr>
      <w:r>
        <w:rPr>
          <w:rFonts w:ascii="黑体" w:eastAsia="黑体" w:hint="eastAsia"/>
          <w:b/>
          <w:sz w:val="48"/>
        </w:rPr>
        <w:t>论坛手册封面</w:t>
      </w:r>
    </w:p>
    <w:p>
      <w:pPr>
        <w:pStyle w:val="BodyText"/>
        <w:rPr>
          <w:rFonts w:ascii="黑体"/>
          <w:b/>
          <w:sz w:val="48"/>
        </w:rPr>
      </w:pPr>
    </w:p>
    <w:p>
      <w:pPr>
        <w:pStyle w:val="BodyText"/>
        <w:spacing w:before="12"/>
        <w:rPr>
          <w:rFonts w:ascii="黑体"/>
          <w:b/>
          <w:sz w:val="55"/>
        </w:rPr>
      </w:pPr>
    </w:p>
    <w:p>
      <w:pPr>
        <w:spacing w:before="0"/>
        <w:ind w:left="0" w:right="456" w:firstLine="0"/>
        <w:jc w:val="center"/>
        <w:rPr>
          <w:rFonts w:ascii="方正小标宋简体" w:eastAsia="方正小标宋简体" w:hint="eastAsia"/>
          <w:b/>
          <w:sz w:val="44"/>
        </w:rPr>
      </w:pPr>
      <w:r>
        <w:rPr>
          <w:rFonts w:ascii="方正小标宋简体" w:eastAsia="方正小标宋简体" w:hint="eastAsia"/>
          <w:b/>
          <w:sz w:val="44"/>
        </w:rPr>
        <w:t>第 235 期双清论坛</w:t>
      </w:r>
    </w:p>
    <w:p>
      <w:pPr>
        <w:pStyle w:val="BodyText"/>
        <w:spacing w:before="17"/>
        <w:rPr>
          <w:rFonts w:ascii="方正小标宋简体"/>
          <w:b/>
          <w:sz w:val="41"/>
        </w:rPr>
      </w:pPr>
    </w:p>
    <w:p>
      <w:pPr>
        <w:spacing w:before="0"/>
        <w:ind w:left="0" w:right="462" w:firstLine="0"/>
        <w:jc w:val="center"/>
        <w:rPr>
          <w:rFonts w:ascii="方正小标宋简体" w:eastAsia="方正小标宋简体" w:hint="eastAsia"/>
          <w:b/>
          <w:sz w:val="48"/>
        </w:rPr>
      </w:pPr>
      <w:r>
        <w:rPr>
          <w:rFonts w:ascii="方正小标宋简体" w:eastAsia="方正小标宋简体" w:hint="eastAsia"/>
          <w:b/>
          <w:sz w:val="48"/>
        </w:rPr>
        <w:t>科学基金深化改革的政策与举措</w:t>
      </w:r>
    </w:p>
    <w:p>
      <w:pPr>
        <w:pStyle w:val="BodyText"/>
        <w:spacing w:before="7"/>
        <w:rPr>
          <w:rFonts w:ascii="方正小标宋简体"/>
          <w:b/>
          <w:sz w:val="54"/>
        </w:rPr>
      </w:pPr>
    </w:p>
    <w:p>
      <w:pPr>
        <w:spacing w:before="0"/>
        <w:ind w:left="0" w:right="458" w:firstLine="0"/>
        <w:jc w:val="center"/>
        <w:rPr>
          <w:rFonts w:ascii="方正小标宋简体" w:eastAsia="方正小标宋简体" w:hint="eastAsia"/>
          <w:sz w:val="72"/>
        </w:rPr>
      </w:pPr>
      <w:r>
        <w:rPr>
          <w:rFonts w:ascii="方正小标宋简体" w:eastAsia="方正小标宋简体" w:hint="eastAsia"/>
          <w:sz w:val="72"/>
        </w:rPr>
        <w:t>会议手册</w:t>
      </w:r>
    </w:p>
    <w:p>
      <w:pPr>
        <w:pStyle w:val="BodyText"/>
        <w:spacing w:before="7"/>
        <w:rPr>
          <w:rFonts w:ascii="方正小标宋简体"/>
          <w:sz w:val="106"/>
        </w:rPr>
      </w:pPr>
    </w:p>
    <w:p>
      <w:pPr>
        <w:spacing w:before="0"/>
        <w:ind w:left="0" w:right="458" w:firstLine="0"/>
        <w:jc w:val="center"/>
        <w:rPr>
          <w:rFonts w:ascii="方正小标宋简体" w:eastAsia="方正小标宋简体" w:hint="eastAsia"/>
          <w:sz w:val="32"/>
        </w:rPr>
      </w:pPr>
      <w:r>
        <w:rPr>
          <w:rFonts w:ascii="方正小标宋简体" w:eastAsia="方正小标宋简体" w:hint="eastAsia"/>
          <w:w w:val="95"/>
          <w:sz w:val="32"/>
        </w:rPr>
        <w:t>国家自然科学基金委员会</w:t>
      </w:r>
    </w:p>
    <w:p>
      <w:pPr>
        <w:tabs>
          <w:tab w:pos="3492" w:val="left" w:leader="none"/>
          <w:tab w:pos="4772" w:val="left" w:leader="none"/>
          <w:tab w:pos="6054" w:val="left" w:leader="none"/>
        </w:tabs>
        <w:spacing w:line="427" w:lineRule="auto" w:before="47"/>
        <w:ind w:left="2213" w:right="2669" w:firstLine="0"/>
        <w:jc w:val="center"/>
        <w:rPr>
          <w:rFonts w:ascii="方正小标宋简体" w:hAnsi="方正小标宋简体" w:eastAsia="方正小标宋简体" w:hint="eastAsia"/>
          <w:sz w:val="32"/>
        </w:rPr>
      </w:pPr>
      <w:r>
        <w:rPr>
          <w:rFonts w:ascii="方正小标宋简体" w:hAnsi="方正小标宋简体" w:eastAsia="方正小标宋简体" w:hint="eastAsia"/>
          <w:sz w:val="32"/>
        </w:rPr>
        <w:t>政策局</w:t>
        <w:tab/>
        <w:t>计划局</w:t>
        <w:tab/>
        <w:t>人事局</w:t>
        <w:tab/>
        <w:t>管理科学</w:t>
      </w:r>
      <w:r>
        <w:rPr>
          <w:rFonts w:ascii="方正小标宋简体" w:hAnsi="方正小标宋简体" w:eastAsia="方正小标宋简体" w:hint="eastAsia"/>
          <w:spacing w:val="-17"/>
          <w:sz w:val="32"/>
        </w:rPr>
        <w:t>部</w:t>
      </w:r>
      <w:r>
        <w:rPr>
          <w:rFonts w:ascii="方正小标宋简体" w:hAnsi="方正小标宋简体" w:eastAsia="方正小标宋简体" w:hint="eastAsia"/>
          <w:sz w:val="32"/>
        </w:rPr>
        <w:t>2019 年</w:t>
      </w:r>
      <w:r>
        <w:rPr>
          <w:rFonts w:ascii="方正小标宋简体" w:hAnsi="方正小标宋简体" w:eastAsia="方正小标宋简体" w:hint="eastAsia"/>
          <w:spacing w:val="1"/>
          <w:sz w:val="32"/>
        </w:rPr>
        <w:t> </w:t>
      </w:r>
      <w:r>
        <w:rPr>
          <w:rFonts w:ascii="方正小标宋简体" w:hAnsi="方正小标宋简体" w:eastAsia="方正小标宋简体" w:hint="eastAsia"/>
          <w:sz w:val="32"/>
        </w:rPr>
        <w:t>5</w:t>
      </w:r>
      <w:r>
        <w:rPr>
          <w:rFonts w:ascii="方正小标宋简体" w:hAnsi="方正小标宋简体" w:eastAsia="方正小标宋简体" w:hint="eastAsia"/>
          <w:spacing w:val="-3"/>
          <w:sz w:val="32"/>
        </w:rPr>
        <w:t> </w:t>
      </w:r>
      <w:r>
        <w:rPr>
          <w:rFonts w:ascii="方正小标宋简体" w:hAnsi="方正小标宋简体" w:eastAsia="方正小标宋简体" w:hint="eastAsia"/>
          <w:sz w:val="32"/>
        </w:rPr>
        <w:t>月</w:t>
      </w:r>
      <w:r>
        <w:rPr>
          <w:rFonts w:ascii="方正小标宋简体" w:hAnsi="方正小标宋简体" w:eastAsia="方正小标宋简体" w:hint="eastAsia"/>
          <w:spacing w:val="1"/>
          <w:sz w:val="32"/>
        </w:rPr>
        <w:t> </w:t>
      </w:r>
      <w:r>
        <w:rPr>
          <w:rFonts w:ascii="方正小标宋简体" w:hAnsi="方正小标宋简体" w:eastAsia="方正小标宋简体" w:hint="eastAsia"/>
          <w:sz w:val="32"/>
        </w:rPr>
        <w:t>23-24</w:t>
      </w:r>
      <w:r>
        <w:rPr>
          <w:rFonts w:ascii="方正小标宋简体" w:hAnsi="方正小标宋简体" w:eastAsia="方正小标宋简体" w:hint="eastAsia"/>
          <w:spacing w:val="-1"/>
          <w:sz w:val="32"/>
        </w:rPr>
        <w:t> </w:t>
      </w:r>
      <w:r>
        <w:rPr>
          <w:rFonts w:ascii="方正小标宋简体" w:hAnsi="方正小标宋简体" w:eastAsia="方正小标宋简体" w:hint="eastAsia"/>
          <w:sz w:val="32"/>
        </w:rPr>
        <w:t>日  中国</w:t>
      </w:r>
      <w:r>
        <w:rPr>
          <w:sz w:val="32"/>
        </w:rPr>
        <w:t>•</w:t>
      </w:r>
      <w:r>
        <w:rPr>
          <w:rFonts w:ascii="方正小标宋简体" w:hAnsi="方正小标宋简体" w:eastAsia="方正小标宋简体" w:hint="eastAsia"/>
          <w:sz w:val="32"/>
        </w:rPr>
        <w:t>北京</w:t>
      </w:r>
    </w:p>
    <w:p>
      <w:pPr>
        <w:spacing w:after="0" w:line="427" w:lineRule="auto"/>
        <w:jc w:val="center"/>
        <w:rPr>
          <w:rFonts w:ascii="方正小标宋简体" w:hAnsi="方正小标宋简体" w:eastAsia="方正小标宋简体" w:hint="eastAsia"/>
          <w:sz w:val="32"/>
        </w:rPr>
        <w:sectPr>
          <w:pgSz w:w="11910" w:h="16840"/>
          <w:pgMar w:header="0" w:footer="1035" w:top="1480" w:bottom="1300" w:left="1020" w:right="560"/>
        </w:sectPr>
      </w:pPr>
    </w:p>
    <w:p>
      <w:pPr>
        <w:pStyle w:val="BodyText"/>
        <w:spacing w:before="2"/>
        <w:rPr>
          <w:rFonts w:ascii="方正小标宋简体"/>
          <w:sz w:val="26"/>
        </w:rPr>
      </w:pPr>
    </w:p>
    <w:p>
      <w:pPr>
        <w:spacing w:line="633" w:lineRule="exact" w:before="0"/>
        <w:ind w:left="0" w:right="459" w:firstLine="0"/>
        <w:jc w:val="center"/>
        <w:rPr>
          <w:rFonts w:ascii="方正小标宋简体" w:eastAsia="方正小标宋简体" w:hint="eastAsia"/>
          <w:b/>
          <w:sz w:val="36"/>
        </w:rPr>
      </w:pPr>
      <w:r>
        <w:rPr>
          <w:rFonts w:ascii="方正小标宋简体" w:eastAsia="方正小标宋简体" w:hint="eastAsia"/>
          <w:b/>
          <w:sz w:val="36"/>
        </w:rPr>
        <w:t>论坛组织机构</w:t>
      </w:r>
    </w:p>
    <w:p>
      <w:pPr>
        <w:pStyle w:val="BodyText"/>
        <w:rPr>
          <w:rFonts w:ascii="方正小标宋简体"/>
          <w:b/>
          <w:sz w:val="20"/>
        </w:rPr>
      </w:pPr>
    </w:p>
    <w:p>
      <w:pPr>
        <w:pStyle w:val="BodyText"/>
        <w:spacing w:before="5"/>
        <w:rPr>
          <w:rFonts w:ascii="方正小标宋简体"/>
          <w:b/>
          <w:sz w:val="23"/>
        </w:rPr>
      </w:pPr>
    </w:p>
    <w:tbl>
      <w:tblPr>
        <w:tblW w:w="0" w:type="auto"/>
        <w:jc w:val="left"/>
        <w:tblInd w:w="14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29"/>
        <w:gridCol w:w="6595"/>
      </w:tblGrid>
      <w:tr>
        <w:trPr>
          <w:trHeight w:val="552" w:hRule="atLeast"/>
        </w:trPr>
        <w:tc>
          <w:tcPr>
            <w:tcW w:w="2129" w:type="dxa"/>
          </w:tcPr>
          <w:p>
            <w:pPr>
              <w:pStyle w:val="TableParagraph"/>
              <w:spacing w:line="364" w:lineRule="exact"/>
              <w:ind w:right="-15"/>
              <w:jc w:val="right"/>
              <w:rPr>
                <w:sz w:val="32"/>
              </w:rPr>
            </w:pPr>
            <w:r>
              <w:rPr>
                <w:b/>
                <w:spacing w:val="-42"/>
                <w:sz w:val="32"/>
              </w:rPr>
              <w:t>论 坛 主 席 </w:t>
            </w:r>
            <w:r>
              <w:rPr>
                <w:sz w:val="32"/>
              </w:rPr>
              <w:t>：</w:t>
            </w:r>
          </w:p>
        </w:tc>
        <w:tc>
          <w:tcPr>
            <w:tcW w:w="6595" w:type="dxa"/>
          </w:tcPr>
          <w:p>
            <w:pPr>
              <w:pStyle w:val="TableParagraph"/>
              <w:spacing w:line="341" w:lineRule="exact"/>
              <w:ind w:left="-2"/>
              <w:rPr>
                <w:b/>
                <w:sz w:val="28"/>
              </w:rPr>
            </w:pPr>
            <w:r>
              <w:rPr>
                <w:b/>
                <w:sz w:val="28"/>
              </w:rPr>
              <w:t>不超过 </w:t>
            </w:r>
            <w:r>
              <w:rPr>
                <w:rFonts w:ascii="Times New Roman" w:eastAsia="Times New Roman"/>
                <w:b/>
                <w:sz w:val="28"/>
              </w:rPr>
              <w:t>3 </w:t>
            </w:r>
            <w:r>
              <w:rPr>
                <w:b/>
                <w:sz w:val="28"/>
              </w:rPr>
              <w:t>人</w:t>
            </w:r>
          </w:p>
        </w:tc>
      </w:tr>
      <w:tr>
        <w:trPr>
          <w:trHeight w:val="780" w:hRule="atLeast"/>
        </w:trPr>
        <w:tc>
          <w:tcPr>
            <w:tcW w:w="2129" w:type="dxa"/>
          </w:tcPr>
          <w:p>
            <w:pPr>
              <w:pStyle w:val="TableParagraph"/>
              <w:spacing w:before="184"/>
              <w:ind w:right="1"/>
              <w:jc w:val="right"/>
              <w:rPr>
                <w:sz w:val="32"/>
              </w:rPr>
            </w:pPr>
            <w:r>
              <w:rPr>
                <w:b/>
                <w:w w:val="95"/>
                <w:sz w:val="32"/>
              </w:rPr>
              <w:t>组委会成员</w:t>
            </w:r>
            <w:r>
              <w:rPr>
                <w:w w:val="95"/>
                <w:sz w:val="32"/>
              </w:rPr>
              <w:t>：</w:t>
            </w:r>
          </w:p>
        </w:tc>
        <w:tc>
          <w:tcPr>
            <w:tcW w:w="6595" w:type="dxa"/>
          </w:tcPr>
          <w:p>
            <w:pPr>
              <w:pStyle w:val="TableParagraph"/>
              <w:spacing w:before="184"/>
              <w:ind w:left="-2"/>
              <w:rPr>
                <w:sz w:val="32"/>
              </w:rPr>
            </w:pPr>
            <w:r>
              <w:rPr>
                <w:sz w:val="32"/>
              </w:rPr>
              <w:t>主办部门负责人（学部常务副主任或者局长）</w:t>
            </w:r>
          </w:p>
        </w:tc>
      </w:tr>
      <w:tr>
        <w:trPr>
          <w:trHeight w:val="781" w:hRule="atLeast"/>
        </w:trPr>
        <w:tc>
          <w:tcPr>
            <w:tcW w:w="2129" w:type="dxa"/>
          </w:tcPr>
          <w:p>
            <w:pPr>
              <w:pStyle w:val="TableParagraph"/>
              <w:spacing w:before="186"/>
              <w:ind w:right="1"/>
              <w:jc w:val="right"/>
              <w:rPr>
                <w:sz w:val="32"/>
              </w:rPr>
            </w:pPr>
            <w:r>
              <w:rPr>
                <w:b/>
                <w:w w:val="95"/>
                <w:sz w:val="32"/>
              </w:rPr>
              <w:t>秘书组成员</w:t>
            </w:r>
            <w:r>
              <w:rPr>
                <w:w w:val="95"/>
                <w:sz w:val="32"/>
              </w:rPr>
              <w:t>：</w:t>
            </w:r>
          </w:p>
        </w:tc>
        <w:tc>
          <w:tcPr>
            <w:tcW w:w="6595" w:type="dxa"/>
          </w:tcPr>
          <w:p>
            <w:pPr>
              <w:pStyle w:val="TableParagraph"/>
              <w:spacing w:before="186"/>
              <w:ind w:left="-2"/>
              <w:rPr>
                <w:sz w:val="32"/>
              </w:rPr>
            </w:pPr>
            <w:r>
              <w:rPr>
                <w:sz w:val="32"/>
              </w:rPr>
              <w:t>学科处负责人、政策局局秘、中青年科学家</w:t>
            </w:r>
          </w:p>
        </w:tc>
      </w:tr>
      <w:tr>
        <w:trPr>
          <w:trHeight w:val="781" w:hRule="atLeast"/>
        </w:trPr>
        <w:tc>
          <w:tcPr>
            <w:tcW w:w="2129" w:type="dxa"/>
          </w:tcPr>
          <w:p>
            <w:pPr>
              <w:pStyle w:val="TableParagraph"/>
              <w:spacing w:before="185"/>
              <w:ind w:right="1"/>
              <w:jc w:val="right"/>
              <w:rPr>
                <w:sz w:val="32"/>
              </w:rPr>
            </w:pPr>
            <w:r>
              <w:rPr>
                <w:b/>
                <w:w w:val="95"/>
                <w:sz w:val="32"/>
              </w:rPr>
              <w:t>论坛工作组</w:t>
            </w:r>
            <w:r>
              <w:rPr>
                <w:w w:val="95"/>
                <w:sz w:val="32"/>
              </w:rPr>
              <w:t>：</w:t>
            </w:r>
          </w:p>
        </w:tc>
        <w:tc>
          <w:tcPr>
            <w:tcW w:w="6595" w:type="dxa"/>
          </w:tcPr>
          <w:p>
            <w:pPr>
              <w:pStyle w:val="TableParagraph"/>
              <w:spacing w:before="185"/>
              <w:ind w:left="-2"/>
              <w:rPr>
                <w:sz w:val="32"/>
              </w:rPr>
            </w:pPr>
            <w:r>
              <w:rPr>
                <w:sz w:val="32"/>
              </w:rPr>
              <w:t>政策局局秘、学科处负责人与其他工作人员</w:t>
            </w:r>
          </w:p>
        </w:tc>
      </w:tr>
      <w:tr>
        <w:trPr>
          <w:trHeight w:val="550" w:hRule="atLeast"/>
        </w:trPr>
        <w:tc>
          <w:tcPr>
            <w:tcW w:w="2129" w:type="dxa"/>
          </w:tcPr>
          <w:p>
            <w:pPr>
              <w:pStyle w:val="TableParagraph"/>
              <w:spacing w:line="345" w:lineRule="exact" w:before="186"/>
              <w:ind w:right="1"/>
              <w:jc w:val="right"/>
              <w:rPr>
                <w:sz w:val="32"/>
              </w:rPr>
            </w:pPr>
            <w:r>
              <w:rPr>
                <w:b/>
                <w:w w:val="95"/>
                <w:sz w:val="32"/>
              </w:rPr>
              <w:t>会务组成员</w:t>
            </w:r>
            <w:r>
              <w:rPr>
                <w:w w:val="95"/>
                <w:sz w:val="32"/>
              </w:rPr>
              <w:t>：</w:t>
            </w:r>
          </w:p>
        </w:tc>
        <w:tc>
          <w:tcPr>
            <w:tcW w:w="6595" w:type="dxa"/>
          </w:tcPr>
          <w:p>
            <w:pPr>
              <w:pStyle w:val="TableParagraph"/>
              <w:spacing w:line="345" w:lineRule="exact" w:before="186"/>
              <w:ind w:left="-2"/>
              <w:rPr>
                <w:sz w:val="32"/>
              </w:rPr>
            </w:pPr>
            <w:r>
              <w:rPr>
                <w:sz w:val="32"/>
              </w:rPr>
              <w:t>会议承办部门会务负责人与联系方式</w:t>
            </w:r>
          </w:p>
        </w:tc>
      </w:tr>
    </w:tbl>
    <w:p>
      <w:pPr>
        <w:spacing w:after="0" w:line="345" w:lineRule="exact"/>
        <w:rPr>
          <w:sz w:val="32"/>
        </w:rPr>
        <w:sectPr>
          <w:pgSz w:w="11910" w:h="16840"/>
          <w:pgMar w:header="0" w:footer="1035" w:top="1580" w:bottom="1300" w:left="1020" w:right="560"/>
        </w:sectPr>
      </w:pPr>
    </w:p>
    <w:p>
      <w:pPr>
        <w:spacing w:line="613" w:lineRule="exact" w:before="0"/>
        <w:ind w:left="0" w:right="458" w:firstLine="0"/>
        <w:jc w:val="center"/>
        <w:rPr>
          <w:rFonts w:ascii="方正小标宋简体" w:eastAsia="方正小标宋简体" w:hint="eastAsia"/>
          <w:b/>
          <w:sz w:val="36"/>
        </w:rPr>
      </w:pPr>
      <w:r>
        <w:rPr>
          <w:rFonts w:ascii="方正小标宋简体" w:eastAsia="方正小标宋简体" w:hint="eastAsia"/>
          <w:b/>
          <w:sz w:val="36"/>
        </w:rPr>
        <w:t>论坛须知</w:t>
      </w:r>
    </w:p>
    <w:p>
      <w:pPr>
        <w:pStyle w:val="BodyText"/>
        <w:spacing w:before="5"/>
        <w:rPr>
          <w:rFonts w:ascii="方正小标宋简体"/>
          <w:b/>
          <w:sz w:val="42"/>
        </w:rPr>
      </w:pPr>
    </w:p>
    <w:p>
      <w:pPr>
        <w:pStyle w:val="BodyText"/>
        <w:ind w:left="780"/>
      </w:pPr>
      <w:r>
        <w:rPr/>
        <w:t>1</w:t>
      </w:r>
      <w:r>
        <w:rPr>
          <w:spacing w:val="-3"/>
        </w:rPr>
        <w:t>、本次论坛的意义</w:t>
      </w:r>
      <w:r>
        <w:rPr/>
        <w:t>（</w:t>
      </w:r>
      <w:r>
        <w:rPr>
          <w:spacing w:val="-1"/>
        </w:rPr>
        <w:t>请补充</w:t>
      </w:r>
      <w:r>
        <w:rPr>
          <w:spacing w:val="-140"/>
        </w:rPr>
        <w:t>）</w:t>
      </w:r>
      <w:r>
        <w:rPr/>
        <w:t>。</w:t>
      </w:r>
    </w:p>
    <w:p>
      <w:pPr>
        <w:pStyle w:val="BodyText"/>
        <w:spacing w:before="9"/>
        <w:rPr>
          <w:sz w:val="20"/>
        </w:rPr>
      </w:pPr>
    </w:p>
    <w:p>
      <w:pPr>
        <w:pStyle w:val="BodyText"/>
        <w:spacing w:line="417" w:lineRule="auto"/>
        <w:ind w:left="780" w:right="1234"/>
      </w:pPr>
      <w:r>
        <w:rPr/>
        <w:t>2、本论坛提倡学术民主，鼓励不同学术观点的碰撞和交流，希望与会者在宽松、活泼、和谐的研讨氛围中畅所欲言、各抒己见。</w:t>
      </w:r>
    </w:p>
    <w:p>
      <w:pPr>
        <w:pStyle w:val="BodyText"/>
        <w:spacing w:line="358" w:lineRule="exact"/>
        <w:ind w:left="780"/>
      </w:pPr>
      <w:r>
        <w:rPr/>
        <w:t>3、请与会者尽量全程出席会议，并积极参加研讨。</w:t>
      </w:r>
    </w:p>
    <w:p>
      <w:pPr>
        <w:pStyle w:val="BodyText"/>
        <w:spacing w:before="10"/>
        <w:rPr>
          <w:sz w:val="20"/>
        </w:rPr>
      </w:pPr>
    </w:p>
    <w:p>
      <w:pPr>
        <w:pStyle w:val="BodyText"/>
        <w:spacing w:line="417" w:lineRule="auto"/>
        <w:ind w:left="780" w:right="1234"/>
        <w:jc w:val="both"/>
      </w:pPr>
      <w:r>
        <w:rPr/>
        <w:t>4</w:t>
      </w:r>
      <w:r>
        <w:rPr>
          <w:spacing w:val="-1"/>
        </w:rPr>
        <w:t>、发言时突出重点、言简意赅，重在研讨，避免过多、过细地介绍</w:t>
      </w:r>
      <w:r>
        <w:rPr>
          <w:spacing w:val="-9"/>
        </w:rPr>
        <w:t>个人研究工作。讨论时每人每次发言不超过 </w:t>
      </w:r>
      <w:r>
        <w:rPr/>
        <w:t>5</w:t>
      </w:r>
      <w:r>
        <w:rPr>
          <w:spacing w:val="-14"/>
        </w:rPr>
        <w:t> 分钟，可多次发言；发</w:t>
      </w:r>
      <w:r>
        <w:rPr>
          <w:spacing w:val="-8"/>
        </w:rPr>
        <w:t>言前请先介绍自己的姓名和工作单位。</w:t>
      </w:r>
    </w:p>
    <w:p>
      <w:pPr>
        <w:pStyle w:val="BodyText"/>
        <w:spacing w:line="417" w:lineRule="auto"/>
        <w:ind w:left="780" w:right="1237"/>
        <w:jc w:val="both"/>
      </w:pPr>
      <w:r>
        <w:rPr/>
        <w:t>5</w:t>
      </w:r>
      <w:r>
        <w:rPr>
          <w:spacing w:val="-8"/>
        </w:rPr>
        <w:t>、请备有发言用 </w:t>
      </w:r>
      <w:r>
        <w:rPr/>
        <w:t>ppt</w:t>
      </w:r>
      <w:r>
        <w:rPr>
          <w:spacing w:val="-7"/>
        </w:rPr>
        <w:t> 文件的专家提前将文件拷贝到会务组的计算机</w:t>
      </w:r>
      <w:r>
        <w:rPr>
          <w:spacing w:val="-5"/>
        </w:rPr>
        <w:t>上，以提高论坛效率。</w:t>
      </w:r>
    </w:p>
    <w:p>
      <w:pPr>
        <w:pStyle w:val="BodyText"/>
        <w:spacing w:line="358" w:lineRule="exact"/>
        <w:ind w:left="780"/>
      </w:pPr>
      <w:r>
        <w:rPr/>
        <w:t>6、进入会场前请关闭手机，或设置为静音状态，以免影响会场秩序。</w:t>
      </w:r>
    </w:p>
    <w:p>
      <w:pPr>
        <w:pStyle w:val="BodyText"/>
        <w:spacing w:before="8"/>
        <w:rPr>
          <w:sz w:val="20"/>
        </w:rPr>
      </w:pPr>
    </w:p>
    <w:p>
      <w:pPr>
        <w:pStyle w:val="BodyText"/>
        <w:spacing w:line="417" w:lineRule="auto"/>
        <w:ind w:left="780" w:right="1232"/>
      </w:pPr>
      <w:r>
        <w:rPr/>
        <w:t>7、会后秘书组按论坛要求提交会议纪要和学术综述（</w:t>
      </w:r>
      <w:r>
        <w:rPr>
          <w:spacing w:val="-3"/>
        </w:rPr>
        <w:t>或提交战略研</w:t>
      </w:r>
      <w:r>
        <w:rPr>
          <w:spacing w:val="-1"/>
        </w:rPr>
        <w:t>究报告</w:t>
      </w:r>
      <w:r>
        <w:rPr>
          <w:spacing w:val="-140"/>
        </w:rPr>
        <w:t>）</w:t>
      </w:r>
      <w:r>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2"/>
        </w:rPr>
      </w:pPr>
      <w:r>
        <w:rPr/>
        <w:pict>
          <v:group style="position:absolute;margin-left:54pt;margin-top:9.817884pt;width:481.5pt;height:6pt;mso-position-horizontal-relative:page;mso-position-vertical-relative:paragraph;z-index:-251646976;mso-wrap-distance-left:0;mso-wrap-distance-right:0" coordorigin="1080,196" coordsize="9630,120">
            <v:line style="position:absolute" from="1080,206" to="10710,206" stroked="true" strokeweight="1pt" strokecolor="#000000">
              <v:stroke dashstyle="solid"/>
            </v:line>
            <v:line style="position:absolute" from="1080,256" to="10710,256" stroked="true" strokeweight="2pt" strokecolor="#000000">
              <v:stroke dashstyle="solid"/>
            </v:line>
            <v:line style="position:absolute" from="1080,306" to="10710,306" stroked="true" strokeweight="1pt" strokecolor="#000000">
              <v:stroke dashstyle="solid"/>
            </v:line>
            <w10:wrap type="topAndBottom"/>
          </v:group>
        </w:pict>
      </w:r>
    </w:p>
    <w:p>
      <w:pPr>
        <w:pStyle w:val="BodyText"/>
        <w:spacing w:before="11"/>
        <w:rPr>
          <w:sz w:val="27"/>
        </w:rPr>
      </w:pPr>
    </w:p>
    <w:p>
      <w:pPr>
        <w:pStyle w:val="Heading8"/>
        <w:spacing w:before="1"/>
        <w:rPr>
          <w:rFonts w:ascii="宋体" w:eastAsia="宋体" w:hint="eastAsia"/>
        </w:rPr>
      </w:pPr>
      <w:r>
        <w:rPr>
          <w:rFonts w:ascii="宋体" w:eastAsia="宋体" w:hint="eastAsia"/>
        </w:rPr>
        <w:t>就餐时间、地点：</w:t>
      </w:r>
    </w:p>
    <w:p>
      <w:pPr>
        <w:pStyle w:val="BodyText"/>
        <w:spacing w:before="8"/>
        <w:rPr>
          <w:b/>
          <w:sz w:val="20"/>
        </w:rPr>
      </w:pPr>
    </w:p>
    <w:p>
      <w:pPr>
        <w:pStyle w:val="BodyText"/>
        <w:tabs>
          <w:tab w:pos="3584" w:val="left" w:leader="none"/>
          <w:tab w:pos="5965" w:val="left" w:leader="none"/>
        </w:tabs>
        <w:spacing w:line="417" w:lineRule="auto" w:before="1"/>
        <w:ind w:left="780" w:right="2819"/>
      </w:pPr>
      <w:r>
        <w:rPr/>
        <w:t>早餐：7:00-8:30</w:t>
        <w:tab/>
      </w:r>
      <w:r>
        <w:rPr>
          <w:spacing w:val="-3"/>
        </w:rPr>
        <w:t>午</w:t>
      </w:r>
      <w:r>
        <w:rPr/>
        <w:t>餐：12:00</w:t>
        <w:tab/>
      </w:r>
      <w:r>
        <w:rPr>
          <w:spacing w:val="-3"/>
        </w:rPr>
        <w:t>晚</w:t>
      </w:r>
      <w:r>
        <w:rPr/>
        <w:t>餐</w:t>
      </w:r>
      <w:r>
        <w:rPr>
          <w:spacing w:val="-4"/>
        </w:rPr>
        <w:t>：18:00 </w:t>
      </w:r>
      <w:r>
        <w:rPr/>
        <w:t>地点：</w:t>
      </w:r>
    </w:p>
    <w:p>
      <w:pPr>
        <w:spacing w:after="0" w:line="417" w:lineRule="auto"/>
        <w:sectPr>
          <w:pgSz w:w="11910" w:h="16840"/>
          <w:pgMar w:header="0" w:footer="1035" w:top="1440" w:bottom="1300" w:left="1020" w:right="560"/>
        </w:sectPr>
      </w:pPr>
    </w:p>
    <w:p>
      <w:pPr>
        <w:pStyle w:val="Heading4"/>
        <w:spacing w:line="613" w:lineRule="exact"/>
        <w:ind w:right="458"/>
      </w:pPr>
      <w:r>
        <w:rPr/>
        <w:t>会议日程</w:t>
      </w:r>
    </w:p>
    <w:p>
      <w:pPr>
        <w:pStyle w:val="BodyText"/>
        <w:spacing w:before="9" w:after="1"/>
        <w:rPr>
          <w:rFonts w:ascii="方正小标宋简体"/>
          <w:b/>
          <w:sz w:val="26"/>
        </w:rPr>
      </w:pPr>
    </w:p>
    <w:tbl>
      <w:tblPr>
        <w:tblW w:w="0" w:type="auto"/>
        <w:jc w:val="left"/>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27"/>
        <w:gridCol w:w="6845"/>
        <w:gridCol w:w="1273"/>
      </w:tblGrid>
      <w:tr>
        <w:trPr>
          <w:trHeight w:val="567" w:hRule="atLeast"/>
        </w:trPr>
        <w:tc>
          <w:tcPr>
            <w:tcW w:w="1527" w:type="dxa"/>
          </w:tcPr>
          <w:p>
            <w:pPr>
              <w:pStyle w:val="TableParagraph"/>
              <w:spacing w:before="129"/>
              <w:ind w:left="143" w:right="124"/>
              <w:jc w:val="center"/>
              <w:rPr>
                <w:b/>
                <w:sz w:val="24"/>
              </w:rPr>
            </w:pPr>
            <w:r>
              <w:rPr>
                <w:b/>
                <w:sz w:val="24"/>
              </w:rPr>
              <w:t>*月*日</w:t>
            </w:r>
          </w:p>
        </w:tc>
        <w:tc>
          <w:tcPr>
            <w:tcW w:w="8118" w:type="dxa"/>
            <w:gridSpan w:val="2"/>
          </w:tcPr>
          <w:p>
            <w:pPr>
              <w:pStyle w:val="TableParagraph"/>
              <w:spacing w:before="129"/>
              <w:ind w:left="916" w:right="898"/>
              <w:jc w:val="center"/>
              <w:rPr>
                <w:sz w:val="24"/>
              </w:rPr>
            </w:pPr>
            <w:r>
              <w:rPr>
                <w:sz w:val="24"/>
              </w:rPr>
              <w:t>会议报到（地点）</w:t>
            </w:r>
          </w:p>
        </w:tc>
      </w:tr>
      <w:tr>
        <w:trPr>
          <w:trHeight w:val="1074" w:hRule="atLeast"/>
        </w:trPr>
        <w:tc>
          <w:tcPr>
            <w:tcW w:w="1527" w:type="dxa"/>
          </w:tcPr>
          <w:p>
            <w:pPr>
              <w:pStyle w:val="TableParagraph"/>
              <w:spacing w:before="12"/>
              <w:rPr>
                <w:rFonts w:ascii="方正小标宋简体"/>
                <w:b/>
                <w:sz w:val="12"/>
              </w:rPr>
            </w:pPr>
          </w:p>
          <w:p>
            <w:pPr>
              <w:pStyle w:val="TableParagraph"/>
              <w:ind w:left="143" w:right="124"/>
              <w:jc w:val="center"/>
              <w:rPr>
                <w:sz w:val="24"/>
              </w:rPr>
            </w:pPr>
            <w:r>
              <w:rPr>
                <w:sz w:val="24"/>
              </w:rPr>
              <w:t>16:00-17:0</w:t>
            </w:r>
          </w:p>
          <w:p>
            <w:pPr>
              <w:pStyle w:val="TableParagraph"/>
              <w:spacing w:before="5"/>
              <w:ind w:left="19"/>
              <w:jc w:val="center"/>
              <w:rPr>
                <w:sz w:val="24"/>
              </w:rPr>
            </w:pPr>
            <w:r>
              <w:rPr>
                <w:sz w:val="24"/>
              </w:rPr>
              <w:t>0</w:t>
            </w:r>
          </w:p>
        </w:tc>
        <w:tc>
          <w:tcPr>
            <w:tcW w:w="8118" w:type="dxa"/>
            <w:gridSpan w:val="2"/>
          </w:tcPr>
          <w:p>
            <w:pPr>
              <w:pStyle w:val="TableParagraph"/>
              <w:spacing w:before="12"/>
              <w:rPr>
                <w:rFonts w:ascii="方正小标宋简体"/>
                <w:b/>
                <w:sz w:val="12"/>
              </w:rPr>
            </w:pPr>
          </w:p>
          <w:p>
            <w:pPr>
              <w:pStyle w:val="TableParagraph"/>
              <w:ind w:left="916" w:right="898"/>
              <w:jc w:val="center"/>
              <w:rPr>
                <w:sz w:val="24"/>
              </w:rPr>
            </w:pPr>
            <w:r>
              <w:rPr>
                <w:b/>
                <w:sz w:val="24"/>
              </w:rPr>
              <w:t>预备会议</w:t>
            </w:r>
            <w:r>
              <w:rPr>
                <w:sz w:val="24"/>
              </w:rPr>
              <w:t>（参加人：论坛主席、组委会、秘书组、工作组）</w:t>
            </w:r>
          </w:p>
          <w:p>
            <w:pPr>
              <w:pStyle w:val="TableParagraph"/>
              <w:spacing w:before="5"/>
              <w:ind w:left="916" w:right="537"/>
              <w:jc w:val="center"/>
              <w:rPr>
                <w:b/>
                <w:sz w:val="24"/>
              </w:rPr>
            </w:pPr>
            <w:r>
              <w:rPr>
                <w:b/>
                <w:sz w:val="24"/>
              </w:rPr>
              <w:t>会议室：**</w:t>
            </w:r>
          </w:p>
        </w:tc>
      </w:tr>
      <w:tr>
        <w:trPr>
          <w:trHeight w:val="568" w:hRule="atLeast"/>
        </w:trPr>
        <w:tc>
          <w:tcPr>
            <w:tcW w:w="1527" w:type="dxa"/>
          </w:tcPr>
          <w:p>
            <w:pPr>
              <w:pStyle w:val="TableParagraph"/>
              <w:spacing w:before="127"/>
              <w:ind w:left="143" w:right="124"/>
              <w:jc w:val="center"/>
              <w:rPr>
                <w:b/>
                <w:sz w:val="24"/>
              </w:rPr>
            </w:pPr>
            <w:r>
              <w:rPr>
                <w:b/>
                <w:sz w:val="24"/>
              </w:rPr>
              <w:t>*月*日</w:t>
            </w:r>
          </w:p>
        </w:tc>
        <w:tc>
          <w:tcPr>
            <w:tcW w:w="6845" w:type="dxa"/>
          </w:tcPr>
          <w:p>
            <w:pPr>
              <w:pStyle w:val="TableParagraph"/>
              <w:spacing w:before="127"/>
              <w:ind w:left="901" w:right="877"/>
              <w:jc w:val="center"/>
              <w:rPr>
                <w:b/>
                <w:sz w:val="24"/>
              </w:rPr>
            </w:pPr>
            <w:r>
              <w:rPr>
                <w:b/>
                <w:sz w:val="24"/>
              </w:rPr>
              <w:t>活动内容</w:t>
            </w:r>
          </w:p>
        </w:tc>
        <w:tc>
          <w:tcPr>
            <w:tcW w:w="1273" w:type="dxa"/>
            <w:tcBorders>
              <w:bottom w:val="single" w:sz="4" w:space="0" w:color="000000"/>
            </w:tcBorders>
          </w:tcPr>
          <w:p>
            <w:pPr>
              <w:pStyle w:val="TableParagraph"/>
              <w:spacing w:before="127"/>
              <w:ind w:left="276"/>
              <w:rPr>
                <w:b/>
                <w:sz w:val="24"/>
              </w:rPr>
            </w:pPr>
            <w:r>
              <w:rPr>
                <w:b/>
                <w:sz w:val="24"/>
              </w:rPr>
              <w:t>主持人</w:t>
            </w:r>
          </w:p>
        </w:tc>
      </w:tr>
      <w:tr>
        <w:trPr>
          <w:trHeight w:val="1403" w:hRule="atLeast"/>
        </w:trPr>
        <w:tc>
          <w:tcPr>
            <w:tcW w:w="1527" w:type="dxa"/>
          </w:tcPr>
          <w:p>
            <w:pPr>
              <w:pStyle w:val="TableParagraph"/>
              <w:rPr>
                <w:rFonts w:ascii="Times New Roman"/>
                <w:sz w:val="24"/>
              </w:rPr>
            </w:pPr>
          </w:p>
        </w:tc>
        <w:tc>
          <w:tcPr>
            <w:tcW w:w="6845" w:type="dxa"/>
          </w:tcPr>
          <w:p>
            <w:pPr>
              <w:pStyle w:val="TableParagraph"/>
              <w:spacing w:line="307" w:lineRule="exact"/>
              <w:ind w:left="901" w:right="877"/>
              <w:jc w:val="center"/>
              <w:rPr>
                <w:sz w:val="24"/>
              </w:rPr>
            </w:pPr>
            <w:r>
              <w:rPr>
                <w:b/>
                <w:sz w:val="24"/>
              </w:rPr>
              <w:t>开幕式</w:t>
            </w:r>
            <w:r>
              <w:rPr>
                <w:sz w:val="24"/>
              </w:rPr>
              <w:t>（地点）</w:t>
            </w:r>
          </w:p>
          <w:p>
            <w:pPr>
              <w:pStyle w:val="TableParagraph"/>
              <w:spacing w:line="244" w:lineRule="auto" w:before="4"/>
              <w:ind w:left="1384" w:right="877"/>
              <w:jc w:val="center"/>
              <w:rPr>
                <w:sz w:val="24"/>
              </w:rPr>
            </w:pPr>
            <w:r>
              <w:rPr>
                <w:sz w:val="24"/>
              </w:rPr>
              <w:t>承办单位领导致辞（根据实际需要可安排） 自然科学基金委领导讲话</w:t>
            </w:r>
          </w:p>
          <w:p>
            <w:pPr>
              <w:pStyle w:val="TableParagraph"/>
              <w:spacing w:before="77"/>
              <w:ind w:left="902" w:right="877"/>
              <w:jc w:val="center"/>
              <w:rPr>
                <w:sz w:val="24"/>
              </w:rPr>
            </w:pPr>
            <w:r>
              <w:rPr>
                <w:sz w:val="24"/>
              </w:rPr>
              <w:t>论坛执行主席代表致辞</w:t>
            </w:r>
          </w:p>
        </w:tc>
        <w:tc>
          <w:tcPr>
            <w:tcW w:w="1273" w:type="dxa"/>
            <w:tcBorders>
              <w:top w:val="single" w:sz="4" w:space="0" w:color="000000"/>
            </w:tcBorders>
          </w:tcPr>
          <w:p>
            <w:pPr>
              <w:pStyle w:val="TableParagraph"/>
              <w:rPr>
                <w:rFonts w:ascii="Times New Roman"/>
                <w:sz w:val="24"/>
              </w:rPr>
            </w:pPr>
          </w:p>
        </w:tc>
      </w:tr>
      <w:tr>
        <w:trPr>
          <w:trHeight w:val="565" w:hRule="atLeast"/>
        </w:trPr>
        <w:tc>
          <w:tcPr>
            <w:tcW w:w="9645" w:type="dxa"/>
            <w:gridSpan w:val="3"/>
          </w:tcPr>
          <w:p>
            <w:pPr>
              <w:pStyle w:val="TableParagraph"/>
              <w:spacing w:before="126"/>
              <w:ind w:left="2752" w:right="2735"/>
              <w:jc w:val="center"/>
              <w:rPr>
                <w:b/>
                <w:sz w:val="24"/>
              </w:rPr>
            </w:pPr>
            <w:r>
              <w:rPr>
                <w:b/>
                <w:sz w:val="24"/>
              </w:rPr>
              <w:t>主题报告（报告**分钟，讨论**分钟）</w:t>
            </w:r>
          </w:p>
        </w:tc>
      </w:tr>
      <w:tr>
        <w:trPr>
          <w:trHeight w:val="567" w:hRule="atLeast"/>
        </w:trPr>
        <w:tc>
          <w:tcPr>
            <w:tcW w:w="1527" w:type="dxa"/>
          </w:tcPr>
          <w:p>
            <w:pPr>
              <w:pStyle w:val="TableParagraph"/>
              <w:spacing w:before="129"/>
              <w:ind w:left="143" w:right="124"/>
              <w:jc w:val="center"/>
              <w:rPr>
                <w:sz w:val="24"/>
              </w:rPr>
            </w:pPr>
            <w:r>
              <w:rPr>
                <w:sz w:val="24"/>
              </w:rPr>
              <w:t>时间</w:t>
            </w:r>
          </w:p>
        </w:tc>
        <w:tc>
          <w:tcPr>
            <w:tcW w:w="6845" w:type="dxa"/>
          </w:tcPr>
          <w:p>
            <w:pPr>
              <w:pStyle w:val="TableParagraph"/>
              <w:rPr>
                <w:rFonts w:ascii="Times New Roman"/>
                <w:sz w:val="24"/>
              </w:rPr>
            </w:pPr>
          </w:p>
        </w:tc>
        <w:tc>
          <w:tcPr>
            <w:tcW w:w="1273" w:type="dxa"/>
          </w:tcPr>
          <w:p>
            <w:pPr>
              <w:pStyle w:val="TableParagraph"/>
              <w:rPr>
                <w:rFonts w:ascii="Times New Roman"/>
                <w:sz w:val="24"/>
              </w:rPr>
            </w:pPr>
          </w:p>
        </w:tc>
      </w:tr>
      <w:tr>
        <w:trPr>
          <w:trHeight w:val="568" w:hRule="atLeast"/>
        </w:trPr>
        <w:tc>
          <w:tcPr>
            <w:tcW w:w="9645" w:type="dxa"/>
            <w:gridSpan w:val="3"/>
          </w:tcPr>
          <w:p>
            <w:pPr>
              <w:pStyle w:val="TableParagraph"/>
              <w:spacing w:before="129"/>
              <w:ind w:left="2752" w:right="2735"/>
              <w:jc w:val="center"/>
              <w:rPr>
                <w:b/>
                <w:sz w:val="24"/>
              </w:rPr>
            </w:pPr>
            <w:r>
              <w:rPr>
                <w:b/>
                <w:sz w:val="24"/>
              </w:rPr>
              <w:t>大会报告（报告**分钟，讨论**分钟）</w:t>
            </w:r>
          </w:p>
        </w:tc>
      </w:tr>
      <w:tr>
        <w:trPr>
          <w:trHeight w:val="555" w:hRule="atLeast"/>
        </w:trPr>
        <w:tc>
          <w:tcPr>
            <w:tcW w:w="1527" w:type="dxa"/>
          </w:tcPr>
          <w:p>
            <w:pPr>
              <w:pStyle w:val="TableParagraph"/>
              <w:spacing w:before="122"/>
              <w:ind w:left="143" w:right="124"/>
              <w:jc w:val="center"/>
              <w:rPr>
                <w:sz w:val="24"/>
              </w:rPr>
            </w:pPr>
            <w:r>
              <w:rPr>
                <w:sz w:val="24"/>
              </w:rPr>
              <w:t>时间</w:t>
            </w:r>
          </w:p>
        </w:tc>
        <w:tc>
          <w:tcPr>
            <w:tcW w:w="6845" w:type="dxa"/>
          </w:tcPr>
          <w:p>
            <w:pPr>
              <w:pStyle w:val="TableParagraph"/>
              <w:rPr>
                <w:rFonts w:ascii="Times New Roman"/>
                <w:sz w:val="24"/>
              </w:rPr>
            </w:pPr>
          </w:p>
        </w:tc>
        <w:tc>
          <w:tcPr>
            <w:tcW w:w="1273" w:type="dxa"/>
            <w:vMerge w:val="restart"/>
          </w:tcPr>
          <w:p>
            <w:pPr>
              <w:pStyle w:val="TableParagraph"/>
              <w:rPr>
                <w:rFonts w:ascii="Times New Roman"/>
                <w:sz w:val="24"/>
              </w:rPr>
            </w:pPr>
          </w:p>
        </w:tc>
      </w:tr>
      <w:tr>
        <w:trPr>
          <w:trHeight w:val="565" w:hRule="atLeast"/>
        </w:trPr>
        <w:tc>
          <w:tcPr>
            <w:tcW w:w="1527" w:type="dxa"/>
          </w:tcPr>
          <w:p>
            <w:pPr>
              <w:pStyle w:val="TableParagraph"/>
              <w:rPr>
                <w:rFonts w:ascii="Times New Roman"/>
                <w:sz w:val="24"/>
              </w:rPr>
            </w:pPr>
          </w:p>
        </w:tc>
        <w:tc>
          <w:tcPr>
            <w:tcW w:w="6845" w:type="dxa"/>
          </w:tcPr>
          <w:p>
            <w:pPr>
              <w:pStyle w:val="TableParagraph"/>
              <w:rPr>
                <w:rFonts w:ascii="Times New Roman"/>
                <w:sz w:val="24"/>
              </w:rPr>
            </w:pPr>
          </w:p>
        </w:tc>
        <w:tc>
          <w:tcPr>
            <w:tcW w:w="1273" w:type="dxa"/>
            <w:vMerge/>
            <w:tcBorders>
              <w:top w:val="nil"/>
            </w:tcBorders>
          </w:tcPr>
          <w:p>
            <w:pPr>
              <w:rPr>
                <w:sz w:val="2"/>
                <w:szCs w:val="2"/>
              </w:rPr>
            </w:pPr>
          </w:p>
        </w:tc>
      </w:tr>
      <w:tr>
        <w:trPr>
          <w:trHeight w:val="568" w:hRule="atLeast"/>
        </w:trPr>
        <w:tc>
          <w:tcPr>
            <w:tcW w:w="1527" w:type="dxa"/>
          </w:tcPr>
          <w:p>
            <w:pPr>
              <w:pStyle w:val="TableParagraph"/>
              <w:rPr>
                <w:rFonts w:ascii="Times New Roman"/>
                <w:sz w:val="24"/>
              </w:rPr>
            </w:pPr>
          </w:p>
        </w:tc>
        <w:tc>
          <w:tcPr>
            <w:tcW w:w="6845" w:type="dxa"/>
          </w:tcPr>
          <w:p>
            <w:pPr>
              <w:pStyle w:val="TableParagraph"/>
              <w:rPr>
                <w:rFonts w:ascii="Times New Roman"/>
                <w:sz w:val="24"/>
              </w:rPr>
            </w:pPr>
          </w:p>
        </w:tc>
        <w:tc>
          <w:tcPr>
            <w:tcW w:w="1273" w:type="dxa"/>
            <w:vMerge/>
            <w:tcBorders>
              <w:top w:val="nil"/>
            </w:tcBorders>
          </w:tcPr>
          <w:p>
            <w:pPr>
              <w:rPr>
                <w:sz w:val="2"/>
                <w:szCs w:val="2"/>
              </w:rPr>
            </w:pPr>
          </w:p>
        </w:tc>
      </w:tr>
      <w:tr>
        <w:trPr>
          <w:trHeight w:val="565" w:hRule="atLeast"/>
        </w:trPr>
        <w:tc>
          <w:tcPr>
            <w:tcW w:w="1527" w:type="dxa"/>
          </w:tcPr>
          <w:p>
            <w:pPr>
              <w:pStyle w:val="TableParagraph"/>
              <w:rPr>
                <w:rFonts w:ascii="Times New Roman"/>
                <w:sz w:val="24"/>
              </w:rPr>
            </w:pPr>
          </w:p>
        </w:tc>
        <w:tc>
          <w:tcPr>
            <w:tcW w:w="6845" w:type="dxa"/>
          </w:tcPr>
          <w:p>
            <w:pPr>
              <w:pStyle w:val="TableParagraph"/>
              <w:rPr>
                <w:rFonts w:ascii="Times New Roman"/>
                <w:sz w:val="24"/>
              </w:rPr>
            </w:pPr>
          </w:p>
        </w:tc>
        <w:tc>
          <w:tcPr>
            <w:tcW w:w="1273" w:type="dxa"/>
            <w:vMerge/>
            <w:tcBorders>
              <w:top w:val="nil"/>
            </w:tcBorders>
          </w:tcPr>
          <w:p>
            <w:pPr>
              <w:rPr>
                <w:sz w:val="2"/>
                <w:szCs w:val="2"/>
              </w:rPr>
            </w:pPr>
          </w:p>
        </w:tc>
      </w:tr>
      <w:tr>
        <w:trPr>
          <w:trHeight w:val="568" w:hRule="atLeast"/>
        </w:trPr>
        <w:tc>
          <w:tcPr>
            <w:tcW w:w="1527" w:type="dxa"/>
          </w:tcPr>
          <w:p>
            <w:pPr>
              <w:pStyle w:val="TableParagraph"/>
              <w:rPr>
                <w:rFonts w:ascii="Times New Roman"/>
                <w:sz w:val="24"/>
              </w:rPr>
            </w:pPr>
          </w:p>
        </w:tc>
        <w:tc>
          <w:tcPr>
            <w:tcW w:w="6845" w:type="dxa"/>
          </w:tcPr>
          <w:p>
            <w:pPr>
              <w:pStyle w:val="TableParagraph"/>
              <w:rPr>
                <w:rFonts w:ascii="Times New Roman"/>
                <w:sz w:val="24"/>
              </w:rPr>
            </w:pPr>
          </w:p>
        </w:tc>
        <w:tc>
          <w:tcPr>
            <w:tcW w:w="1273" w:type="dxa"/>
            <w:vMerge/>
            <w:tcBorders>
              <w:top w:val="nil"/>
            </w:tcBorders>
          </w:tcPr>
          <w:p>
            <w:pPr>
              <w:rPr>
                <w:sz w:val="2"/>
                <w:szCs w:val="2"/>
              </w:rPr>
            </w:pPr>
          </w:p>
        </w:tc>
      </w:tr>
      <w:tr>
        <w:trPr>
          <w:trHeight w:val="567" w:hRule="atLeast"/>
        </w:trPr>
        <w:tc>
          <w:tcPr>
            <w:tcW w:w="1527" w:type="dxa"/>
          </w:tcPr>
          <w:p>
            <w:pPr>
              <w:pStyle w:val="TableParagraph"/>
              <w:rPr>
                <w:rFonts w:ascii="Times New Roman"/>
                <w:sz w:val="24"/>
              </w:rPr>
            </w:pPr>
          </w:p>
        </w:tc>
        <w:tc>
          <w:tcPr>
            <w:tcW w:w="6845" w:type="dxa"/>
          </w:tcPr>
          <w:p>
            <w:pPr>
              <w:pStyle w:val="TableParagraph"/>
              <w:rPr>
                <w:rFonts w:ascii="Times New Roman"/>
                <w:sz w:val="24"/>
              </w:rPr>
            </w:pPr>
          </w:p>
        </w:tc>
        <w:tc>
          <w:tcPr>
            <w:tcW w:w="1273" w:type="dxa"/>
            <w:vMerge/>
            <w:tcBorders>
              <w:top w:val="nil"/>
            </w:tcBorders>
          </w:tcPr>
          <w:p>
            <w:pPr>
              <w:rPr>
                <w:sz w:val="2"/>
                <w:szCs w:val="2"/>
              </w:rPr>
            </w:pPr>
          </w:p>
        </w:tc>
      </w:tr>
      <w:tr>
        <w:trPr>
          <w:trHeight w:val="565" w:hRule="atLeast"/>
        </w:trPr>
        <w:tc>
          <w:tcPr>
            <w:tcW w:w="1527" w:type="dxa"/>
          </w:tcPr>
          <w:p>
            <w:pPr>
              <w:pStyle w:val="TableParagraph"/>
              <w:rPr>
                <w:rFonts w:ascii="Times New Roman"/>
                <w:sz w:val="24"/>
              </w:rPr>
            </w:pPr>
          </w:p>
        </w:tc>
        <w:tc>
          <w:tcPr>
            <w:tcW w:w="8118" w:type="dxa"/>
            <w:gridSpan w:val="2"/>
          </w:tcPr>
          <w:p>
            <w:pPr>
              <w:pStyle w:val="TableParagraph"/>
              <w:spacing w:before="127"/>
              <w:ind w:left="916" w:right="659"/>
              <w:jc w:val="center"/>
              <w:rPr>
                <w:b/>
                <w:sz w:val="24"/>
              </w:rPr>
            </w:pPr>
            <w:r>
              <w:rPr>
                <w:b/>
                <w:sz w:val="24"/>
              </w:rPr>
              <w:t>午 餐</w:t>
            </w:r>
          </w:p>
        </w:tc>
      </w:tr>
      <w:tr>
        <w:trPr>
          <w:trHeight w:val="567" w:hRule="atLeast"/>
        </w:trPr>
        <w:tc>
          <w:tcPr>
            <w:tcW w:w="1527" w:type="dxa"/>
          </w:tcPr>
          <w:p>
            <w:pPr>
              <w:pStyle w:val="TableParagraph"/>
              <w:spacing w:before="129"/>
              <w:ind w:left="143" w:right="124"/>
              <w:jc w:val="center"/>
              <w:rPr>
                <w:sz w:val="24"/>
              </w:rPr>
            </w:pPr>
            <w:r>
              <w:rPr>
                <w:sz w:val="24"/>
              </w:rPr>
              <w:t>时间</w:t>
            </w:r>
          </w:p>
        </w:tc>
        <w:tc>
          <w:tcPr>
            <w:tcW w:w="6845" w:type="dxa"/>
          </w:tcPr>
          <w:p>
            <w:pPr>
              <w:pStyle w:val="TableParagraph"/>
              <w:rPr>
                <w:rFonts w:ascii="Times New Roman"/>
                <w:sz w:val="24"/>
              </w:rPr>
            </w:pPr>
          </w:p>
        </w:tc>
        <w:tc>
          <w:tcPr>
            <w:tcW w:w="1273" w:type="dxa"/>
            <w:vMerge w:val="restart"/>
            <w:tcBorders>
              <w:top w:val="single" w:sz="4" w:space="0" w:color="000000"/>
            </w:tcBorders>
          </w:tcPr>
          <w:p>
            <w:pPr>
              <w:pStyle w:val="TableParagraph"/>
              <w:rPr>
                <w:rFonts w:ascii="Times New Roman"/>
                <w:sz w:val="24"/>
              </w:rPr>
            </w:pPr>
          </w:p>
        </w:tc>
      </w:tr>
      <w:tr>
        <w:trPr>
          <w:trHeight w:val="465" w:hRule="atLeast"/>
        </w:trPr>
        <w:tc>
          <w:tcPr>
            <w:tcW w:w="1527" w:type="dxa"/>
          </w:tcPr>
          <w:p>
            <w:pPr>
              <w:pStyle w:val="TableParagraph"/>
              <w:rPr>
                <w:rFonts w:ascii="Times New Roman"/>
                <w:sz w:val="24"/>
              </w:rPr>
            </w:pPr>
          </w:p>
        </w:tc>
        <w:tc>
          <w:tcPr>
            <w:tcW w:w="6845" w:type="dxa"/>
          </w:tcPr>
          <w:p>
            <w:pPr>
              <w:pStyle w:val="TableParagraph"/>
              <w:rPr>
                <w:rFonts w:ascii="Times New Roman"/>
                <w:sz w:val="24"/>
              </w:rPr>
            </w:pPr>
          </w:p>
        </w:tc>
        <w:tc>
          <w:tcPr>
            <w:tcW w:w="1273" w:type="dxa"/>
            <w:vMerge/>
            <w:tcBorders>
              <w:top w:val="nil"/>
            </w:tcBorders>
          </w:tcPr>
          <w:p>
            <w:pPr>
              <w:rPr>
                <w:sz w:val="2"/>
                <w:szCs w:val="2"/>
              </w:rPr>
            </w:pPr>
          </w:p>
        </w:tc>
      </w:tr>
      <w:tr>
        <w:trPr>
          <w:trHeight w:val="445" w:hRule="atLeast"/>
        </w:trPr>
        <w:tc>
          <w:tcPr>
            <w:tcW w:w="1527" w:type="dxa"/>
          </w:tcPr>
          <w:p>
            <w:pPr>
              <w:pStyle w:val="TableParagraph"/>
              <w:rPr>
                <w:rFonts w:ascii="Times New Roman"/>
                <w:sz w:val="24"/>
              </w:rPr>
            </w:pPr>
          </w:p>
        </w:tc>
        <w:tc>
          <w:tcPr>
            <w:tcW w:w="6845" w:type="dxa"/>
          </w:tcPr>
          <w:p>
            <w:pPr>
              <w:pStyle w:val="TableParagraph"/>
              <w:rPr>
                <w:rFonts w:ascii="Times New Roman"/>
                <w:sz w:val="24"/>
              </w:rPr>
            </w:pPr>
          </w:p>
        </w:tc>
        <w:tc>
          <w:tcPr>
            <w:tcW w:w="1273" w:type="dxa"/>
            <w:vMerge/>
            <w:tcBorders>
              <w:top w:val="nil"/>
            </w:tcBorders>
          </w:tcPr>
          <w:p>
            <w:pPr>
              <w:rPr>
                <w:sz w:val="2"/>
                <w:szCs w:val="2"/>
              </w:rPr>
            </w:pPr>
          </w:p>
        </w:tc>
      </w:tr>
      <w:tr>
        <w:trPr>
          <w:trHeight w:val="443" w:hRule="atLeast"/>
        </w:trPr>
        <w:tc>
          <w:tcPr>
            <w:tcW w:w="1527" w:type="dxa"/>
          </w:tcPr>
          <w:p>
            <w:pPr>
              <w:pStyle w:val="TableParagraph"/>
              <w:rPr>
                <w:rFonts w:ascii="Times New Roman"/>
                <w:sz w:val="24"/>
              </w:rPr>
            </w:pPr>
          </w:p>
        </w:tc>
        <w:tc>
          <w:tcPr>
            <w:tcW w:w="6845" w:type="dxa"/>
          </w:tcPr>
          <w:p>
            <w:pPr>
              <w:pStyle w:val="TableParagraph"/>
              <w:rPr>
                <w:rFonts w:ascii="Times New Roman"/>
                <w:sz w:val="24"/>
              </w:rPr>
            </w:pPr>
          </w:p>
        </w:tc>
        <w:tc>
          <w:tcPr>
            <w:tcW w:w="1273" w:type="dxa"/>
            <w:vMerge/>
            <w:tcBorders>
              <w:top w:val="nil"/>
            </w:tcBorders>
          </w:tcPr>
          <w:p>
            <w:pPr>
              <w:rPr>
                <w:sz w:val="2"/>
                <w:szCs w:val="2"/>
              </w:rPr>
            </w:pPr>
          </w:p>
        </w:tc>
      </w:tr>
      <w:tr>
        <w:trPr>
          <w:trHeight w:val="443" w:hRule="atLeast"/>
        </w:trPr>
        <w:tc>
          <w:tcPr>
            <w:tcW w:w="1527" w:type="dxa"/>
          </w:tcPr>
          <w:p>
            <w:pPr>
              <w:pStyle w:val="TableParagraph"/>
              <w:rPr>
                <w:rFonts w:ascii="Times New Roman"/>
                <w:sz w:val="24"/>
              </w:rPr>
            </w:pPr>
          </w:p>
        </w:tc>
        <w:tc>
          <w:tcPr>
            <w:tcW w:w="6845" w:type="dxa"/>
          </w:tcPr>
          <w:p>
            <w:pPr>
              <w:pStyle w:val="TableParagraph"/>
              <w:rPr>
                <w:rFonts w:ascii="Times New Roman"/>
                <w:sz w:val="24"/>
              </w:rPr>
            </w:pPr>
          </w:p>
        </w:tc>
        <w:tc>
          <w:tcPr>
            <w:tcW w:w="1273" w:type="dxa"/>
            <w:vMerge/>
            <w:tcBorders>
              <w:top w:val="nil"/>
            </w:tcBorders>
          </w:tcPr>
          <w:p>
            <w:pPr>
              <w:rPr>
                <w:sz w:val="2"/>
                <w:szCs w:val="2"/>
              </w:rPr>
            </w:pPr>
          </w:p>
        </w:tc>
      </w:tr>
      <w:tr>
        <w:trPr>
          <w:trHeight w:val="567" w:hRule="atLeast"/>
        </w:trPr>
        <w:tc>
          <w:tcPr>
            <w:tcW w:w="1527" w:type="dxa"/>
          </w:tcPr>
          <w:p>
            <w:pPr>
              <w:pStyle w:val="TableParagraph"/>
              <w:rPr>
                <w:rFonts w:ascii="Times New Roman"/>
                <w:sz w:val="24"/>
              </w:rPr>
            </w:pPr>
          </w:p>
        </w:tc>
        <w:tc>
          <w:tcPr>
            <w:tcW w:w="8118" w:type="dxa"/>
            <w:gridSpan w:val="2"/>
          </w:tcPr>
          <w:p>
            <w:pPr>
              <w:pStyle w:val="TableParagraph"/>
              <w:spacing w:before="129"/>
              <w:ind w:left="916" w:right="659"/>
              <w:jc w:val="center"/>
              <w:rPr>
                <w:b/>
                <w:sz w:val="24"/>
              </w:rPr>
            </w:pPr>
            <w:r>
              <w:rPr>
                <w:b/>
                <w:sz w:val="24"/>
              </w:rPr>
              <w:t>休 息</w:t>
            </w:r>
          </w:p>
        </w:tc>
      </w:tr>
    </w:tbl>
    <w:p>
      <w:pPr>
        <w:spacing w:after="0"/>
        <w:jc w:val="center"/>
        <w:rPr>
          <w:sz w:val="24"/>
        </w:rPr>
        <w:sectPr>
          <w:pgSz w:w="11910" w:h="16840"/>
          <w:pgMar w:header="0" w:footer="1035" w:top="1440" w:bottom="1300" w:left="1020" w:right="560"/>
        </w:sectPr>
      </w:pPr>
    </w:p>
    <w:tbl>
      <w:tblPr>
        <w:tblW w:w="0" w:type="auto"/>
        <w:jc w:val="left"/>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27"/>
        <w:gridCol w:w="6806"/>
        <w:gridCol w:w="1313"/>
      </w:tblGrid>
      <w:tr>
        <w:trPr>
          <w:trHeight w:val="568" w:hRule="atLeast"/>
        </w:trPr>
        <w:tc>
          <w:tcPr>
            <w:tcW w:w="1527" w:type="dxa"/>
          </w:tcPr>
          <w:p>
            <w:pPr>
              <w:pStyle w:val="TableParagraph"/>
              <w:rPr>
                <w:rFonts w:ascii="Times New Roman"/>
                <w:sz w:val="24"/>
              </w:rPr>
            </w:pPr>
          </w:p>
        </w:tc>
        <w:tc>
          <w:tcPr>
            <w:tcW w:w="6806" w:type="dxa"/>
          </w:tcPr>
          <w:p>
            <w:pPr>
              <w:pStyle w:val="TableParagraph"/>
              <w:rPr>
                <w:rFonts w:ascii="Times New Roman"/>
                <w:sz w:val="24"/>
              </w:rPr>
            </w:pPr>
          </w:p>
        </w:tc>
        <w:tc>
          <w:tcPr>
            <w:tcW w:w="1313" w:type="dxa"/>
            <w:vMerge w:val="restart"/>
            <w:tcBorders>
              <w:top w:val="single" w:sz="4" w:space="0" w:color="000000"/>
            </w:tcBorders>
          </w:tcPr>
          <w:p>
            <w:pPr>
              <w:pStyle w:val="TableParagraph"/>
              <w:rPr>
                <w:rFonts w:ascii="Times New Roman"/>
                <w:sz w:val="24"/>
              </w:rPr>
            </w:pPr>
          </w:p>
        </w:tc>
      </w:tr>
      <w:tr>
        <w:trPr>
          <w:trHeight w:val="565" w:hRule="atLeast"/>
        </w:trPr>
        <w:tc>
          <w:tcPr>
            <w:tcW w:w="1527" w:type="dxa"/>
          </w:tcPr>
          <w:p>
            <w:pPr>
              <w:pStyle w:val="TableParagraph"/>
              <w:rPr>
                <w:rFonts w:ascii="Times New Roman"/>
                <w:sz w:val="24"/>
              </w:rPr>
            </w:pPr>
          </w:p>
        </w:tc>
        <w:tc>
          <w:tcPr>
            <w:tcW w:w="6806" w:type="dxa"/>
          </w:tcPr>
          <w:p>
            <w:pPr>
              <w:pStyle w:val="TableParagraph"/>
              <w:rPr>
                <w:rFonts w:ascii="Times New Roman"/>
                <w:sz w:val="24"/>
              </w:rPr>
            </w:pPr>
          </w:p>
        </w:tc>
        <w:tc>
          <w:tcPr>
            <w:tcW w:w="1313" w:type="dxa"/>
            <w:vMerge/>
            <w:tcBorders>
              <w:top w:val="nil"/>
            </w:tcBorders>
          </w:tcPr>
          <w:p>
            <w:pPr>
              <w:rPr>
                <w:sz w:val="2"/>
                <w:szCs w:val="2"/>
              </w:rPr>
            </w:pPr>
          </w:p>
        </w:tc>
      </w:tr>
      <w:tr>
        <w:trPr>
          <w:trHeight w:val="568" w:hRule="atLeast"/>
        </w:trPr>
        <w:tc>
          <w:tcPr>
            <w:tcW w:w="1527" w:type="dxa"/>
          </w:tcPr>
          <w:p>
            <w:pPr>
              <w:pStyle w:val="TableParagraph"/>
              <w:rPr>
                <w:rFonts w:ascii="Times New Roman"/>
                <w:sz w:val="24"/>
              </w:rPr>
            </w:pPr>
          </w:p>
        </w:tc>
        <w:tc>
          <w:tcPr>
            <w:tcW w:w="6806" w:type="dxa"/>
          </w:tcPr>
          <w:p>
            <w:pPr>
              <w:pStyle w:val="TableParagraph"/>
              <w:rPr>
                <w:rFonts w:ascii="Times New Roman"/>
                <w:sz w:val="24"/>
              </w:rPr>
            </w:pPr>
          </w:p>
        </w:tc>
        <w:tc>
          <w:tcPr>
            <w:tcW w:w="1313" w:type="dxa"/>
            <w:vMerge/>
            <w:tcBorders>
              <w:top w:val="nil"/>
            </w:tcBorders>
          </w:tcPr>
          <w:p>
            <w:pPr>
              <w:rPr>
                <w:sz w:val="2"/>
                <w:szCs w:val="2"/>
              </w:rPr>
            </w:pPr>
          </w:p>
        </w:tc>
      </w:tr>
      <w:tr>
        <w:trPr>
          <w:trHeight w:val="565" w:hRule="atLeast"/>
        </w:trPr>
        <w:tc>
          <w:tcPr>
            <w:tcW w:w="1527" w:type="dxa"/>
          </w:tcPr>
          <w:p>
            <w:pPr>
              <w:pStyle w:val="TableParagraph"/>
              <w:rPr>
                <w:rFonts w:ascii="Times New Roman"/>
                <w:sz w:val="24"/>
              </w:rPr>
            </w:pPr>
          </w:p>
        </w:tc>
        <w:tc>
          <w:tcPr>
            <w:tcW w:w="6806" w:type="dxa"/>
          </w:tcPr>
          <w:p>
            <w:pPr>
              <w:pStyle w:val="TableParagraph"/>
              <w:rPr>
                <w:rFonts w:ascii="Times New Roman"/>
                <w:sz w:val="24"/>
              </w:rPr>
            </w:pPr>
          </w:p>
        </w:tc>
        <w:tc>
          <w:tcPr>
            <w:tcW w:w="1313" w:type="dxa"/>
            <w:vMerge/>
            <w:tcBorders>
              <w:top w:val="nil"/>
            </w:tcBorders>
          </w:tcPr>
          <w:p>
            <w:pPr>
              <w:rPr>
                <w:sz w:val="2"/>
                <w:szCs w:val="2"/>
              </w:rPr>
            </w:pPr>
          </w:p>
        </w:tc>
      </w:tr>
      <w:tr>
        <w:trPr>
          <w:trHeight w:val="567" w:hRule="atLeast"/>
        </w:trPr>
        <w:tc>
          <w:tcPr>
            <w:tcW w:w="1527" w:type="dxa"/>
          </w:tcPr>
          <w:p>
            <w:pPr>
              <w:pStyle w:val="TableParagraph"/>
              <w:rPr>
                <w:rFonts w:ascii="Times New Roman"/>
                <w:sz w:val="24"/>
              </w:rPr>
            </w:pPr>
          </w:p>
        </w:tc>
        <w:tc>
          <w:tcPr>
            <w:tcW w:w="6806" w:type="dxa"/>
          </w:tcPr>
          <w:p>
            <w:pPr>
              <w:pStyle w:val="TableParagraph"/>
              <w:rPr>
                <w:rFonts w:ascii="Times New Roman"/>
                <w:sz w:val="24"/>
              </w:rPr>
            </w:pPr>
          </w:p>
        </w:tc>
        <w:tc>
          <w:tcPr>
            <w:tcW w:w="1313" w:type="dxa"/>
            <w:vMerge/>
            <w:tcBorders>
              <w:top w:val="nil"/>
            </w:tcBorders>
          </w:tcPr>
          <w:p>
            <w:pPr>
              <w:rPr>
                <w:sz w:val="2"/>
                <w:szCs w:val="2"/>
              </w:rPr>
            </w:pPr>
          </w:p>
        </w:tc>
      </w:tr>
      <w:tr>
        <w:trPr>
          <w:trHeight w:val="448" w:hRule="atLeast"/>
        </w:trPr>
        <w:tc>
          <w:tcPr>
            <w:tcW w:w="1527" w:type="dxa"/>
          </w:tcPr>
          <w:p>
            <w:pPr>
              <w:pStyle w:val="TableParagraph"/>
              <w:rPr>
                <w:rFonts w:ascii="Times New Roman"/>
                <w:sz w:val="24"/>
              </w:rPr>
            </w:pPr>
          </w:p>
        </w:tc>
        <w:tc>
          <w:tcPr>
            <w:tcW w:w="8119" w:type="dxa"/>
            <w:gridSpan w:val="2"/>
          </w:tcPr>
          <w:p>
            <w:pPr>
              <w:pStyle w:val="TableParagraph"/>
              <w:spacing w:before="66"/>
              <w:ind w:left="2836" w:right="2580"/>
              <w:jc w:val="center"/>
              <w:rPr>
                <w:b/>
                <w:sz w:val="24"/>
              </w:rPr>
            </w:pPr>
            <w:r>
              <w:rPr>
                <w:b/>
                <w:sz w:val="24"/>
              </w:rPr>
              <w:t>晚 餐</w:t>
            </w:r>
          </w:p>
        </w:tc>
      </w:tr>
      <w:tr>
        <w:trPr>
          <w:trHeight w:val="697" w:hRule="atLeast"/>
        </w:trPr>
        <w:tc>
          <w:tcPr>
            <w:tcW w:w="1527" w:type="dxa"/>
          </w:tcPr>
          <w:p>
            <w:pPr>
              <w:pStyle w:val="TableParagraph"/>
              <w:spacing w:before="191"/>
              <w:ind w:left="143" w:right="124"/>
              <w:jc w:val="center"/>
              <w:rPr>
                <w:b/>
                <w:sz w:val="24"/>
              </w:rPr>
            </w:pPr>
            <w:r>
              <w:rPr>
                <w:b/>
                <w:sz w:val="24"/>
              </w:rPr>
              <w:t>*月*日</w:t>
            </w:r>
          </w:p>
        </w:tc>
        <w:tc>
          <w:tcPr>
            <w:tcW w:w="6806" w:type="dxa"/>
            <w:tcBorders>
              <w:right w:val="single" w:sz="4" w:space="0" w:color="000000"/>
            </w:tcBorders>
          </w:tcPr>
          <w:p>
            <w:pPr>
              <w:pStyle w:val="TableParagraph"/>
              <w:spacing w:before="194"/>
              <w:ind w:left="852" w:right="840"/>
              <w:jc w:val="center"/>
              <w:rPr>
                <w:sz w:val="24"/>
              </w:rPr>
            </w:pPr>
            <w:r>
              <w:rPr>
                <w:b/>
                <w:sz w:val="24"/>
              </w:rPr>
              <w:t>大会报告（报告**分钟，讨论**分钟）</w:t>
            </w:r>
            <w:r>
              <w:rPr>
                <w:sz w:val="24"/>
              </w:rPr>
              <w:t>（地点）</w:t>
            </w:r>
          </w:p>
        </w:tc>
        <w:tc>
          <w:tcPr>
            <w:tcW w:w="1313" w:type="dxa"/>
            <w:tcBorders>
              <w:left w:val="single" w:sz="4" w:space="0" w:color="000000"/>
            </w:tcBorders>
          </w:tcPr>
          <w:p>
            <w:pPr>
              <w:pStyle w:val="TableParagraph"/>
              <w:spacing w:before="191"/>
              <w:ind w:left="112"/>
              <w:rPr>
                <w:b/>
                <w:sz w:val="24"/>
              </w:rPr>
            </w:pPr>
            <w:r>
              <w:rPr>
                <w:b/>
                <w:sz w:val="24"/>
              </w:rPr>
              <w:t>主持人</w:t>
            </w:r>
          </w:p>
        </w:tc>
      </w:tr>
      <w:tr>
        <w:trPr>
          <w:trHeight w:val="565" w:hRule="atLeast"/>
        </w:trPr>
        <w:tc>
          <w:tcPr>
            <w:tcW w:w="1527" w:type="dxa"/>
          </w:tcPr>
          <w:p>
            <w:pPr>
              <w:pStyle w:val="TableParagraph"/>
              <w:spacing w:before="127"/>
              <w:ind w:left="143" w:right="124"/>
              <w:jc w:val="center"/>
              <w:rPr>
                <w:sz w:val="24"/>
              </w:rPr>
            </w:pPr>
            <w:r>
              <w:rPr>
                <w:sz w:val="24"/>
              </w:rPr>
              <w:t>时间</w:t>
            </w:r>
          </w:p>
        </w:tc>
        <w:tc>
          <w:tcPr>
            <w:tcW w:w="6806" w:type="dxa"/>
          </w:tcPr>
          <w:p>
            <w:pPr>
              <w:pStyle w:val="TableParagraph"/>
              <w:rPr>
                <w:rFonts w:ascii="Times New Roman"/>
                <w:sz w:val="24"/>
              </w:rPr>
            </w:pPr>
          </w:p>
        </w:tc>
        <w:tc>
          <w:tcPr>
            <w:tcW w:w="1313" w:type="dxa"/>
            <w:vMerge w:val="restart"/>
          </w:tcPr>
          <w:p>
            <w:pPr>
              <w:pStyle w:val="TableParagraph"/>
              <w:rPr>
                <w:rFonts w:ascii="Times New Roman"/>
                <w:sz w:val="24"/>
              </w:rPr>
            </w:pPr>
          </w:p>
        </w:tc>
      </w:tr>
      <w:tr>
        <w:trPr>
          <w:trHeight w:val="568" w:hRule="atLeast"/>
        </w:trPr>
        <w:tc>
          <w:tcPr>
            <w:tcW w:w="1527" w:type="dxa"/>
          </w:tcPr>
          <w:p>
            <w:pPr>
              <w:pStyle w:val="TableParagraph"/>
              <w:rPr>
                <w:rFonts w:ascii="Times New Roman"/>
                <w:sz w:val="24"/>
              </w:rPr>
            </w:pPr>
          </w:p>
        </w:tc>
        <w:tc>
          <w:tcPr>
            <w:tcW w:w="6806" w:type="dxa"/>
          </w:tcPr>
          <w:p>
            <w:pPr>
              <w:pStyle w:val="TableParagraph"/>
              <w:rPr>
                <w:rFonts w:ascii="Times New Roman"/>
                <w:sz w:val="24"/>
              </w:rPr>
            </w:pPr>
          </w:p>
        </w:tc>
        <w:tc>
          <w:tcPr>
            <w:tcW w:w="1313" w:type="dxa"/>
            <w:vMerge/>
            <w:tcBorders>
              <w:top w:val="nil"/>
            </w:tcBorders>
          </w:tcPr>
          <w:p>
            <w:pPr>
              <w:rPr>
                <w:sz w:val="2"/>
                <w:szCs w:val="2"/>
              </w:rPr>
            </w:pPr>
          </w:p>
        </w:tc>
      </w:tr>
      <w:tr>
        <w:trPr>
          <w:trHeight w:val="565" w:hRule="atLeast"/>
        </w:trPr>
        <w:tc>
          <w:tcPr>
            <w:tcW w:w="1527" w:type="dxa"/>
          </w:tcPr>
          <w:p>
            <w:pPr>
              <w:pStyle w:val="TableParagraph"/>
              <w:rPr>
                <w:rFonts w:ascii="Times New Roman"/>
                <w:sz w:val="24"/>
              </w:rPr>
            </w:pPr>
          </w:p>
        </w:tc>
        <w:tc>
          <w:tcPr>
            <w:tcW w:w="6806" w:type="dxa"/>
          </w:tcPr>
          <w:p>
            <w:pPr>
              <w:pStyle w:val="TableParagraph"/>
              <w:rPr>
                <w:rFonts w:ascii="Times New Roman"/>
                <w:sz w:val="24"/>
              </w:rPr>
            </w:pPr>
          </w:p>
        </w:tc>
        <w:tc>
          <w:tcPr>
            <w:tcW w:w="1313" w:type="dxa"/>
            <w:vMerge/>
            <w:tcBorders>
              <w:top w:val="nil"/>
            </w:tcBorders>
          </w:tcPr>
          <w:p>
            <w:pPr>
              <w:rPr>
                <w:sz w:val="2"/>
                <w:szCs w:val="2"/>
              </w:rPr>
            </w:pPr>
          </w:p>
        </w:tc>
      </w:tr>
      <w:tr>
        <w:trPr>
          <w:trHeight w:val="567" w:hRule="atLeast"/>
        </w:trPr>
        <w:tc>
          <w:tcPr>
            <w:tcW w:w="1527" w:type="dxa"/>
          </w:tcPr>
          <w:p>
            <w:pPr>
              <w:pStyle w:val="TableParagraph"/>
              <w:rPr>
                <w:rFonts w:ascii="Times New Roman"/>
                <w:sz w:val="24"/>
              </w:rPr>
            </w:pPr>
          </w:p>
        </w:tc>
        <w:tc>
          <w:tcPr>
            <w:tcW w:w="6806" w:type="dxa"/>
          </w:tcPr>
          <w:p>
            <w:pPr>
              <w:pStyle w:val="TableParagraph"/>
              <w:rPr>
                <w:rFonts w:ascii="Times New Roman"/>
                <w:sz w:val="24"/>
              </w:rPr>
            </w:pPr>
          </w:p>
        </w:tc>
        <w:tc>
          <w:tcPr>
            <w:tcW w:w="1313" w:type="dxa"/>
            <w:vMerge/>
            <w:tcBorders>
              <w:top w:val="nil"/>
            </w:tcBorders>
          </w:tcPr>
          <w:p>
            <w:pPr>
              <w:rPr>
                <w:sz w:val="2"/>
                <w:szCs w:val="2"/>
              </w:rPr>
            </w:pPr>
          </w:p>
        </w:tc>
      </w:tr>
      <w:tr>
        <w:trPr>
          <w:trHeight w:val="567" w:hRule="atLeast"/>
        </w:trPr>
        <w:tc>
          <w:tcPr>
            <w:tcW w:w="1527" w:type="dxa"/>
          </w:tcPr>
          <w:p>
            <w:pPr>
              <w:pStyle w:val="TableParagraph"/>
              <w:rPr>
                <w:rFonts w:ascii="Times New Roman"/>
                <w:sz w:val="24"/>
              </w:rPr>
            </w:pPr>
          </w:p>
        </w:tc>
        <w:tc>
          <w:tcPr>
            <w:tcW w:w="6806" w:type="dxa"/>
          </w:tcPr>
          <w:p>
            <w:pPr>
              <w:pStyle w:val="TableParagraph"/>
              <w:rPr>
                <w:rFonts w:ascii="Times New Roman"/>
                <w:sz w:val="24"/>
              </w:rPr>
            </w:pPr>
          </w:p>
        </w:tc>
        <w:tc>
          <w:tcPr>
            <w:tcW w:w="1313" w:type="dxa"/>
            <w:vMerge/>
            <w:tcBorders>
              <w:top w:val="nil"/>
            </w:tcBorders>
          </w:tcPr>
          <w:p>
            <w:pPr>
              <w:rPr>
                <w:sz w:val="2"/>
                <w:szCs w:val="2"/>
              </w:rPr>
            </w:pPr>
          </w:p>
        </w:tc>
      </w:tr>
      <w:tr>
        <w:trPr>
          <w:trHeight w:val="565" w:hRule="atLeast"/>
        </w:trPr>
        <w:tc>
          <w:tcPr>
            <w:tcW w:w="1527" w:type="dxa"/>
          </w:tcPr>
          <w:p>
            <w:pPr>
              <w:pStyle w:val="TableParagraph"/>
              <w:rPr>
                <w:rFonts w:ascii="Times New Roman"/>
                <w:sz w:val="24"/>
              </w:rPr>
            </w:pPr>
          </w:p>
        </w:tc>
        <w:tc>
          <w:tcPr>
            <w:tcW w:w="6806" w:type="dxa"/>
          </w:tcPr>
          <w:p>
            <w:pPr>
              <w:pStyle w:val="TableParagraph"/>
              <w:rPr>
                <w:rFonts w:ascii="Times New Roman"/>
                <w:sz w:val="24"/>
              </w:rPr>
            </w:pPr>
          </w:p>
        </w:tc>
        <w:tc>
          <w:tcPr>
            <w:tcW w:w="1313" w:type="dxa"/>
            <w:vMerge/>
            <w:tcBorders>
              <w:top w:val="nil"/>
            </w:tcBorders>
          </w:tcPr>
          <w:p>
            <w:pPr>
              <w:rPr>
                <w:sz w:val="2"/>
                <w:szCs w:val="2"/>
              </w:rPr>
            </w:pPr>
          </w:p>
        </w:tc>
      </w:tr>
      <w:tr>
        <w:trPr>
          <w:trHeight w:val="568" w:hRule="atLeast"/>
        </w:trPr>
        <w:tc>
          <w:tcPr>
            <w:tcW w:w="1527" w:type="dxa"/>
          </w:tcPr>
          <w:p>
            <w:pPr>
              <w:pStyle w:val="TableParagraph"/>
              <w:rPr>
                <w:rFonts w:ascii="Times New Roman"/>
                <w:sz w:val="24"/>
              </w:rPr>
            </w:pPr>
          </w:p>
        </w:tc>
        <w:tc>
          <w:tcPr>
            <w:tcW w:w="6806" w:type="dxa"/>
          </w:tcPr>
          <w:p>
            <w:pPr>
              <w:pStyle w:val="TableParagraph"/>
              <w:rPr>
                <w:rFonts w:ascii="Times New Roman"/>
                <w:sz w:val="24"/>
              </w:rPr>
            </w:pPr>
          </w:p>
        </w:tc>
        <w:tc>
          <w:tcPr>
            <w:tcW w:w="1313" w:type="dxa"/>
            <w:vMerge/>
            <w:tcBorders>
              <w:top w:val="nil"/>
            </w:tcBorders>
          </w:tcPr>
          <w:p>
            <w:pPr>
              <w:rPr>
                <w:sz w:val="2"/>
                <w:szCs w:val="2"/>
              </w:rPr>
            </w:pPr>
          </w:p>
        </w:tc>
      </w:tr>
      <w:tr>
        <w:trPr>
          <w:trHeight w:val="604" w:hRule="atLeast"/>
        </w:trPr>
        <w:tc>
          <w:tcPr>
            <w:tcW w:w="1527" w:type="dxa"/>
          </w:tcPr>
          <w:p>
            <w:pPr>
              <w:pStyle w:val="TableParagraph"/>
              <w:rPr>
                <w:rFonts w:ascii="Times New Roman"/>
                <w:sz w:val="24"/>
              </w:rPr>
            </w:pPr>
          </w:p>
        </w:tc>
        <w:tc>
          <w:tcPr>
            <w:tcW w:w="8119" w:type="dxa"/>
            <w:gridSpan w:val="2"/>
          </w:tcPr>
          <w:p>
            <w:pPr>
              <w:pStyle w:val="TableParagraph"/>
              <w:spacing w:before="146"/>
              <w:ind w:left="2834" w:right="2816"/>
              <w:jc w:val="center"/>
              <w:rPr>
                <w:sz w:val="24"/>
              </w:rPr>
            </w:pPr>
            <w:r>
              <w:rPr>
                <w:sz w:val="24"/>
              </w:rPr>
              <w:t>休 息</w:t>
            </w:r>
          </w:p>
        </w:tc>
      </w:tr>
      <w:tr>
        <w:trPr>
          <w:trHeight w:val="543" w:hRule="atLeast"/>
        </w:trPr>
        <w:tc>
          <w:tcPr>
            <w:tcW w:w="1527" w:type="dxa"/>
          </w:tcPr>
          <w:p>
            <w:pPr>
              <w:pStyle w:val="TableParagraph"/>
              <w:rPr>
                <w:rFonts w:ascii="Times New Roman"/>
                <w:sz w:val="24"/>
              </w:rPr>
            </w:pPr>
          </w:p>
        </w:tc>
        <w:tc>
          <w:tcPr>
            <w:tcW w:w="8119" w:type="dxa"/>
            <w:gridSpan w:val="2"/>
          </w:tcPr>
          <w:p>
            <w:pPr>
              <w:pStyle w:val="TableParagraph"/>
              <w:spacing w:before="117"/>
              <w:ind w:left="2836" w:right="2816"/>
              <w:jc w:val="center"/>
              <w:rPr>
                <w:sz w:val="24"/>
              </w:rPr>
            </w:pPr>
            <w:r>
              <w:rPr>
                <w:b/>
                <w:sz w:val="24"/>
              </w:rPr>
              <w:t>集中研讨讨论</w:t>
            </w:r>
            <w:r>
              <w:rPr>
                <w:sz w:val="24"/>
              </w:rPr>
              <w:t>（地点）</w:t>
            </w:r>
          </w:p>
        </w:tc>
      </w:tr>
      <w:tr>
        <w:trPr>
          <w:trHeight w:val="1871" w:hRule="atLeast"/>
        </w:trPr>
        <w:tc>
          <w:tcPr>
            <w:tcW w:w="1527" w:type="dxa"/>
          </w:tcPr>
          <w:p>
            <w:pPr>
              <w:pStyle w:val="TableParagraph"/>
              <w:rPr>
                <w:rFonts w:ascii="Times New Roman"/>
                <w:sz w:val="24"/>
              </w:rPr>
            </w:pPr>
          </w:p>
        </w:tc>
        <w:tc>
          <w:tcPr>
            <w:tcW w:w="6806" w:type="dxa"/>
          </w:tcPr>
          <w:p>
            <w:pPr>
              <w:pStyle w:val="TableParagraph"/>
              <w:spacing w:before="14"/>
              <w:rPr>
                <w:rFonts w:ascii="方正小标宋简体"/>
                <w:b/>
                <w:sz w:val="30"/>
              </w:rPr>
            </w:pPr>
          </w:p>
          <w:p>
            <w:pPr>
              <w:pStyle w:val="TableParagraph"/>
              <w:spacing w:line="364" w:lineRule="auto"/>
              <w:ind w:left="107" w:right="195"/>
              <w:rPr>
                <w:sz w:val="24"/>
              </w:rPr>
            </w:pPr>
            <w:r>
              <w:rPr>
                <w:spacing w:val="-4"/>
                <w:sz w:val="24"/>
              </w:rPr>
              <w:t>讨论形式：专家自由发言，每人每次不超 </w:t>
            </w:r>
            <w:r>
              <w:rPr>
                <w:sz w:val="24"/>
              </w:rPr>
              <w:t>5</w:t>
            </w:r>
            <w:r>
              <w:rPr>
                <w:spacing w:val="-9"/>
                <w:sz w:val="24"/>
              </w:rPr>
              <w:t> 分钟，可多次发言</w:t>
            </w:r>
            <w:r>
              <w:rPr>
                <w:spacing w:val="-1"/>
                <w:sz w:val="24"/>
              </w:rPr>
              <w:t>讨论目的：凝练关键科学问题、研讨资助模式，形成初步文稿</w:t>
            </w:r>
          </w:p>
          <w:p>
            <w:pPr>
              <w:pStyle w:val="TableParagraph"/>
              <w:spacing w:before="2"/>
              <w:ind w:left="1428"/>
              <w:rPr>
                <w:sz w:val="24"/>
              </w:rPr>
            </w:pPr>
            <w:r>
              <w:rPr>
                <w:sz w:val="24"/>
              </w:rPr>
              <w:t>论坛主席综述与总结</w:t>
            </w:r>
          </w:p>
        </w:tc>
        <w:tc>
          <w:tcPr>
            <w:tcW w:w="1313" w:type="dxa"/>
          </w:tcPr>
          <w:p>
            <w:pPr>
              <w:pStyle w:val="TableParagraph"/>
              <w:rPr>
                <w:rFonts w:ascii="Times New Roman"/>
                <w:sz w:val="24"/>
              </w:rPr>
            </w:pPr>
          </w:p>
        </w:tc>
      </w:tr>
      <w:tr>
        <w:trPr>
          <w:trHeight w:val="568" w:hRule="atLeast"/>
        </w:trPr>
        <w:tc>
          <w:tcPr>
            <w:tcW w:w="1527" w:type="dxa"/>
          </w:tcPr>
          <w:p>
            <w:pPr>
              <w:pStyle w:val="TableParagraph"/>
              <w:spacing w:before="129"/>
              <w:ind w:left="143" w:right="124"/>
              <w:jc w:val="center"/>
              <w:rPr>
                <w:b/>
                <w:sz w:val="24"/>
              </w:rPr>
            </w:pPr>
            <w:r>
              <w:rPr>
                <w:b/>
                <w:sz w:val="24"/>
              </w:rPr>
              <w:t>*月*日</w:t>
            </w:r>
          </w:p>
        </w:tc>
        <w:tc>
          <w:tcPr>
            <w:tcW w:w="8119" w:type="dxa"/>
            <w:gridSpan w:val="2"/>
          </w:tcPr>
          <w:p>
            <w:pPr>
              <w:pStyle w:val="TableParagraph"/>
              <w:spacing w:before="129"/>
              <w:ind w:left="2836" w:right="2813"/>
              <w:jc w:val="center"/>
              <w:rPr>
                <w:b/>
                <w:sz w:val="24"/>
              </w:rPr>
            </w:pPr>
            <w:r>
              <w:rPr>
                <w:b/>
                <w:sz w:val="24"/>
              </w:rPr>
              <w:t>离会</w:t>
            </w:r>
          </w:p>
        </w:tc>
      </w:tr>
    </w:tbl>
    <w:p>
      <w:pPr>
        <w:spacing w:after="0"/>
        <w:jc w:val="center"/>
        <w:rPr>
          <w:sz w:val="24"/>
        </w:rPr>
        <w:sectPr>
          <w:pgSz w:w="11910" w:h="16840"/>
          <w:pgMar w:header="0" w:footer="1035" w:top="1420" w:bottom="1220" w:left="1020" w:right="560"/>
        </w:sectPr>
      </w:pPr>
    </w:p>
    <w:p>
      <w:pPr>
        <w:spacing w:line="613" w:lineRule="exact" w:before="0"/>
        <w:ind w:left="0" w:right="458" w:firstLine="0"/>
        <w:jc w:val="center"/>
        <w:rPr>
          <w:rFonts w:ascii="方正小标宋简体" w:eastAsia="方正小标宋简体" w:hint="eastAsia"/>
          <w:b/>
          <w:sz w:val="36"/>
        </w:rPr>
      </w:pPr>
      <w:r>
        <w:rPr>
          <w:rFonts w:ascii="方正小标宋简体" w:eastAsia="方正小标宋简体" w:hint="eastAsia"/>
          <w:b/>
          <w:sz w:val="36"/>
        </w:rPr>
        <w:t>与会专家代表名单</w:t>
      </w:r>
    </w:p>
    <w:p>
      <w:pPr>
        <w:pStyle w:val="BodyText"/>
        <w:rPr>
          <w:rFonts w:ascii="方正小标宋简体"/>
          <w:b/>
          <w:sz w:val="20"/>
        </w:rPr>
      </w:pPr>
    </w:p>
    <w:p>
      <w:pPr>
        <w:pStyle w:val="BodyText"/>
        <w:spacing w:before="14"/>
        <w:rPr>
          <w:rFonts w:ascii="方正小标宋简体"/>
          <w:b/>
          <w:sz w:val="14"/>
        </w:rPr>
      </w:pPr>
    </w:p>
    <w:tbl>
      <w:tblPr>
        <w:tblW w:w="0" w:type="auto"/>
        <w:jc w:val="left"/>
        <w:tblInd w:w="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1561"/>
        <w:gridCol w:w="5104"/>
        <w:gridCol w:w="1450"/>
      </w:tblGrid>
      <w:tr>
        <w:trPr>
          <w:trHeight w:val="623" w:hRule="atLeast"/>
        </w:trPr>
        <w:tc>
          <w:tcPr>
            <w:tcW w:w="960" w:type="dxa"/>
          </w:tcPr>
          <w:p>
            <w:pPr>
              <w:pStyle w:val="TableParagraph"/>
              <w:spacing w:before="156"/>
              <w:ind w:left="218" w:right="209"/>
              <w:jc w:val="center"/>
              <w:rPr>
                <w:b/>
                <w:sz w:val="24"/>
              </w:rPr>
            </w:pPr>
            <w:r>
              <w:rPr>
                <w:b/>
                <w:sz w:val="24"/>
              </w:rPr>
              <w:t>序号</w:t>
            </w:r>
          </w:p>
        </w:tc>
        <w:tc>
          <w:tcPr>
            <w:tcW w:w="1561" w:type="dxa"/>
          </w:tcPr>
          <w:p>
            <w:pPr>
              <w:pStyle w:val="TableParagraph"/>
              <w:spacing w:before="156"/>
              <w:ind w:left="518" w:right="510"/>
              <w:jc w:val="center"/>
              <w:rPr>
                <w:b/>
                <w:sz w:val="24"/>
              </w:rPr>
            </w:pPr>
            <w:r>
              <w:rPr>
                <w:b/>
                <w:sz w:val="24"/>
              </w:rPr>
              <w:t>姓名</w:t>
            </w:r>
          </w:p>
        </w:tc>
        <w:tc>
          <w:tcPr>
            <w:tcW w:w="5104" w:type="dxa"/>
          </w:tcPr>
          <w:p>
            <w:pPr>
              <w:pStyle w:val="TableParagraph"/>
              <w:spacing w:before="156"/>
              <w:ind w:left="2289" w:right="2282"/>
              <w:jc w:val="center"/>
              <w:rPr>
                <w:b/>
                <w:sz w:val="24"/>
              </w:rPr>
            </w:pPr>
            <w:r>
              <w:rPr>
                <w:b/>
                <w:sz w:val="24"/>
              </w:rPr>
              <w:t>单位</w:t>
            </w:r>
          </w:p>
        </w:tc>
        <w:tc>
          <w:tcPr>
            <w:tcW w:w="1450" w:type="dxa"/>
          </w:tcPr>
          <w:p>
            <w:pPr>
              <w:pStyle w:val="TableParagraph"/>
              <w:spacing w:before="156"/>
              <w:ind w:left="483"/>
              <w:rPr>
                <w:b/>
                <w:sz w:val="24"/>
              </w:rPr>
            </w:pPr>
            <w:r>
              <w:rPr>
                <w:b/>
                <w:sz w:val="24"/>
              </w:rPr>
              <w:t>职称</w:t>
            </w:r>
          </w:p>
        </w:tc>
      </w:tr>
      <w:tr>
        <w:trPr>
          <w:trHeight w:val="623" w:hRule="atLeast"/>
        </w:trPr>
        <w:tc>
          <w:tcPr>
            <w:tcW w:w="960" w:type="dxa"/>
          </w:tcPr>
          <w:p>
            <w:pPr>
              <w:pStyle w:val="TableParagraph"/>
              <w:spacing w:before="156"/>
              <w:ind w:left="9"/>
              <w:jc w:val="center"/>
              <w:rPr>
                <w:sz w:val="24"/>
              </w:rPr>
            </w:pPr>
            <w:r>
              <w:rPr>
                <w:sz w:val="24"/>
              </w:rPr>
              <w:t>1</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3" w:hRule="atLeast"/>
        </w:trPr>
        <w:tc>
          <w:tcPr>
            <w:tcW w:w="960" w:type="dxa"/>
          </w:tcPr>
          <w:p>
            <w:pPr>
              <w:pStyle w:val="TableParagraph"/>
              <w:spacing w:before="156"/>
              <w:ind w:left="9"/>
              <w:jc w:val="center"/>
              <w:rPr>
                <w:sz w:val="24"/>
              </w:rPr>
            </w:pPr>
            <w:r>
              <w:rPr>
                <w:sz w:val="24"/>
              </w:rPr>
              <w:t>2</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6" w:hRule="atLeast"/>
        </w:trPr>
        <w:tc>
          <w:tcPr>
            <w:tcW w:w="960" w:type="dxa"/>
          </w:tcPr>
          <w:p>
            <w:pPr>
              <w:pStyle w:val="TableParagraph"/>
              <w:spacing w:before="158"/>
              <w:ind w:left="9"/>
              <w:jc w:val="center"/>
              <w:rPr>
                <w:sz w:val="24"/>
              </w:rPr>
            </w:pPr>
            <w:r>
              <w:rPr>
                <w:sz w:val="24"/>
              </w:rPr>
              <w:t>3</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4" w:hRule="atLeast"/>
        </w:trPr>
        <w:tc>
          <w:tcPr>
            <w:tcW w:w="960" w:type="dxa"/>
          </w:tcPr>
          <w:p>
            <w:pPr>
              <w:pStyle w:val="TableParagraph"/>
              <w:spacing w:before="156"/>
              <w:ind w:left="9"/>
              <w:jc w:val="center"/>
              <w:rPr>
                <w:sz w:val="24"/>
              </w:rPr>
            </w:pPr>
            <w:r>
              <w:rPr>
                <w:sz w:val="24"/>
              </w:rPr>
              <w:t>4</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3" w:hRule="atLeast"/>
        </w:trPr>
        <w:tc>
          <w:tcPr>
            <w:tcW w:w="960" w:type="dxa"/>
          </w:tcPr>
          <w:p>
            <w:pPr>
              <w:pStyle w:val="TableParagraph"/>
              <w:spacing w:before="156"/>
              <w:ind w:left="9"/>
              <w:jc w:val="center"/>
              <w:rPr>
                <w:sz w:val="24"/>
              </w:rPr>
            </w:pPr>
            <w:r>
              <w:rPr>
                <w:sz w:val="24"/>
              </w:rPr>
              <w:t>5</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3" w:hRule="atLeast"/>
        </w:trPr>
        <w:tc>
          <w:tcPr>
            <w:tcW w:w="960" w:type="dxa"/>
          </w:tcPr>
          <w:p>
            <w:pPr>
              <w:pStyle w:val="TableParagraph"/>
              <w:spacing w:before="155"/>
              <w:ind w:left="9"/>
              <w:jc w:val="center"/>
              <w:rPr>
                <w:sz w:val="24"/>
              </w:rPr>
            </w:pPr>
            <w:r>
              <w:rPr>
                <w:sz w:val="24"/>
              </w:rPr>
              <w:t>6</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3" w:hRule="atLeast"/>
        </w:trPr>
        <w:tc>
          <w:tcPr>
            <w:tcW w:w="960" w:type="dxa"/>
          </w:tcPr>
          <w:p>
            <w:pPr>
              <w:pStyle w:val="TableParagraph"/>
              <w:spacing w:before="156"/>
              <w:ind w:left="9"/>
              <w:jc w:val="center"/>
              <w:rPr>
                <w:sz w:val="24"/>
              </w:rPr>
            </w:pPr>
            <w:r>
              <w:rPr>
                <w:sz w:val="24"/>
              </w:rPr>
              <w:t>7</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3" w:hRule="atLeast"/>
        </w:trPr>
        <w:tc>
          <w:tcPr>
            <w:tcW w:w="960" w:type="dxa"/>
          </w:tcPr>
          <w:p>
            <w:pPr>
              <w:pStyle w:val="TableParagraph"/>
              <w:spacing w:before="156"/>
              <w:ind w:left="9"/>
              <w:jc w:val="center"/>
              <w:rPr>
                <w:sz w:val="24"/>
              </w:rPr>
            </w:pPr>
            <w:r>
              <w:rPr>
                <w:sz w:val="24"/>
              </w:rPr>
              <w:t>8</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5" w:hRule="atLeast"/>
        </w:trPr>
        <w:tc>
          <w:tcPr>
            <w:tcW w:w="960" w:type="dxa"/>
          </w:tcPr>
          <w:p>
            <w:pPr>
              <w:pStyle w:val="TableParagraph"/>
              <w:spacing w:before="158"/>
              <w:ind w:left="9"/>
              <w:jc w:val="center"/>
              <w:rPr>
                <w:sz w:val="24"/>
              </w:rPr>
            </w:pPr>
            <w:r>
              <w:rPr>
                <w:sz w:val="24"/>
              </w:rPr>
              <w:t>9</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4" w:hRule="atLeast"/>
        </w:trPr>
        <w:tc>
          <w:tcPr>
            <w:tcW w:w="960" w:type="dxa"/>
          </w:tcPr>
          <w:p>
            <w:pPr>
              <w:pStyle w:val="TableParagraph"/>
              <w:spacing w:before="156"/>
              <w:ind w:left="218" w:right="209"/>
              <w:jc w:val="center"/>
              <w:rPr>
                <w:sz w:val="24"/>
              </w:rPr>
            </w:pPr>
            <w:r>
              <w:rPr>
                <w:sz w:val="24"/>
              </w:rPr>
              <w:t>10</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3" w:hRule="atLeast"/>
        </w:trPr>
        <w:tc>
          <w:tcPr>
            <w:tcW w:w="960" w:type="dxa"/>
          </w:tcPr>
          <w:p>
            <w:pPr>
              <w:pStyle w:val="TableParagraph"/>
              <w:spacing w:before="155"/>
              <w:ind w:left="218" w:right="209"/>
              <w:jc w:val="center"/>
              <w:rPr>
                <w:sz w:val="24"/>
              </w:rPr>
            </w:pPr>
            <w:r>
              <w:rPr>
                <w:sz w:val="24"/>
              </w:rPr>
              <w:t>11</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3" w:hRule="atLeast"/>
        </w:trPr>
        <w:tc>
          <w:tcPr>
            <w:tcW w:w="960" w:type="dxa"/>
          </w:tcPr>
          <w:p>
            <w:pPr>
              <w:pStyle w:val="TableParagraph"/>
              <w:spacing w:before="156"/>
              <w:ind w:left="218" w:right="209"/>
              <w:jc w:val="center"/>
              <w:rPr>
                <w:sz w:val="24"/>
              </w:rPr>
            </w:pPr>
            <w:r>
              <w:rPr>
                <w:sz w:val="24"/>
              </w:rPr>
              <w:t>12</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3" w:hRule="atLeast"/>
        </w:trPr>
        <w:tc>
          <w:tcPr>
            <w:tcW w:w="960" w:type="dxa"/>
          </w:tcPr>
          <w:p>
            <w:pPr>
              <w:pStyle w:val="TableParagraph"/>
              <w:spacing w:before="155"/>
              <w:ind w:left="218" w:right="209"/>
              <w:jc w:val="center"/>
              <w:rPr>
                <w:sz w:val="24"/>
              </w:rPr>
            </w:pPr>
            <w:r>
              <w:rPr>
                <w:sz w:val="24"/>
              </w:rPr>
              <w:t>13</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3" w:hRule="atLeast"/>
        </w:trPr>
        <w:tc>
          <w:tcPr>
            <w:tcW w:w="960" w:type="dxa"/>
          </w:tcPr>
          <w:p>
            <w:pPr>
              <w:pStyle w:val="TableParagraph"/>
              <w:spacing w:before="155"/>
              <w:ind w:left="218" w:right="209"/>
              <w:jc w:val="center"/>
              <w:rPr>
                <w:sz w:val="24"/>
              </w:rPr>
            </w:pPr>
            <w:r>
              <w:rPr>
                <w:sz w:val="24"/>
              </w:rPr>
              <w:t>14</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6" w:hRule="atLeast"/>
        </w:trPr>
        <w:tc>
          <w:tcPr>
            <w:tcW w:w="960" w:type="dxa"/>
          </w:tcPr>
          <w:p>
            <w:pPr>
              <w:pStyle w:val="TableParagraph"/>
              <w:spacing w:before="158"/>
              <w:ind w:left="218" w:right="209"/>
              <w:jc w:val="center"/>
              <w:rPr>
                <w:sz w:val="24"/>
              </w:rPr>
            </w:pPr>
            <w:r>
              <w:rPr>
                <w:sz w:val="24"/>
              </w:rPr>
              <w:t>15</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4" w:hRule="atLeast"/>
        </w:trPr>
        <w:tc>
          <w:tcPr>
            <w:tcW w:w="960" w:type="dxa"/>
          </w:tcPr>
          <w:p>
            <w:pPr>
              <w:pStyle w:val="TableParagraph"/>
              <w:spacing w:before="156"/>
              <w:ind w:left="218" w:right="209"/>
              <w:jc w:val="center"/>
              <w:rPr>
                <w:sz w:val="24"/>
              </w:rPr>
            </w:pPr>
            <w:r>
              <w:rPr>
                <w:sz w:val="24"/>
              </w:rPr>
              <w:t>16</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3" w:hRule="atLeast"/>
        </w:trPr>
        <w:tc>
          <w:tcPr>
            <w:tcW w:w="960" w:type="dxa"/>
          </w:tcPr>
          <w:p>
            <w:pPr>
              <w:pStyle w:val="TableParagraph"/>
              <w:spacing w:before="155"/>
              <w:ind w:left="218" w:right="209"/>
              <w:jc w:val="center"/>
              <w:rPr>
                <w:sz w:val="24"/>
              </w:rPr>
            </w:pPr>
            <w:r>
              <w:rPr>
                <w:sz w:val="24"/>
              </w:rPr>
              <w:t>17</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3" w:hRule="atLeast"/>
        </w:trPr>
        <w:tc>
          <w:tcPr>
            <w:tcW w:w="960" w:type="dxa"/>
          </w:tcPr>
          <w:p>
            <w:pPr>
              <w:pStyle w:val="TableParagraph"/>
              <w:spacing w:before="155"/>
              <w:ind w:left="218" w:right="209"/>
              <w:jc w:val="center"/>
              <w:rPr>
                <w:sz w:val="24"/>
              </w:rPr>
            </w:pPr>
            <w:r>
              <w:rPr>
                <w:sz w:val="24"/>
              </w:rPr>
              <w:t>18</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r>
        <w:trPr>
          <w:trHeight w:val="623" w:hRule="atLeast"/>
        </w:trPr>
        <w:tc>
          <w:tcPr>
            <w:tcW w:w="960" w:type="dxa"/>
          </w:tcPr>
          <w:p>
            <w:pPr>
              <w:pStyle w:val="TableParagraph"/>
              <w:spacing w:before="155"/>
              <w:ind w:left="218" w:right="209"/>
              <w:jc w:val="center"/>
              <w:rPr>
                <w:sz w:val="24"/>
              </w:rPr>
            </w:pPr>
            <w:r>
              <w:rPr>
                <w:sz w:val="24"/>
              </w:rPr>
              <w:t>19</w:t>
            </w:r>
          </w:p>
        </w:tc>
        <w:tc>
          <w:tcPr>
            <w:tcW w:w="1561" w:type="dxa"/>
          </w:tcPr>
          <w:p>
            <w:pPr>
              <w:pStyle w:val="TableParagraph"/>
              <w:rPr>
                <w:rFonts w:ascii="Times New Roman"/>
                <w:sz w:val="26"/>
              </w:rPr>
            </w:pPr>
          </w:p>
        </w:tc>
        <w:tc>
          <w:tcPr>
            <w:tcW w:w="5104" w:type="dxa"/>
          </w:tcPr>
          <w:p>
            <w:pPr>
              <w:pStyle w:val="TableParagraph"/>
              <w:rPr>
                <w:rFonts w:ascii="Times New Roman"/>
                <w:sz w:val="26"/>
              </w:rPr>
            </w:pPr>
          </w:p>
        </w:tc>
        <w:tc>
          <w:tcPr>
            <w:tcW w:w="1450" w:type="dxa"/>
          </w:tcPr>
          <w:p>
            <w:pPr>
              <w:pStyle w:val="TableParagraph"/>
              <w:rPr>
                <w:rFonts w:ascii="Times New Roman"/>
                <w:sz w:val="26"/>
              </w:rPr>
            </w:pPr>
          </w:p>
        </w:tc>
      </w:tr>
    </w:tbl>
    <w:p>
      <w:pPr>
        <w:spacing w:after="0"/>
        <w:rPr>
          <w:rFonts w:ascii="Times New Roman"/>
          <w:sz w:val="26"/>
        </w:rPr>
        <w:sectPr>
          <w:pgSz w:w="11910" w:h="16840"/>
          <w:pgMar w:header="0" w:footer="1035" w:top="1440" w:bottom="1220" w:left="1020" w:right="560"/>
        </w:sectPr>
      </w:pPr>
    </w:p>
    <w:tbl>
      <w:tblPr>
        <w:tblW w:w="0" w:type="auto"/>
        <w:jc w:val="left"/>
        <w:tblInd w:w="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1561"/>
        <w:gridCol w:w="5104"/>
        <w:gridCol w:w="1450"/>
      </w:tblGrid>
      <w:tr>
        <w:trPr>
          <w:trHeight w:val="624" w:hRule="atLeast"/>
        </w:trPr>
        <w:tc>
          <w:tcPr>
            <w:tcW w:w="960" w:type="dxa"/>
          </w:tcPr>
          <w:p>
            <w:pPr>
              <w:pStyle w:val="TableParagraph"/>
              <w:spacing w:before="155"/>
              <w:ind w:left="359"/>
              <w:rPr>
                <w:sz w:val="24"/>
              </w:rPr>
            </w:pPr>
            <w:r>
              <w:rPr>
                <w:sz w:val="24"/>
              </w:rPr>
              <w:t>20</w:t>
            </w:r>
          </w:p>
        </w:tc>
        <w:tc>
          <w:tcPr>
            <w:tcW w:w="1561" w:type="dxa"/>
          </w:tcPr>
          <w:p>
            <w:pPr>
              <w:pStyle w:val="TableParagraph"/>
              <w:rPr>
                <w:rFonts w:ascii="Times New Roman"/>
                <w:sz w:val="24"/>
              </w:rPr>
            </w:pPr>
          </w:p>
        </w:tc>
        <w:tc>
          <w:tcPr>
            <w:tcW w:w="5104" w:type="dxa"/>
          </w:tcPr>
          <w:p>
            <w:pPr>
              <w:pStyle w:val="TableParagraph"/>
              <w:rPr>
                <w:rFonts w:ascii="Times New Roman"/>
                <w:sz w:val="24"/>
              </w:rPr>
            </w:pPr>
          </w:p>
        </w:tc>
        <w:tc>
          <w:tcPr>
            <w:tcW w:w="1450" w:type="dxa"/>
          </w:tcPr>
          <w:p>
            <w:pPr>
              <w:pStyle w:val="TableParagraph"/>
              <w:rPr>
                <w:rFonts w:ascii="Times New Roman"/>
                <w:sz w:val="24"/>
              </w:rPr>
            </w:pPr>
          </w:p>
        </w:tc>
      </w:tr>
      <w:tr>
        <w:trPr>
          <w:trHeight w:val="623" w:hRule="atLeast"/>
        </w:trPr>
        <w:tc>
          <w:tcPr>
            <w:tcW w:w="960" w:type="dxa"/>
          </w:tcPr>
          <w:p>
            <w:pPr>
              <w:pStyle w:val="TableParagraph"/>
              <w:spacing w:before="155"/>
              <w:ind w:left="359"/>
              <w:rPr>
                <w:sz w:val="24"/>
              </w:rPr>
            </w:pPr>
            <w:r>
              <w:rPr>
                <w:sz w:val="24"/>
              </w:rPr>
              <w:t>21</w:t>
            </w:r>
          </w:p>
        </w:tc>
        <w:tc>
          <w:tcPr>
            <w:tcW w:w="1561" w:type="dxa"/>
          </w:tcPr>
          <w:p>
            <w:pPr>
              <w:pStyle w:val="TableParagraph"/>
              <w:rPr>
                <w:rFonts w:ascii="Times New Roman"/>
                <w:sz w:val="24"/>
              </w:rPr>
            </w:pPr>
          </w:p>
        </w:tc>
        <w:tc>
          <w:tcPr>
            <w:tcW w:w="5104" w:type="dxa"/>
          </w:tcPr>
          <w:p>
            <w:pPr>
              <w:pStyle w:val="TableParagraph"/>
              <w:rPr>
                <w:rFonts w:ascii="Times New Roman"/>
                <w:sz w:val="24"/>
              </w:rPr>
            </w:pPr>
          </w:p>
        </w:tc>
        <w:tc>
          <w:tcPr>
            <w:tcW w:w="1450" w:type="dxa"/>
          </w:tcPr>
          <w:p>
            <w:pPr>
              <w:pStyle w:val="TableParagraph"/>
              <w:rPr>
                <w:rFonts w:ascii="Times New Roman"/>
                <w:sz w:val="24"/>
              </w:rPr>
            </w:pPr>
          </w:p>
        </w:tc>
      </w:tr>
      <w:tr>
        <w:trPr>
          <w:trHeight w:val="623" w:hRule="atLeast"/>
        </w:trPr>
        <w:tc>
          <w:tcPr>
            <w:tcW w:w="960" w:type="dxa"/>
          </w:tcPr>
          <w:p>
            <w:pPr>
              <w:pStyle w:val="TableParagraph"/>
              <w:spacing w:before="155"/>
              <w:ind w:left="359"/>
              <w:rPr>
                <w:sz w:val="24"/>
              </w:rPr>
            </w:pPr>
            <w:r>
              <w:rPr>
                <w:sz w:val="24"/>
              </w:rPr>
              <w:t>22</w:t>
            </w:r>
          </w:p>
        </w:tc>
        <w:tc>
          <w:tcPr>
            <w:tcW w:w="1561" w:type="dxa"/>
          </w:tcPr>
          <w:p>
            <w:pPr>
              <w:pStyle w:val="TableParagraph"/>
              <w:rPr>
                <w:rFonts w:ascii="Times New Roman"/>
                <w:sz w:val="24"/>
              </w:rPr>
            </w:pPr>
          </w:p>
        </w:tc>
        <w:tc>
          <w:tcPr>
            <w:tcW w:w="5104" w:type="dxa"/>
          </w:tcPr>
          <w:p>
            <w:pPr>
              <w:pStyle w:val="TableParagraph"/>
              <w:rPr>
                <w:rFonts w:ascii="Times New Roman"/>
                <w:sz w:val="24"/>
              </w:rPr>
            </w:pPr>
          </w:p>
        </w:tc>
        <w:tc>
          <w:tcPr>
            <w:tcW w:w="1450" w:type="dxa"/>
          </w:tcPr>
          <w:p>
            <w:pPr>
              <w:pStyle w:val="TableParagraph"/>
              <w:rPr>
                <w:rFonts w:ascii="Times New Roman"/>
                <w:sz w:val="24"/>
              </w:rPr>
            </w:pPr>
          </w:p>
        </w:tc>
      </w:tr>
      <w:tr>
        <w:trPr>
          <w:trHeight w:val="626" w:hRule="atLeast"/>
        </w:trPr>
        <w:tc>
          <w:tcPr>
            <w:tcW w:w="960" w:type="dxa"/>
          </w:tcPr>
          <w:p>
            <w:pPr>
              <w:pStyle w:val="TableParagraph"/>
              <w:spacing w:before="158"/>
              <w:ind w:left="359"/>
              <w:rPr>
                <w:sz w:val="24"/>
              </w:rPr>
            </w:pPr>
            <w:r>
              <w:rPr>
                <w:sz w:val="24"/>
              </w:rPr>
              <w:t>23</w:t>
            </w:r>
          </w:p>
        </w:tc>
        <w:tc>
          <w:tcPr>
            <w:tcW w:w="1561" w:type="dxa"/>
          </w:tcPr>
          <w:p>
            <w:pPr>
              <w:pStyle w:val="TableParagraph"/>
              <w:rPr>
                <w:rFonts w:ascii="Times New Roman"/>
                <w:sz w:val="24"/>
              </w:rPr>
            </w:pPr>
          </w:p>
        </w:tc>
        <w:tc>
          <w:tcPr>
            <w:tcW w:w="5104" w:type="dxa"/>
          </w:tcPr>
          <w:p>
            <w:pPr>
              <w:pStyle w:val="TableParagraph"/>
              <w:rPr>
                <w:rFonts w:ascii="Times New Roman"/>
                <w:sz w:val="24"/>
              </w:rPr>
            </w:pPr>
          </w:p>
        </w:tc>
        <w:tc>
          <w:tcPr>
            <w:tcW w:w="1450" w:type="dxa"/>
          </w:tcPr>
          <w:p>
            <w:pPr>
              <w:pStyle w:val="TableParagraph"/>
              <w:rPr>
                <w:rFonts w:ascii="Times New Roman"/>
                <w:sz w:val="24"/>
              </w:rPr>
            </w:pPr>
          </w:p>
        </w:tc>
      </w:tr>
      <w:tr>
        <w:trPr>
          <w:trHeight w:val="623" w:hRule="atLeast"/>
        </w:trPr>
        <w:tc>
          <w:tcPr>
            <w:tcW w:w="960" w:type="dxa"/>
          </w:tcPr>
          <w:p>
            <w:pPr>
              <w:pStyle w:val="TableParagraph"/>
              <w:spacing w:before="155"/>
              <w:ind w:left="359"/>
              <w:rPr>
                <w:sz w:val="24"/>
              </w:rPr>
            </w:pPr>
            <w:r>
              <w:rPr>
                <w:sz w:val="24"/>
              </w:rPr>
              <w:t>24</w:t>
            </w:r>
          </w:p>
        </w:tc>
        <w:tc>
          <w:tcPr>
            <w:tcW w:w="1561" w:type="dxa"/>
          </w:tcPr>
          <w:p>
            <w:pPr>
              <w:pStyle w:val="TableParagraph"/>
              <w:rPr>
                <w:rFonts w:ascii="Times New Roman"/>
                <w:sz w:val="24"/>
              </w:rPr>
            </w:pPr>
          </w:p>
        </w:tc>
        <w:tc>
          <w:tcPr>
            <w:tcW w:w="5104" w:type="dxa"/>
          </w:tcPr>
          <w:p>
            <w:pPr>
              <w:pStyle w:val="TableParagraph"/>
              <w:rPr>
                <w:rFonts w:ascii="Times New Roman"/>
                <w:sz w:val="24"/>
              </w:rPr>
            </w:pPr>
          </w:p>
        </w:tc>
        <w:tc>
          <w:tcPr>
            <w:tcW w:w="1450" w:type="dxa"/>
          </w:tcPr>
          <w:p>
            <w:pPr>
              <w:pStyle w:val="TableParagraph"/>
              <w:rPr>
                <w:rFonts w:ascii="Times New Roman"/>
                <w:sz w:val="24"/>
              </w:rPr>
            </w:pPr>
          </w:p>
        </w:tc>
      </w:tr>
      <w:tr>
        <w:trPr>
          <w:trHeight w:val="623" w:hRule="atLeast"/>
        </w:trPr>
        <w:tc>
          <w:tcPr>
            <w:tcW w:w="960" w:type="dxa"/>
          </w:tcPr>
          <w:p>
            <w:pPr>
              <w:pStyle w:val="TableParagraph"/>
              <w:spacing w:before="156"/>
              <w:ind w:left="359"/>
              <w:rPr>
                <w:sz w:val="24"/>
              </w:rPr>
            </w:pPr>
            <w:r>
              <w:rPr>
                <w:sz w:val="24"/>
              </w:rPr>
              <w:t>25</w:t>
            </w:r>
          </w:p>
        </w:tc>
        <w:tc>
          <w:tcPr>
            <w:tcW w:w="1561" w:type="dxa"/>
          </w:tcPr>
          <w:p>
            <w:pPr>
              <w:pStyle w:val="TableParagraph"/>
              <w:rPr>
                <w:rFonts w:ascii="Times New Roman"/>
                <w:sz w:val="24"/>
              </w:rPr>
            </w:pPr>
          </w:p>
        </w:tc>
        <w:tc>
          <w:tcPr>
            <w:tcW w:w="5104" w:type="dxa"/>
          </w:tcPr>
          <w:p>
            <w:pPr>
              <w:pStyle w:val="TableParagraph"/>
              <w:rPr>
                <w:rFonts w:ascii="Times New Roman"/>
                <w:sz w:val="24"/>
              </w:rPr>
            </w:pPr>
          </w:p>
        </w:tc>
        <w:tc>
          <w:tcPr>
            <w:tcW w:w="1450" w:type="dxa"/>
          </w:tcPr>
          <w:p>
            <w:pPr>
              <w:pStyle w:val="TableParagraph"/>
              <w:rPr>
                <w:rFonts w:ascii="Times New Roman"/>
                <w:sz w:val="24"/>
              </w:rPr>
            </w:pPr>
          </w:p>
        </w:tc>
      </w:tr>
      <w:tr>
        <w:trPr>
          <w:trHeight w:val="624" w:hRule="atLeast"/>
        </w:trPr>
        <w:tc>
          <w:tcPr>
            <w:tcW w:w="960" w:type="dxa"/>
          </w:tcPr>
          <w:p>
            <w:pPr>
              <w:pStyle w:val="TableParagraph"/>
              <w:spacing w:before="156"/>
              <w:ind w:left="359"/>
              <w:rPr>
                <w:sz w:val="24"/>
              </w:rPr>
            </w:pPr>
            <w:r>
              <w:rPr>
                <w:sz w:val="24"/>
              </w:rPr>
              <w:t>26</w:t>
            </w:r>
          </w:p>
        </w:tc>
        <w:tc>
          <w:tcPr>
            <w:tcW w:w="1561" w:type="dxa"/>
          </w:tcPr>
          <w:p>
            <w:pPr>
              <w:pStyle w:val="TableParagraph"/>
              <w:rPr>
                <w:rFonts w:ascii="Times New Roman"/>
                <w:sz w:val="24"/>
              </w:rPr>
            </w:pPr>
          </w:p>
        </w:tc>
        <w:tc>
          <w:tcPr>
            <w:tcW w:w="5104" w:type="dxa"/>
          </w:tcPr>
          <w:p>
            <w:pPr>
              <w:pStyle w:val="TableParagraph"/>
              <w:rPr>
                <w:rFonts w:ascii="Times New Roman"/>
                <w:sz w:val="24"/>
              </w:rPr>
            </w:pPr>
          </w:p>
        </w:tc>
        <w:tc>
          <w:tcPr>
            <w:tcW w:w="1450" w:type="dxa"/>
          </w:tcPr>
          <w:p>
            <w:pPr>
              <w:pStyle w:val="TableParagraph"/>
              <w:rPr>
                <w:rFonts w:ascii="Times New Roman"/>
                <w:sz w:val="24"/>
              </w:rPr>
            </w:pPr>
          </w:p>
        </w:tc>
      </w:tr>
      <w:tr>
        <w:trPr>
          <w:trHeight w:val="623" w:hRule="atLeast"/>
        </w:trPr>
        <w:tc>
          <w:tcPr>
            <w:tcW w:w="960" w:type="dxa"/>
          </w:tcPr>
          <w:p>
            <w:pPr>
              <w:pStyle w:val="TableParagraph"/>
              <w:spacing w:before="155"/>
              <w:ind w:left="359"/>
              <w:rPr>
                <w:sz w:val="24"/>
              </w:rPr>
            </w:pPr>
            <w:r>
              <w:rPr>
                <w:sz w:val="24"/>
              </w:rPr>
              <w:t>27</w:t>
            </w:r>
          </w:p>
        </w:tc>
        <w:tc>
          <w:tcPr>
            <w:tcW w:w="1561" w:type="dxa"/>
          </w:tcPr>
          <w:p>
            <w:pPr>
              <w:pStyle w:val="TableParagraph"/>
              <w:rPr>
                <w:rFonts w:ascii="Times New Roman"/>
                <w:sz w:val="24"/>
              </w:rPr>
            </w:pPr>
          </w:p>
        </w:tc>
        <w:tc>
          <w:tcPr>
            <w:tcW w:w="5104" w:type="dxa"/>
          </w:tcPr>
          <w:p>
            <w:pPr>
              <w:pStyle w:val="TableParagraph"/>
              <w:rPr>
                <w:rFonts w:ascii="Times New Roman"/>
                <w:sz w:val="24"/>
              </w:rPr>
            </w:pPr>
          </w:p>
        </w:tc>
        <w:tc>
          <w:tcPr>
            <w:tcW w:w="1450" w:type="dxa"/>
          </w:tcPr>
          <w:p>
            <w:pPr>
              <w:pStyle w:val="TableParagraph"/>
              <w:rPr>
                <w:rFonts w:ascii="Times New Roman"/>
                <w:sz w:val="24"/>
              </w:rPr>
            </w:pPr>
          </w:p>
        </w:tc>
      </w:tr>
      <w:tr>
        <w:trPr>
          <w:trHeight w:val="623" w:hRule="atLeast"/>
        </w:trPr>
        <w:tc>
          <w:tcPr>
            <w:tcW w:w="960" w:type="dxa"/>
          </w:tcPr>
          <w:p>
            <w:pPr>
              <w:pStyle w:val="TableParagraph"/>
              <w:spacing w:before="156"/>
              <w:ind w:left="359"/>
              <w:rPr>
                <w:sz w:val="24"/>
              </w:rPr>
            </w:pPr>
            <w:r>
              <w:rPr>
                <w:sz w:val="24"/>
              </w:rPr>
              <w:t>28</w:t>
            </w:r>
          </w:p>
        </w:tc>
        <w:tc>
          <w:tcPr>
            <w:tcW w:w="1561" w:type="dxa"/>
          </w:tcPr>
          <w:p>
            <w:pPr>
              <w:pStyle w:val="TableParagraph"/>
              <w:rPr>
                <w:rFonts w:ascii="Times New Roman"/>
                <w:sz w:val="24"/>
              </w:rPr>
            </w:pPr>
          </w:p>
        </w:tc>
        <w:tc>
          <w:tcPr>
            <w:tcW w:w="5104" w:type="dxa"/>
          </w:tcPr>
          <w:p>
            <w:pPr>
              <w:pStyle w:val="TableParagraph"/>
              <w:rPr>
                <w:rFonts w:ascii="Times New Roman"/>
                <w:sz w:val="24"/>
              </w:rPr>
            </w:pPr>
          </w:p>
        </w:tc>
        <w:tc>
          <w:tcPr>
            <w:tcW w:w="1450" w:type="dxa"/>
          </w:tcPr>
          <w:p>
            <w:pPr>
              <w:pStyle w:val="TableParagraph"/>
              <w:rPr>
                <w:rFonts w:ascii="Times New Roman"/>
                <w:sz w:val="24"/>
              </w:rPr>
            </w:pPr>
          </w:p>
        </w:tc>
      </w:tr>
      <w:tr>
        <w:trPr>
          <w:trHeight w:val="626" w:hRule="atLeast"/>
        </w:trPr>
        <w:tc>
          <w:tcPr>
            <w:tcW w:w="960" w:type="dxa"/>
          </w:tcPr>
          <w:p>
            <w:pPr>
              <w:pStyle w:val="TableParagraph"/>
              <w:spacing w:before="158"/>
              <w:ind w:left="359"/>
              <w:rPr>
                <w:sz w:val="24"/>
              </w:rPr>
            </w:pPr>
            <w:r>
              <w:rPr>
                <w:sz w:val="24"/>
              </w:rPr>
              <w:t>29</w:t>
            </w:r>
          </w:p>
        </w:tc>
        <w:tc>
          <w:tcPr>
            <w:tcW w:w="1561" w:type="dxa"/>
          </w:tcPr>
          <w:p>
            <w:pPr>
              <w:pStyle w:val="TableParagraph"/>
              <w:rPr>
                <w:rFonts w:ascii="Times New Roman"/>
                <w:sz w:val="24"/>
              </w:rPr>
            </w:pPr>
          </w:p>
        </w:tc>
        <w:tc>
          <w:tcPr>
            <w:tcW w:w="5104" w:type="dxa"/>
          </w:tcPr>
          <w:p>
            <w:pPr>
              <w:pStyle w:val="TableParagraph"/>
              <w:rPr>
                <w:rFonts w:ascii="Times New Roman"/>
                <w:sz w:val="24"/>
              </w:rPr>
            </w:pPr>
          </w:p>
        </w:tc>
        <w:tc>
          <w:tcPr>
            <w:tcW w:w="1450" w:type="dxa"/>
          </w:tcPr>
          <w:p>
            <w:pPr>
              <w:pStyle w:val="TableParagraph"/>
              <w:rPr>
                <w:rFonts w:ascii="Times New Roman"/>
                <w:sz w:val="24"/>
              </w:rPr>
            </w:pPr>
          </w:p>
        </w:tc>
      </w:tr>
      <w:tr>
        <w:trPr>
          <w:trHeight w:val="623" w:hRule="atLeast"/>
        </w:trPr>
        <w:tc>
          <w:tcPr>
            <w:tcW w:w="960" w:type="dxa"/>
          </w:tcPr>
          <w:p>
            <w:pPr>
              <w:pStyle w:val="TableParagraph"/>
              <w:spacing w:before="156"/>
              <w:ind w:left="359"/>
              <w:rPr>
                <w:sz w:val="24"/>
              </w:rPr>
            </w:pPr>
            <w:r>
              <w:rPr>
                <w:sz w:val="24"/>
              </w:rPr>
              <w:t>30</w:t>
            </w:r>
          </w:p>
        </w:tc>
        <w:tc>
          <w:tcPr>
            <w:tcW w:w="1561" w:type="dxa"/>
          </w:tcPr>
          <w:p>
            <w:pPr>
              <w:pStyle w:val="TableParagraph"/>
              <w:rPr>
                <w:rFonts w:ascii="Times New Roman"/>
                <w:sz w:val="24"/>
              </w:rPr>
            </w:pPr>
          </w:p>
        </w:tc>
        <w:tc>
          <w:tcPr>
            <w:tcW w:w="5104" w:type="dxa"/>
          </w:tcPr>
          <w:p>
            <w:pPr>
              <w:pStyle w:val="TableParagraph"/>
              <w:rPr>
                <w:rFonts w:ascii="Times New Roman"/>
                <w:sz w:val="24"/>
              </w:rPr>
            </w:pPr>
          </w:p>
        </w:tc>
        <w:tc>
          <w:tcPr>
            <w:tcW w:w="1450" w:type="dxa"/>
          </w:tcPr>
          <w:p>
            <w:pPr>
              <w:pStyle w:val="TableParagraph"/>
              <w:rPr>
                <w:rFonts w:ascii="Times New Roman"/>
                <w:sz w:val="24"/>
              </w:rPr>
            </w:pPr>
          </w:p>
        </w:tc>
      </w:tr>
    </w:tbl>
    <w:p>
      <w:pPr>
        <w:spacing w:after="0"/>
        <w:rPr>
          <w:rFonts w:ascii="Times New Roman"/>
          <w:sz w:val="24"/>
        </w:rPr>
        <w:sectPr>
          <w:pgSz w:w="11910" w:h="16840"/>
          <w:pgMar w:header="0" w:footer="1035" w:top="1420" w:bottom="1220" w:left="1020" w:right="560"/>
        </w:sectPr>
      </w:pPr>
    </w:p>
    <w:p>
      <w:pPr>
        <w:spacing w:line="613" w:lineRule="exact" w:before="0"/>
        <w:ind w:left="0" w:right="460" w:firstLine="0"/>
        <w:jc w:val="center"/>
        <w:rPr>
          <w:rFonts w:ascii="方正小标宋简体" w:eastAsia="方正小标宋简体" w:hint="eastAsia"/>
          <w:b/>
          <w:sz w:val="36"/>
        </w:rPr>
      </w:pPr>
      <w:r>
        <w:rPr>
          <w:rFonts w:ascii="方正小标宋简体" w:eastAsia="方正小标宋简体" w:hint="eastAsia"/>
          <w:b/>
          <w:sz w:val="36"/>
        </w:rPr>
        <w:t>自然科学基金委参会代表名单</w:t>
      </w:r>
    </w:p>
    <w:p>
      <w:pPr>
        <w:pStyle w:val="BodyText"/>
        <w:spacing w:before="4"/>
        <w:rPr>
          <w:rFonts w:ascii="方正小标宋简体"/>
          <w:b/>
          <w:sz w:val="17"/>
        </w:rPr>
      </w:pPr>
    </w:p>
    <w:tbl>
      <w:tblPr>
        <w:tblW w:w="0" w:type="auto"/>
        <w:jc w:val="left"/>
        <w:tblInd w:w="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1561"/>
        <w:gridCol w:w="3678"/>
        <w:gridCol w:w="2877"/>
      </w:tblGrid>
      <w:tr>
        <w:trPr>
          <w:trHeight w:val="520" w:hRule="atLeast"/>
        </w:trPr>
        <w:tc>
          <w:tcPr>
            <w:tcW w:w="960" w:type="dxa"/>
          </w:tcPr>
          <w:p>
            <w:pPr>
              <w:pStyle w:val="TableParagraph"/>
              <w:spacing w:before="103"/>
              <w:ind w:left="218" w:right="209"/>
              <w:jc w:val="center"/>
              <w:rPr>
                <w:b/>
                <w:sz w:val="24"/>
              </w:rPr>
            </w:pPr>
            <w:r>
              <w:rPr>
                <w:b/>
                <w:sz w:val="24"/>
              </w:rPr>
              <w:t>序号</w:t>
            </w:r>
          </w:p>
        </w:tc>
        <w:tc>
          <w:tcPr>
            <w:tcW w:w="1561" w:type="dxa"/>
          </w:tcPr>
          <w:p>
            <w:pPr>
              <w:pStyle w:val="TableParagraph"/>
              <w:spacing w:before="103"/>
              <w:ind w:left="518" w:right="510"/>
              <w:jc w:val="center"/>
              <w:rPr>
                <w:b/>
                <w:sz w:val="24"/>
              </w:rPr>
            </w:pPr>
            <w:r>
              <w:rPr>
                <w:b/>
                <w:sz w:val="24"/>
              </w:rPr>
              <w:t>姓名</w:t>
            </w:r>
          </w:p>
        </w:tc>
        <w:tc>
          <w:tcPr>
            <w:tcW w:w="3678" w:type="dxa"/>
          </w:tcPr>
          <w:p>
            <w:pPr>
              <w:pStyle w:val="TableParagraph"/>
              <w:spacing w:before="103"/>
              <w:ind w:left="1576" w:right="1569"/>
              <w:jc w:val="center"/>
              <w:rPr>
                <w:b/>
                <w:sz w:val="24"/>
              </w:rPr>
            </w:pPr>
            <w:r>
              <w:rPr>
                <w:b/>
                <w:sz w:val="24"/>
              </w:rPr>
              <w:t>单位</w:t>
            </w:r>
          </w:p>
        </w:tc>
        <w:tc>
          <w:tcPr>
            <w:tcW w:w="2877" w:type="dxa"/>
          </w:tcPr>
          <w:p>
            <w:pPr>
              <w:pStyle w:val="TableParagraph"/>
              <w:spacing w:before="103"/>
              <w:ind w:left="903"/>
              <w:rPr>
                <w:b/>
                <w:sz w:val="24"/>
              </w:rPr>
            </w:pPr>
            <w:r>
              <w:rPr>
                <w:b/>
                <w:sz w:val="24"/>
              </w:rPr>
              <w:t>职务</w:t>
            </w:r>
            <w:r>
              <w:rPr>
                <w:rFonts w:ascii="Calibri" w:eastAsia="Calibri"/>
                <w:b/>
                <w:sz w:val="24"/>
              </w:rPr>
              <w:t>/</w:t>
            </w:r>
            <w:r>
              <w:rPr>
                <w:b/>
                <w:sz w:val="24"/>
              </w:rPr>
              <w:t>职称</w:t>
            </w:r>
          </w:p>
        </w:tc>
      </w:tr>
      <w:tr>
        <w:trPr>
          <w:trHeight w:val="623" w:hRule="atLeast"/>
        </w:trPr>
        <w:tc>
          <w:tcPr>
            <w:tcW w:w="960" w:type="dxa"/>
          </w:tcPr>
          <w:p>
            <w:pPr>
              <w:pStyle w:val="TableParagraph"/>
              <w:spacing w:before="165"/>
              <w:ind w:left="6"/>
              <w:jc w:val="center"/>
              <w:rPr>
                <w:rFonts w:ascii="Calibri"/>
                <w:sz w:val="24"/>
              </w:rPr>
            </w:pPr>
            <w:r>
              <w:rPr>
                <w:rFonts w:ascii="Calibri"/>
                <w:sz w:val="24"/>
              </w:rPr>
              <w:t>1</w:t>
            </w:r>
          </w:p>
        </w:tc>
        <w:tc>
          <w:tcPr>
            <w:tcW w:w="1561" w:type="dxa"/>
          </w:tcPr>
          <w:p>
            <w:pPr>
              <w:pStyle w:val="TableParagraph"/>
              <w:rPr>
                <w:rFonts w:ascii="Times New Roman"/>
                <w:sz w:val="28"/>
              </w:rPr>
            </w:pPr>
          </w:p>
        </w:tc>
        <w:tc>
          <w:tcPr>
            <w:tcW w:w="3678" w:type="dxa"/>
          </w:tcPr>
          <w:p>
            <w:pPr>
              <w:pStyle w:val="TableParagraph"/>
              <w:rPr>
                <w:rFonts w:ascii="Times New Roman"/>
                <w:sz w:val="28"/>
              </w:rPr>
            </w:pPr>
          </w:p>
        </w:tc>
        <w:tc>
          <w:tcPr>
            <w:tcW w:w="2877" w:type="dxa"/>
          </w:tcPr>
          <w:p>
            <w:pPr>
              <w:pStyle w:val="TableParagraph"/>
              <w:rPr>
                <w:rFonts w:ascii="Times New Roman"/>
                <w:sz w:val="28"/>
              </w:rPr>
            </w:pPr>
          </w:p>
        </w:tc>
      </w:tr>
      <w:tr>
        <w:trPr>
          <w:trHeight w:val="623" w:hRule="atLeast"/>
        </w:trPr>
        <w:tc>
          <w:tcPr>
            <w:tcW w:w="960" w:type="dxa"/>
          </w:tcPr>
          <w:p>
            <w:pPr>
              <w:pStyle w:val="TableParagraph"/>
              <w:spacing w:before="165"/>
              <w:ind w:left="6"/>
              <w:jc w:val="center"/>
              <w:rPr>
                <w:rFonts w:ascii="Calibri"/>
                <w:sz w:val="24"/>
              </w:rPr>
            </w:pPr>
            <w:r>
              <w:rPr>
                <w:rFonts w:ascii="Calibri"/>
                <w:sz w:val="24"/>
              </w:rPr>
              <w:t>2</w:t>
            </w:r>
          </w:p>
        </w:tc>
        <w:tc>
          <w:tcPr>
            <w:tcW w:w="1561" w:type="dxa"/>
          </w:tcPr>
          <w:p>
            <w:pPr>
              <w:pStyle w:val="TableParagraph"/>
              <w:rPr>
                <w:rFonts w:ascii="Times New Roman"/>
                <w:sz w:val="28"/>
              </w:rPr>
            </w:pPr>
          </w:p>
        </w:tc>
        <w:tc>
          <w:tcPr>
            <w:tcW w:w="3678" w:type="dxa"/>
          </w:tcPr>
          <w:p>
            <w:pPr>
              <w:pStyle w:val="TableParagraph"/>
              <w:rPr>
                <w:rFonts w:ascii="Times New Roman"/>
                <w:sz w:val="28"/>
              </w:rPr>
            </w:pPr>
          </w:p>
        </w:tc>
        <w:tc>
          <w:tcPr>
            <w:tcW w:w="2877" w:type="dxa"/>
          </w:tcPr>
          <w:p>
            <w:pPr>
              <w:pStyle w:val="TableParagraph"/>
              <w:rPr>
                <w:rFonts w:ascii="Times New Roman"/>
                <w:sz w:val="28"/>
              </w:rPr>
            </w:pPr>
          </w:p>
        </w:tc>
      </w:tr>
      <w:tr>
        <w:trPr>
          <w:trHeight w:val="623" w:hRule="atLeast"/>
        </w:trPr>
        <w:tc>
          <w:tcPr>
            <w:tcW w:w="960" w:type="dxa"/>
          </w:tcPr>
          <w:p>
            <w:pPr>
              <w:pStyle w:val="TableParagraph"/>
              <w:spacing w:before="165"/>
              <w:ind w:left="6"/>
              <w:jc w:val="center"/>
              <w:rPr>
                <w:rFonts w:ascii="Calibri"/>
                <w:sz w:val="24"/>
              </w:rPr>
            </w:pPr>
            <w:r>
              <w:rPr>
                <w:rFonts w:ascii="Calibri"/>
                <w:sz w:val="24"/>
              </w:rPr>
              <w:t>3</w:t>
            </w:r>
          </w:p>
        </w:tc>
        <w:tc>
          <w:tcPr>
            <w:tcW w:w="1561" w:type="dxa"/>
          </w:tcPr>
          <w:p>
            <w:pPr>
              <w:pStyle w:val="TableParagraph"/>
              <w:rPr>
                <w:rFonts w:ascii="Times New Roman"/>
                <w:sz w:val="28"/>
              </w:rPr>
            </w:pPr>
          </w:p>
        </w:tc>
        <w:tc>
          <w:tcPr>
            <w:tcW w:w="3678" w:type="dxa"/>
          </w:tcPr>
          <w:p>
            <w:pPr>
              <w:pStyle w:val="TableParagraph"/>
              <w:rPr>
                <w:rFonts w:ascii="Times New Roman"/>
                <w:sz w:val="28"/>
              </w:rPr>
            </w:pPr>
          </w:p>
        </w:tc>
        <w:tc>
          <w:tcPr>
            <w:tcW w:w="2877" w:type="dxa"/>
          </w:tcPr>
          <w:p>
            <w:pPr>
              <w:pStyle w:val="TableParagraph"/>
              <w:rPr>
                <w:rFonts w:ascii="Times New Roman"/>
                <w:sz w:val="28"/>
              </w:rPr>
            </w:pPr>
          </w:p>
        </w:tc>
      </w:tr>
      <w:tr>
        <w:trPr>
          <w:trHeight w:val="623" w:hRule="atLeast"/>
        </w:trPr>
        <w:tc>
          <w:tcPr>
            <w:tcW w:w="960" w:type="dxa"/>
          </w:tcPr>
          <w:p>
            <w:pPr>
              <w:pStyle w:val="TableParagraph"/>
              <w:spacing w:before="165"/>
              <w:ind w:left="6"/>
              <w:jc w:val="center"/>
              <w:rPr>
                <w:rFonts w:ascii="Calibri"/>
                <w:sz w:val="24"/>
              </w:rPr>
            </w:pPr>
            <w:r>
              <w:rPr>
                <w:rFonts w:ascii="Calibri"/>
                <w:sz w:val="24"/>
              </w:rPr>
              <w:t>4</w:t>
            </w:r>
          </w:p>
        </w:tc>
        <w:tc>
          <w:tcPr>
            <w:tcW w:w="1561" w:type="dxa"/>
          </w:tcPr>
          <w:p>
            <w:pPr>
              <w:pStyle w:val="TableParagraph"/>
              <w:rPr>
                <w:rFonts w:ascii="Times New Roman"/>
                <w:sz w:val="28"/>
              </w:rPr>
            </w:pPr>
          </w:p>
        </w:tc>
        <w:tc>
          <w:tcPr>
            <w:tcW w:w="3678" w:type="dxa"/>
          </w:tcPr>
          <w:p>
            <w:pPr>
              <w:pStyle w:val="TableParagraph"/>
              <w:rPr>
                <w:rFonts w:ascii="Times New Roman"/>
                <w:sz w:val="28"/>
              </w:rPr>
            </w:pPr>
          </w:p>
        </w:tc>
        <w:tc>
          <w:tcPr>
            <w:tcW w:w="2877" w:type="dxa"/>
          </w:tcPr>
          <w:p>
            <w:pPr>
              <w:pStyle w:val="TableParagraph"/>
              <w:rPr>
                <w:rFonts w:ascii="Times New Roman"/>
                <w:sz w:val="28"/>
              </w:rPr>
            </w:pPr>
          </w:p>
        </w:tc>
      </w:tr>
      <w:tr>
        <w:trPr>
          <w:trHeight w:val="626" w:hRule="atLeast"/>
        </w:trPr>
        <w:tc>
          <w:tcPr>
            <w:tcW w:w="960" w:type="dxa"/>
          </w:tcPr>
          <w:p>
            <w:pPr>
              <w:pStyle w:val="TableParagraph"/>
              <w:spacing w:before="168"/>
              <w:ind w:left="6"/>
              <w:jc w:val="center"/>
              <w:rPr>
                <w:rFonts w:ascii="Calibri"/>
                <w:sz w:val="24"/>
              </w:rPr>
            </w:pPr>
            <w:r>
              <w:rPr>
                <w:rFonts w:ascii="Calibri"/>
                <w:sz w:val="24"/>
              </w:rPr>
              <w:t>5</w:t>
            </w:r>
          </w:p>
        </w:tc>
        <w:tc>
          <w:tcPr>
            <w:tcW w:w="1561" w:type="dxa"/>
          </w:tcPr>
          <w:p>
            <w:pPr>
              <w:pStyle w:val="TableParagraph"/>
              <w:rPr>
                <w:rFonts w:ascii="Times New Roman"/>
                <w:sz w:val="28"/>
              </w:rPr>
            </w:pPr>
          </w:p>
        </w:tc>
        <w:tc>
          <w:tcPr>
            <w:tcW w:w="3678" w:type="dxa"/>
          </w:tcPr>
          <w:p>
            <w:pPr>
              <w:pStyle w:val="TableParagraph"/>
              <w:rPr>
                <w:rFonts w:ascii="Times New Roman"/>
                <w:sz w:val="28"/>
              </w:rPr>
            </w:pPr>
          </w:p>
        </w:tc>
        <w:tc>
          <w:tcPr>
            <w:tcW w:w="2877" w:type="dxa"/>
          </w:tcPr>
          <w:p>
            <w:pPr>
              <w:pStyle w:val="TableParagraph"/>
              <w:rPr>
                <w:rFonts w:ascii="Times New Roman"/>
                <w:sz w:val="28"/>
              </w:rPr>
            </w:pPr>
          </w:p>
        </w:tc>
      </w:tr>
      <w:tr>
        <w:trPr>
          <w:trHeight w:val="623" w:hRule="atLeast"/>
        </w:trPr>
        <w:tc>
          <w:tcPr>
            <w:tcW w:w="960" w:type="dxa"/>
          </w:tcPr>
          <w:p>
            <w:pPr>
              <w:pStyle w:val="TableParagraph"/>
              <w:spacing w:before="165"/>
              <w:ind w:left="6"/>
              <w:jc w:val="center"/>
              <w:rPr>
                <w:rFonts w:ascii="Calibri"/>
                <w:sz w:val="24"/>
              </w:rPr>
            </w:pPr>
            <w:r>
              <w:rPr>
                <w:rFonts w:ascii="Calibri"/>
                <w:sz w:val="24"/>
              </w:rPr>
              <w:t>6</w:t>
            </w:r>
          </w:p>
        </w:tc>
        <w:tc>
          <w:tcPr>
            <w:tcW w:w="1561" w:type="dxa"/>
          </w:tcPr>
          <w:p>
            <w:pPr>
              <w:pStyle w:val="TableParagraph"/>
              <w:rPr>
                <w:rFonts w:ascii="Times New Roman"/>
                <w:sz w:val="28"/>
              </w:rPr>
            </w:pPr>
          </w:p>
        </w:tc>
        <w:tc>
          <w:tcPr>
            <w:tcW w:w="3678" w:type="dxa"/>
          </w:tcPr>
          <w:p>
            <w:pPr>
              <w:pStyle w:val="TableParagraph"/>
              <w:rPr>
                <w:rFonts w:ascii="Times New Roman"/>
                <w:sz w:val="28"/>
              </w:rPr>
            </w:pPr>
          </w:p>
        </w:tc>
        <w:tc>
          <w:tcPr>
            <w:tcW w:w="2877" w:type="dxa"/>
          </w:tcPr>
          <w:p>
            <w:pPr>
              <w:pStyle w:val="TableParagraph"/>
              <w:rPr>
                <w:rFonts w:ascii="Times New Roman"/>
                <w:sz w:val="28"/>
              </w:rPr>
            </w:pPr>
          </w:p>
        </w:tc>
      </w:tr>
      <w:tr>
        <w:trPr>
          <w:trHeight w:val="623" w:hRule="atLeast"/>
        </w:trPr>
        <w:tc>
          <w:tcPr>
            <w:tcW w:w="960" w:type="dxa"/>
          </w:tcPr>
          <w:p>
            <w:pPr>
              <w:pStyle w:val="TableParagraph"/>
              <w:spacing w:before="165"/>
              <w:ind w:left="6"/>
              <w:jc w:val="center"/>
              <w:rPr>
                <w:rFonts w:ascii="Calibri"/>
                <w:sz w:val="24"/>
              </w:rPr>
            </w:pPr>
            <w:r>
              <w:rPr>
                <w:rFonts w:ascii="Calibri"/>
                <w:sz w:val="24"/>
              </w:rPr>
              <w:t>7</w:t>
            </w:r>
          </w:p>
        </w:tc>
        <w:tc>
          <w:tcPr>
            <w:tcW w:w="1561" w:type="dxa"/>
          </w:tcPr>
          <w:p>
            <w:pPr>
              <w:pStyle w:val="TableParagraph"/>
              <w:rPr>
                <w:rFonts w:ascii="Times New Roman"/>
                <w:sz w:val="28"/>
              </w:rPr>
            </w:pPr>
          </w:p>
        </w:tc>
        <w:tc>
          <w:tcPr>
            <w:tcW w:w="3678" w:type="dxa"/>
          </w:tcPr>
          <w:p>
            <w:pPr>
              <w:pStyle w:val="TableParagraph"/>
              <w:rPr>
                <w:rFonts w:ascii="Times New Roman"/>
                <w:sz w:val="28"/>
              </w:rPr>
            </w:pPr>
          </w:p>
        </w:tc>
        <w:tc>
          <w:tcPr>
            <w:tcW w:w="2877" w:type="dxa"/>
          </w:tcPr>
          <w:p>
            <w:pPr>
              <w:pStyle w:val="TableParagraph"/>
              <w:rPr>
                <w:rFonts w:ascii="Times New Roman"/>
                <w:sz w:val="28"/>
              </w:rPr>
            </w:pPr>
          </w:p>
        </w:tc>
      </w:tr>
      <w:tr>
        <w:trPr>
          <w:trHeight w:val="623" w:hRule="atLeast"/>
        </w:trPr>
        <w:tc>
          <w:tcPr>
            <w:tcW w:w="960" w:type="dxa"/>
          </w:tcPr>
          <w:p>
            <w:pPr>
              <w:pStyle w:val="TableParagraph"/>
              <w:spacing w:before="165"/>
              <w:ind w:left="6"/>
              <w:jc w:val="center"/>
              <w:rPr>
                <w:rFonts w:ascii="Calibri"/>
                <w:sz w:val="24"/>
              </w:rPr>
            </w:pPr>
            <w:r>
              <w:rPr>
                <w:rFonts w:ascii="Calibri"/>
                <w:sz w:val="24"/>
              </w:rPr>
              <w:t>8</w:t>
            </w:r>
          </w:p>
        </w:tc>
        <w:tc>
          <w:tcPr>
            <w:tcW w:w="1561" w:type="dxa"/>
          </w:tcPr>
          <w:p>
            <w:pPr>
              <w:pStyle w:val="TableParagraph"/>
              <w:rPr>
                <w:rFonts w:ascii="Times New Roman"/>
                <w:sz w:val="28"/>
              </w:rPr>
            </w:pPr>
          </w:p>
        </w:tc>
        <w:tc>
          <w:tcPr>
            <w:tcW w:w="3678" w:type="dxa"/>
          </w:tcPr>
          <w:p>
            <w:pPr>
              <w:pStyle w:val="TableParagraph"/>
              <w:rPr>
                <w:rFonts w:ascii="Times New Roman"/>
                <w:sz w:val="28"/>
              </w:rPr>
            </w:pPr>
          </w:p>
        </w:tc>
        <w:tc>
          <w:tcPr>
            <w:tcW w:w="2877" w:type="dxa"/>
          </w:tcPr>
          <w:p>
            <w:pPr>
              <w:pStyle w:val="TableParagraph"/>
              <w:rPr>
                <w:rFonts w:ascii="Times New Roman"/>
                <w:sz w:val="28"/>
              </w:rPr>
            </w:pPr>
          </w:p>
        </w:tc>
      </w:tr>
      <w:tr>
        <w:trPr>
          <w:trHeight w:val="623" w:hRule="atLeast"/>
        </w:trPr>
        <w:tc>
          <w:tcPr>
            <w:tcW w:w="960" w:type="dxa"/>
          </w:tcPr>
          <w:p>
            <w:pPr>
              <w:pStyle w:val="TableParagraph"/>
              <w:spacing w:before="165"/>
              <w:ind w:left="6"/>
              <w:jc w:val="center"/>
              <w:rPr>
                <w:rFonts w:ascii="Calibri"/>
                <w:sz w:val="24"/>
              </w:rPr>
            </w:pPr>
            <w:r>
              <w:rPr>
                <w:rFonts w:ascii="Calibri"/>
                <w:sz w:val="24"/>
              </w:rPr>
              <w:t>9</w:t>
            </w:r>
          </w:p>
        </w:tc>
        <w:tc>
          <w:tcPr>
            <w:tcW w:w="1561" w:type="dxa"/>
          </w:tcPr>
          <w:p>
            <w:pPr>
              <w:pStyle w:val="TableParagraph"/>
              <w:rPr>
                <w:rFonts w:ascii="Times New Roman"/>
                <w:sz w:val="28"/>
              </w:rPr>
            </w:pPr>
          </w:p>
        </w:tc>
        <w:tc>
          <w:tcPr>
            <w:tcW w:w="3678" w:type="dxa"/>
          </w:tcPr>
          <w:p>
            <w:pPr>
              <w:pStyle w:val="TableParagraph"/>
              <w:rPr>
                <w:rFonts w:ascii="Times New Roman"/>
                <w:sz w:val="28"/>
              </w:rPr>
            </w:pPr>
          </w:p>
        </w:tc>
        <w:tc>
          <w:tcPr>
            <w:tcW w:w="2877" w:type="dxa"/>
          </w:tcPr>
          <w:p>
            <w:pPr>
              <w:pStyle w:val="TableParagraph"/>
              <w:rPr>
                <w:rFonts w:ascii="Times New Roman"/>
                <w:sz w:val="28"/>
              </w:rPr>
            </w:pPr>
          </w:p>
        </w:tc>
      </w:tr>
      <w:tr>
        <w:trPr>
          <w:trHeight w:val="626" w:hRule="atLeast"/>
        </w:trPr>
        <w:tc>
          <w:tcPr>
            <w:tcW w:w="960" w:type="dxa"/>
          </w:tcPr>
          <w:p>
            <w:pPr>
              <w:pStyle w:val="TableParagraph"/>
              <w:spacing w:before="165"/>
              <w:ind w:left="218" w:right="209"/>
              <w:jc w:val="center"/>
              <w:rPr>
                <w:rFonts w:ascii="Calibri"/>
                <w:sz w:val="24"/>
              </w:rPr>
            </w:pPr>
            <w:r>
              <w:rPr>
                <w:rFonts w:ascii="Calibri"/>
                <w:sz w:val="24"/>
              </w:rPr>
              <w:t>10</w:t>
            </w:r>
          </w:p>
        </w:tc>
        <w:tc>
          <w:tcPr>
            <w:tcW w:w="1561" w:type="dxa"/>
          </w:tcPr>
          <w:p>
            <w:pPr>
              <w:pStyle w:val="TableParagraph"/>
              <w:rPr>
                <w:rFonts w:ascii="Times New Roman"/>
                <w:sz w:val="28"/>
              </w:rPr>
            </w:pPr>
          </w:p>
        </w:tc>
        <w:tc>
          <w:tcPr>
            <w:tcW w:w="3678" w:type="dxa"/>
          </w:tcPr>
          <w:p>
            <w:pPr>
              <w:pStyle w:val="TableParagraph"/>
              <w:rPr>
                <w:rFonts w:ascii="Times New Roman"/>
                <w:sz w:val="28"/>
              </w:rPr>
            </w:pPr>
          </w:p>
        </w:tc>
        <w:tc>
          <w:tcPr>
            <w:tcW w:w="2877" w:type="dxa"/>
          </w:tcPr>
          <w:p>
            <w:pPr>
              <w:pStyle w:val="TableParagraph"/>
              <w:rPr>
                <w:rFonts w:ascii="Times New Roman"/>
                <w:sz w:val="28"/>
              </w:rPr>
            </w:pPr>
          </w:p>
        </w:tc>
      </w:tr>
    </w:tbl>
    <w:p>
      <w:pPr>
        <w:spacing w:after="0"/>
        <w:rPr>
          <w:rFonts w:ascii="Times New Roman"/>
          <w:sz w:val="28"/>
        </w:rPr>
        <w:sectPr>
          <w:pgSz w:w="11910" w:h="16840"/>
          <w:pgMar w:header="0" w:footer="1035" w:top="1440" w:bottom="1220" w:left="1020" w:right="560"/>
        </w:sectPr>
      </w:pPr>
    </w:p>
    <w:p>
      <w:pPr>
        <w:spacing w:line="613" w:lineRule="exact" w:before="0"/>
        <w:ind w:left="0" w:right="598" w:firstLine="0"/>
        <w:jc w:val="center"/>
        <w:rPr>
          <w:rFonts w:ascii="方正小标宋简体" w:eastAsia="方正小标宋简体" w:hint="eastAsia"/>
          <w:b/>
          <w:sz w:val="36"/>
        </w:rPr>
      </w:pPr>
      <w:r>
        <w:rPr>
          <w:rFonts w:ascii="方正小标宋简体" w:eastAsia="方正小标宋简体" w:hint="eastAsia"/>
          <w:b/>
          <w:sz w:val="36"/>
        </w:rPr>
        <w:t>报告摘要目录</w:t>
      </w:r>
    </w:p>
    <w:p>
      <w:pPr>
        <w:spacing w:after="0" w:line="613" w:lineRule="exact"/>
        <w:jc w:val="center"/>
        <w:rPr>
          <w:rFonts w:ascii="方正小标宋简体" w:eastAsia="方正小标宋简体" w:hint="eastAsia"/>
          <w:sz w:val="36"/>
        </w:rPr>
        <w:sectPr>
          <w:pgSz w:w="11910" w:h="16840"/>
          <w:pgMar w:header="0" w:footer="1035" w:top="1440" w:bottom="1300" w:left="1020" w:right="560"/>
        </w:sectPr>
      </w:pPr>
    </w:p>
    <w:p>
      <w:pPr>
        <w:spacing w:line="605" w:lineRule="exact" w:before="0"/>
        <w:ind w:left="0" w:right="458" w:firstLine="0"/>
        <w:jc w:val="center"/>
        <w:rPr>
          <w:rFonts w:ascii="方正小标宋简体" w:eastAsia="方正小标宋简体" w:hint="eastAsia"/>
          <w:b/>
          <w:sz w:val="36"/>
        </w:rPr>
      </w:pPr>
      <w:r>
        <w:rPr>
          <w:rFonts w:ascii="方正小标宋简体" w:eastAsia="方正小标宋简体" w:hint="eastAsia"/>
          <w:b/>
          <w:sz w:val="36"/>
        </w:rPr>
        <w:t>报告摘要</w:t>
      </w:r>
    </w:p>
    <w:p>
      <w:pPr>
        <w:pStyle w:val="Heading5"/>
      </w:pPr>
      <w:r>
        <w:rPr/>
        <w:t>（注意：每位代表限于一页篇幅）</w:t>
      </w:r>
    </w:p>
    <w:p>
      <w:pPr>
        <w:spacing w:after="0"/>
        <w:sectPr>
          <w:pgSz w:w="11910" w:h="16840"/>
          <w:pgMar w:header="0" w:footer="1035" w:top="1440" w:bottom="1300" w:left="1020" w:right="560"/>
        </w:sectPr>
      </w:pPr>
    </w:p>
    <w:p>
      <w:pPr>
        <w:spacing w:line="613" w:lineRule="exact" w:before="0"/>
        <w:ind w:left="0" w:right="456" w:firstLine="0"/>
        <w:jc w:val="center"/>
        <w:rPr>
          <w:rFonts w:ascii="方正小标宋简体" w:eastAsia="方正小标宋简体" w:hint="eastAsia"/>
          <w:b/>
          <w:sz w:val="36"/>
        </w:rPr>
      </w:pPr>
      <w:r>
        <w:rPr>
          <w:rFonts w:ascii="方正小标宋简体" w:eastAsia="方正小标宋简体" w:hint="eastAsia"/>
          <w:b/>
          <w:sz w:val="36"/>
        </w:rPr>
        <w:t>会议记录纸</w:t>
      </w:r>
    </w:p>
    <w:p>
      <w:pPr>
        <w:spacing w:before="111"/>
        <w:ind w:left="0" w:right="455" w:firstLine="0"/>
        <w:jc w:val="center"/>
        <w:rPr>
          <w:sz w:val="30"/>
        </w:rPr>
      </w:pPr>
      <w:r>
        <w:rPr>
          <w:sz w:val="30"/>
        </w:rPr>
        <w:t>（</w:t>
      </w:r>
      <w:r>
        <w:rPr>
          <w:rFonts w:ascii="Times New Roman" w:eastAsia="Times New Roman"/>
          <w:sz w:val="30"/>
        </w:rPr>
        <w:t>6 </w:t>
      </w:r>
      <w:r>
        <w:rPr>
          <w:sz w:val="30"/>
        </w:rPr>
        <w:t>页）</w:t>
      </w:r>
    </w:p>
    <w:p>
      <w:pPr>
        <w:spacing w:after="0"/>
        <w:jc w:val="center"/>
        <w:rPr>
          <w:sz w:val="30"/>
        </w:rPr>
        <w:sectPr>
          <w:pgSz w:w="11910" w:h="16840"/>
          <w:pgMar w:header="0" w:footer="1035" w:top="1440" w:bottom="1300" w:left="1020" w:right="5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149"/>
        <w:ind w:left="780" w:right="0" w:firstLine="0"/>
        <w:jc w:val="left"/>
        <w:rPr>
          <w:rFonts w:ascii="黑体" w:eastAsia="黑体" w:hint="eastAsia"/>
          <w:b/>
          <w:sz w:val="56"/>
        </w:rPr>
      </w:pPr>
      <w:bookmarkStart w:name="_TOC_250009" w:id="18"/>
      <w:bookmarkEnd w:id="18"/>
      <w:r>
        <w:rPr>
          <w:rFonts w:ascii="黑体" w:eastAsia="黑体" w:hint="eastAsia"/>
          <w:b/>
          <w:sz w:val="56"/>
        </w:rPr>
        <w:t>附件三：会议纪要和学术综述样稿</w:t>
      </w:r>
    </w:p>
    <w:p>
      <w:pPr>
        <w:spacing w:after="0"/>
        <w:jc w:val="left"/>
        <w:rPr>
          <w:rFonts w:ascii="黑体" w:eastAsia="黑体" w:hint="eastAsia"/>
          <w:sz w:val="56"/>
        </w:rPr>
        <w:sectPr>
          <w:pgSz w:w="11910" w:h="16840"/>
          <w:pgMar w:header="0" w:footer="1035" w:top="1580" w:bottom="1300" w:left="1020" w:right="560"/>
        </w:sectPr>
      </w:pPr>
    </w:p>
    <w:p>
      <w:pPr>
        <w:pStyle w:val="Heading4"/>
        <w:spacing w:before="26"/>
        <w:ind w:left="780"/>
        <w:jc w:val="left"/>
        <w:rPr>
          <w:rFonts w:ascii="黑体" w:eastAsia="黑体" w:hint="eastAsia"/>
        </w:rPr>
      </w:pPr>
      <w:bookmarkStart w:name="_TOC_250008" w:id="19"/>
      <w:bookmarkEnd w:id="19"/>
      <w:r>
        <w:rPr>
          <w:rFonts w:ascii="黑体" w:eastAsia="黑体" w:hint="eastAsia"/>
        </w:rPr>
        <w:t>1、双清论坛会议纪要样稿（一）</w:t>
      </w:r>
    </w:p>
    <w:p>
      <w:pPr>
        <w:pStyle w:val="BodyText"/>
        <w:spacing w:before="2"/>
        <w:rPr>
          <w:rFonts w:ascii="黑体"/>
          <w:b/>
          <w:sz w:val="52"/>
        </w:rPr>
      </w:pPr>
    </w:p>
    <w:p>
      <w:pPr>
        <w:spacing w:line="600" w:lineRule="exact" w:before="0"/>
        <w:ind w:left="3125" w:right="0" w:firstLine="0"/>
        <w:jc w:val="left"/>
        <w:rPr>
          <w:rFonts w:ascii="方正小标宋简体" w:eastAsia="方正小标宋简体" w:hint="eastAsia"/>
          <w:b/>
          <w:sz w:val="36"/>
        </w:rPr>
      </w:pPr>
      <w:r>
        <w:rPr>
          <w:rFonts w:ascii="方正小标宋简体" w:eastAsia="方正小标宋简体" w:hint="eastAsia"/>
          <w:b/>
          <w:sz w:val="36"/>
        </w:rPr>
        <w:t>第 131 期双清论坛纪要</w:t>
      </w:r>
    </w:p>
    <w:p>
      <w:pPr>
        <w:spacing w:line="600" w:lineRule="exact" w:before="0"/>
        <w:ind w:left="3305" w:right="0" w:firstLine="0"/>
        <w:jc w:val="left"/>
        <w:rPr>
          <w:rFonts w:ascii="方正小标宋简体" w:hAnsi="方正小标宋简体" w:eastAsia="方正小标宋简体" w:hint="eastAsia"/>
          <w:b/>
          <w:sz w:val="36"/>
        </w:rPr>
      </w:pPr>
      <w:r>
        <w:rPr>
          <w:rFonts w:ascii="方正小标宋简体" w:hAnsi="方正小标宋简体" w:eastAsia="方正小标宋简体" w:hint="eastAsia"/>
          <w:b/>
          <w:sz w:val="36"/>
        </w:rPr>
        <w:t>——创伤修复与再生医学</w:t>
      </w:r>
    </w:p>
    <w:p>
      <w:pPr>
        <w:pStyle w:val="BodyText"/>
        <w:spacing w:before="9"/>
        <w:rPr>
          <w:rFonts w:ascii="方正小标宋简体"/>
          <w:b/>
          <w:sz w:val="35"/>
        </w:rPr>
      </w:pPr>
    </w:p>
    <w:p>
      <w:pPr>
        <w:pStyle w:val="BodyText"/>
        <w:ind w:left="1339"/>
      </w:pPr>
      <w:r>
        <w:rPr/>
        <w:t>国家自然科学基金委员会（以下简称基金委）第 131 期“双清论</w:t>
      </w:r>
    </w:p>
    <w:p>
      <w:pPr>
        <w:pStyle w:val="BodyText"/>
        <w:spacing w:line="374" w:lineRule="auto" w:before="203"/>
        <w:ind w:left="780" w:right="1096"/>
      </w:pPr>
      <w:r>
        <w:rPr>
          <w:spacing w:val="-16"/>
        </w:rPr>
        <w:t>坛”于 </w:t>
      </w:r>
      <w:r>
        <w:rPr/>
        <w:t>2015</w:t>
      </w:r>
      <w:r>
        <w:rPr>
          <w:spacing w:val="-41"/>
        </w:rPr>
        <w:t> 年 </w:t>
      </w:r>
      <w:r>
        <w:rPr/>
        <w:t>3</w:t>
      </w:r>
      <w:r>
        <w:rPr>
          <w:spacing w:val="-42"/>
        </w:rPr>
        <w:t> 月 </w:t>
      </w:r>
      <w:r>
        <w:rPr/>
        <w:t>11-12</w:t>
      </w:r>
      <w:r>
        <w:rPr>
          <w:spacing w:val="-10"/>
        </w:rPr>
        <w:t> 日在浙江杭州召开。本次论坛由国家自然</w:t>
      </w:r>
      <w:r>
        <w:rPr>
          <w:spacing w:val="-13"/>
        </w:rPr>
        <w:t>科学基金委员会医学科学部、生命科学部、工程与材料科学部与政策</w:t>
      </w:r>
      <w:r>
        <w:rPr>
          <w:spacing w:val="-20"/>
        </w:rPr>
        <w:t>局共同主办，主题为“创伤修复与再生医学”。论坛主席由中国人民</w:t>
      </w:r>
      <w:r>
        <w:rPr>
          <w:spacing w:val="-14"/>
        </w:rPr>
        <w:t>解放军总医院生命科学院院长付小兵院士、中国人民解放军第二军医</w:t>
      </w:r>
      <w:r>
        <w:rPr>
          <w:spacing w:val="3"/>
        </w:rPr>
        <w:t>大学长海医院烧伤外科主任夏照帆院士与浙江大学基础医学院院长</w:t>
      </w:r>
      <w:r>
        <w:rPr>
          <w:spacing w:val="-8"/>
        </w:rPr>
        <w:t>欧阳宏伟教授共同担任。与会专家主要是骨科，烧伤整形外科，口腔</w:t>
      </w:r>
      <w:r>
        <w:rPr>
          <w:spacing w:val="-12"/>
        </w:rPr>
        <w:t>科，组织工程领域，生物材料领域，干细胞领域等多个学科的中青年</w:t>
      </w:r>
      <w:r>
        <w:rPr>
          <w:spacing w:val="-19"/>
        </w:rPr>
        <w:t>“国家杰青或长江学者”、教授，总共有来自中国科学院、北京大学、</w:t>
      </w:r>
      <w:r>
        <w:rPr>
          <w:spacing w:val="-4"/>
        </w:rPr>
        <w:t>南京大学和香港大学等国内外</w:t>
      </w:r>
      <w:r>
        <w:rPr/>
        <w:t>27</w:t>
      </w:r>
      <w:r>
        <w:rPr>
          <w:spacing w:val="-10"/>
        </w:rPr>
        <w:t> 个单位的</w:t>
      </w:r>
      <w:r>
        <w:rPr/>
        <w:t>41</w:t>
      </w:r>
      <w:r>
        <w:rPr>
          <w:spacing w:val="-11"/>
        </w:rPr>
        <w:t> 名专家学者应邀参加了论坛。</w:t>
      </w:r>
    </w:p>
    <w:p>
      <w:pPr>
        <w:pStyle w:val="BodyText"/>
        <w:spacing w:line="374" w:lineRule="auto" w:before="4"/>
        <w:ind w:left="780" w:right="1142" w:firstLine="559"/>
      </w:pPr>
      <w:r>
        <w:rPr>
          <w:spacing w:val="-7"/>
        </w:rPr>
        <w:t>论坛开幕式由基金委医学科学部六处闫章才处长主持，基金委医</w:t>
      </w:r>
      <w:r>
        <w:rPr>
          <w:spacing w:val="-11"/>
        </w:rPr>
        <w:t>学科学部常务副主任董尔丹、浙江大学党委副书记严建华、及中国人</w:t>
      </w:r>
      <w:r>
        <w:rPr>
          <w:spacing w:val="-10"/>
        </w:rPr>
        <w:t>民解放军总医院生命科学院院长付小兵院士到会并分别致开幕辞。董</w:t>
      </w:r>
      <w:r>
        <w:rPr>
          <w:spacing w:val="-12"/>
        </w:rPr>
        <w:t>尔丹主任介绍了双清论坛的历史和定位，强调基金委医学部不仅重视</w:t>
      </w:r>
      <w:r>
        <w:rPr>
          <w:spacing w:val="-20"/>
          <w:w w:val="100"/>
        </w:rPr>
        <w:t>研究“病”，也非常重视研究“伤”，此次双清论坛集聚了“活跃在”</w:t>
      </w:r>
      <w:r>
        <w:rPr>
          <w:spacing w:val="-10"/>
        </w:rPr>
        <w:t>多个学科的中青年专家，希望通过脑力风暴，凝练出“组织创伤与修</w:t>
      </w:r>
      <w:r>
        <w:rPr>
          <w:spacing w:val="-13"/>
        </w:rPr>
        <w:t>复再生”的重要科学问题和研究策略，形成专家意见供基金委在制定</w:t>
      </w:r>
      <w:r>
        <w:rPr>
          <w:spacing w:val="-14"/>
        </w:rPr>
        <w:t>战略规划或资助建议时参考。付小兵院士强调组织损伤与再生是基础</w:t>
      </w:r>
    </w:p>
    <w:p>
      <w:pPr>
        <w:spacing w:after="0" w:line="374" w:lineRule="auto"/>
        <w:sectPr>
          <w:pgSz w:w="11910" w:h="16840"/>
          <w:pgMar w:header="0" w:footer="1035" w:top="1480" w:bottom="1300" w:left="1020" w:right="560"/>
        </w:sectPr>
      </w:pPr>
    </w:p>
    <w:p>
      <w:pPr>
        <w:pStyle w:val="BodyText"/>
        <w:spacing w:line="374" w:lineRule="auto" w:before="50"/>
        <w:ind w:left="780" w:right="1236"/>
        <w:jc w:val="both"/>
      </w:pPr>
      <w:r>
        <w:rPr>
          <w:spacing w:val="-10"/>
        </w:rPr>
        <w:t>与临床医学的重大问题，临床上对组织损伤与再生有迫切的需求，希</w:t>
      </w:r>
      <w:r>
        <w:rPr>
          <w:spacing w:val="-13"/>
        </w:rPr>
        <w:t>望专家通过此次论坛，在宏观和微观层面充分研讨，凝练出我国亟需</w:t>
      </w:r>
      <w:r>
        <w:rPr>
          <w:spacing w:val="-3"/>
        </w:rPr>
        <w:t>关注和解决的重大基础科学问题。</w:t>
      </w:r>
    </w:p>
    <w:p>
      <w:pPr>
        <w:pStyle w:val="Heading8"/>
        <w:spacing w:before="2"/>
        <w:ind w:left="1421"/>
        <w:rPr>
          <w:rFonts w:ascii="黑体" w:eastAsia="黑体" w:hint="eastAsia"/>
        </w:rPr>
      </w:pPr>
      <w:r>
        <w:rPr>
          <w:rFonts w:ascii="黑体" w:eastAsia="黑体" w:hint="eastAsia"/>
        </w:rPr>
        <w:t>一、 论坛主要内容</w:t>
      </w:r>
    </w:p>
    <w:p>
      <w:pPr>
        <w:pStyle w:val="BodyText"/>
        <w:spacing w:line="374" w:lineRule="auto" w:before="200"/>
        <w:ind w:left="780" w:right="1145" w:firstLine="559"/>
      </w:pPr>
      <w:r>
        <w:rPr>
          <w:spacing w:val="-7"/>
        </w:rPr>
        <w:t>器官组织的损伤一直是第二位的致残因素和重要健康问题，其中</w:t>
      </w:r>
      <w:r>
        <w:rPr>
          <w:spacing w:val="-11"/>
        </w:rPr>
        <w:t>以皮肤和肌肉骨骼系统最为常见。近年来，随着室外活动的增加和社</w:t>
      </w:r>
      <w:r>
        <w:rPr>
          <w:spacing w:val="-13"/>
        </w:rPr>
        <w:t>会老龄化趋势的呈现，生理、病理等各种因素造成的急性和慢性组织损伤越来越多，在全球范围内给病人、家庭以及社会造成了巨大的经</w:t>
      </w:r>
      <w:r>
        <w:rPr>
          <w:spacing w:val="-14"/>
        </w:rPr>
        <w:t>济负担。由此，人们对于损伤快速修复和组织完美再生的需求也日益</w:t>
      </w:r>
      <w:r>
        <w:rPr>
          <w:spacing w:val="-13"/>
        </w:rPr>
        <w:t>迫切。另外，人体组织快速修复也是应对军事战斗损伤和处理恐怖袭</w:t>
      </w:r>
      <w:r>
        <w:rPr>
          <w:spacing w:val="-9"/>
        </w:rPr>
        <w:t>击灾害的重要战略手段，比如，美国国防部把“人体组织快速修复” </w:t>
      </w:r>
      <w:r>
        <w:rPr>
          <w:spacing w:val="-24"/>
        </w:rPr>
        <w:t>列入 </w:t>
      </w:r>
      <w:r>
        <w:rPr/>
        <w:t>2003-2007</w:t>
      </w:r>
      <w:r>
        <w:rPr>
          <w:spacing w:val="-10"/>
        </w:rPr>
        <w:t> 年六个重大基础研究内容之一。</w:t>
      </w:r>
    </w:p>
    <w:p>
      <w:pPr>
        <w:pStyle w:val="BodyText"/>
        <w:spacing w:line="374" w:lineRule="auto" w:before="4"/>
        <w:ind w:left="780" w:right="1234" w:firstLine="559"/>
        <w:jc w:val="both"/>
      </w:pPr>
      <w:r>
        <w:rPr>
          <w:spacing w:val="-11"/>
        </w:rPr>
        <w:t>组织修复，是损伤组织临近细胞顶替原有损伤部位，恢复组织完</w:t>
      </w:r>
      <w:r>
        <w:rPr>
          <w:spacing w:val="3"/>
        </w:rPr>
        <w:t>整性组织再生，就是使受伤的组织和器官通过某种自身或人为的干</w:t>
      </w:r>
      <w:r>
        <w:rPr>
          <w:spacing w:val="-11"/>
        </w:rPr>
        <w:t>预，回复到损伤以前的解剖和功能状态。组织快速修复与完美再生是</w:t>
      </w:r>
      <w:r>
        <w:rPr>
          <w:spacing w:val="-13"/>
        </w:rPr>
        <w:t>我们的终极目标，也一直是人类的梦想和追求，它自古以来就存在于</w:t>
      </w:r>
      <w:r>
        <w:rPr>
          <w:spacing w:val="-12"/>
        </w:rPr>
        <w:t>中外神话故事当中，如：古希腊神话中普罗米修斯的肝脏再生以及中国的神话故事西游记中有关孙悟空的脑袋再生。在自然界中，低等动</w:t>
      </w:r>
      <w:r>
        <w:rPr>
          <w:spacing w:val="3"/>
        </w:rPr>
        <w:t>物如蝾螈和斑马鱼等的组织损伤以及人体组织在胚胎发育期的损伤</w:t>
      </w:r>
      <w:r>
        <w:rPr>
          <w:spacing w:val="-10"/>
        </w:rPr>
        <w:t>可以完全再生的事实表明：在合适条件下损伤组织是可以获得快速修</w:t>
      </w:r>
      <w:r>
        <w:rPr>
          <w:spacing w:val="-7"/>
        </w:rPr>
        <w:t>复与完美再生的。</w:t>
      </w:r>
    </w:p>
    <w:p>
      <w:pPr>
        <w:pStyle w:val="BodyText"/>
        <w:spacing w:line="374" w:lineRule="auto" w:before="4"/>
        <w:ind w:left="780" w:right="1099" w:firstLine="559"/>
        <w:jc w:val="both"/>
      </w:pPr>
      <w:r>
        <w:rPr>
          <w:spacing w:val="-10"/>
        </w:rPr>
        <w:t>促进组织修复与再生的方法很多，低等动物主要依靠损伤组织局</w:t>
      </w:r>
      <w:r>
        <w:rPr>
          <w:spacing w:val="-12"/>
        </w:rPr>
        <w:t>部细胞的去分化、转分化和干细胞的再激活等机制。高等动物体内的</w:t>
      </w:r>
      <w:r>
        <w:rPr>
          <w:spacing w:val="-18"/>
        </w:rPr>
        <w:t>机制更加复杂，影响因素也更多。对于不能完全再生组织的高等动物，</w:t>
      </w:r>
    </w:p>
    <w:p>
      <w:pPr>
        <w:spacing w:after="0" w:line="374" w:lineRule="auto"/>
        <w:jc w:val="both"/>
        <w:sectPr>
          <w:pgSz w:w="11910" w:h="16840"/>
          <w:pgMar w:header="0" w:footer="1035" w:top="1540" w:bottom="1300" w:left="1020" w:right="560"/>
        </w:sectPr>
      </w:pPr>
    </w:p>
    <w:p>
      <w:pPr>
        <w:pStyle w:val="BodyText"/>
        <w:spacing w:line="374" w:lineRule="auto" w:before="50"/>
        <w:ind w:left="780" w:right="1097"/>
      </w:pPr>
      <w:r>
        <w:rPr>
          <w:spacing w:val="-5"/>
        </w:rPr>
        <w:t>目前主要的研究现状是利用组织工程技术</w:t>
      </w:r>
      <w:r>
        <w:rPr/>
        <w:t>（</w:t>
      </w:r>
      <w:r>
        <w:rPr>
          <w:spacing w:val="-10"/>
        </w:rPr>
        <w:t>种子细胞、细胞因子、生</w:t>
      </w:r>
      <w:r>
        <w:rPr>
          <w:spacing w:val="-8"/>
        </w:rPr>
        <w:t>物材料</w:t>
      </w:r>
      <w:r>
        <w:rPr>
          <w:spacing w:val="-95"/>
        </w:rPr>
        <w:t>）</w:t>
      </w:r>
      <w:r>
        <w:rPr>
          <w:spacing w:val="-14"/>
        </w:rPr>
        <w:t>，人为诱导组织的体外或体内再生，或辅助体内的自然修复， </w:t>
      </w:r>
      <w:r>
        <w:rPr>
          <w:spacing w:val="-3"/>
        </w:rPr>
        <w:t>达到治疗损伤的效果。</w:t>
      </w:r>
    </w:p>
    <w:p>
      <w:pPr>
        <w:pStyle w:val="BodyText"/>
        <w:spacing w:line="374" w:lineRule="auto" w:before="2"/>
        <w:ind w:left="780" w:right="1235" w:firstLine="559"/>
        <w:jc w:val="both"/>
      </w:pPr>
      <w:r>
        <w:rPr>
          <w:spacing w:val="-7"/>
        </w:rPr>
        <w:t>虽然研究者已在创伤修复与组织再生领域做出了很多努力，但目</w:t>
      </w:r>
      <w:r>
        <w:rPr>
          <w:spacing w:val="-10"/>
        </w:rPr>
        <w:t>前的组织修复还没有达到人类所期望的目标。一方面是由于损伤组织</w:t>
      </w:r>
      <w:r>
        <w:rPr>
          <w:spacing w:val="-11"/>
        </w:rPr>
        <w:t>快速的瘢痕形成是高等动物的一种自我保护机制，另一方面是因为损</w:t>
      </w:r>
      <w:r>
        <w:rPr>
          <w:spacing w:val="-13"/>
        </w:rPr>
        <w:t>伤部位涉及的组织种类多，而不同种类的组织由于遗传与发育等因素的影响，在修复与再生的启动过程、信号网络、调节机制与影响因素</w:t>
      </w:r>
      <w:r>
        <w:rPr>
          <w:spacing w:val="-14"/>
        </w:rPr>
        <w:t>等许多方面并不完全相同，因而存在修复的不协调性和不一致性。再</w:t>
      </w:r>
      <w:r>
        <w:rPr>
          <w:spacing w:val="-12"/>
        </w:rPr>
        <w:t>生医学领域的研究者对不同组织损伤的病理改变及其机制、生理和病</w:t>
      </w:r>
      <w:r>
        <w:rPr>
          <w:spacing w:val="-11"/>
        </w:rPr>
        <w:t>理状态下组织再生的调控机制和发生过程都还不甚清楚，也因此缺乏</w:t>
      </w:r>
      <w:r>
        <w:rPr>
          <w:spacing w:val="-12"/>
        </w:rPr>
        <w:t>有效的干预手段促进完整的组织功能再生。为了解决这些问题，需要医学、生物学、材料学等多学科交叉合作，从不同层面、不同角度研</w:t>
      </w:r>
      <w:r>
        <w:rPr>
          <w:spacing w:val="-8"/>
        </w:rPr>
        <w:t>究阐明创伤修复与再生的基础科学问题，促进组织再生，最终惠及患</w:t>
      </w:r>
      <w:r>
        <w:rPr>
          <w:spacing w:val="-5"/>
        </w:rPr>
        <w:t>者，造福人类。</w:t>
      </w:r>
    </w:p>
    <w:p>
      <w:pPr>
        <w:pStyle w:val="BodyText"/>
        <w:spacing w:line="374" w:lineRule="auto" w:before="5"/>
        <w:ind w:left="780" w:right="1235" w:firstLine="559"/>
        <w:jc w:val="both"/>
      </w:pPr>
      <w:r>
        <w:rPr>
          <w:spacing w:val="-7"/>
        </w:rPr>
        <w:t>本次论坛共有 </w:t>
      </w:r>
      <w:r>
        <w:rPr/>
        <w:t>41</w:t>
      </w:r>
      <w:r>
        <w:rPr>
          <w:spacing w:val="-7"/>
        </w:rPr>
        <w:t> 位专家围绕“创伤修复与再生医学”主题作报</w:t>
      </w:r>
      <w:r>
        <w:rPr>
          <w:spacing w:val="-11"/>
        </w:rPr>
        <w:t>告或发言，论坛在学术民主、宽松和谐的氛围中进行，与会专家畅所欲言、各抒己见，探讨了创伤修复与组织再生的研究现状、前沿科学</w:t>
      </w:r>
      <w:r>
        <w:rPr>
          <w:spacing w:val="-12"/>
        </w:rPr>
        <w:t>问题和发展趋势；结合我国在该领域的研究现状和优势研究基础，分</w:t>
      </w:r>
      <w:r>
        <w:rPr>
          <w:spacing w:val="3"/>
        </w:rPr>
        <w:t>析和凝炼了我国在该研究方向上急需关注和解决的重要基础科学问</w:t>
      </w:r>
      <w:r>
        <w:rPr>
          <w:spacing w:val="-11"/>
        </w:rPr>
        <w:t>题。会议重点就组织合成程序及调控机制；组织内及组织间各要素的相互作用；病理纠正和损伤组织快速修复与再生等三个方面进行了研讨。通过了解组织的合成程序和各要素间相互作用，提升损伤组织修复的速度和质量，将不断靠近蝾螈断肢再生和人类胎儿期无疤痕愈合</w:t>
      </w:r>
    </w:p>
    <w:p>
      <w:pPr>
        <w:spacing w:after="0" w:line="374" w:lineRule="auto"/>
        <w:jc w:val="both"/>
        <w:sectPr>
          <w:pgSz w:w="11910" w:h="16840"/>
          <w:pgMar w:header="0" w:footer="1035" w:top="1540" w:bottom="1300" w:left="1020" w:right="560"/>
        </w:sectPr>
      </w:pPr>
    </w:p>
    <w:p>
      <w:pPr>
        <w:pStyle w:val="BodyText"/>
        <w:spacing w:line="374" w:lineRule="auto" w:before="50"/>
        <w:ind w:left="780" w:right="1234"/>
      </w:pPr>
      <w:r>
        <w:rPr>
          <w:spacing w:val="-9"/>
          <w:w w:val="100"/>
        </w:rPr>
        <w:t>的境界。论坛凝聚了一个重要科学问题：“组织的合成和互作机制与</w:t>
      </w:r>
      <w:r>
        <w:rPr>
          <w:spacing w:val="-17"/>
        </w:rPr>
        <w:t>人体损伤快速修复”。</w:t>
      </w:r>
    </w:p>
    <w:p>
      <w:pPr>
        <w:pStyle w:val="Heading8"/>
        <w:spacing w:line="411" w:lineRule="exact"/>
        <w:ind w:left="1193"/>
      </w:pPr>
      <w:r>
        <w:rPr/>
        <w:t>（一）组织合成程序及调控机制</w:t>
      </w:r>
    </w:p>
    <w:p>
      <w:pPr>
        <w:pStyle w:val="ListParagraph"/>
        <w:numPr>
          <w:ilvl w:val="1"/>
          <w:numId w:val="7"/>
        </w:numPr>
        <w:tabs>
          <w:tab w:pos="1755" w:val="left" w:leader="none"/>
        </w:tabs>
        <w:spacing w:line="240" w:lineRule="auto" w:before="138" w:after="0"/>
        <w:ind w:left="1754" w:right="0" w:hanging="423"/>
        <w:jc w:val="left"/>
        <w:rPr>
          <w:rFonts w:ascii="等线" w:eastAsia="等线" w:hint="eastAsia"/>
          <w:b/>
          <w:sz w:val="28"/>
        </w:rPr>
      </w:pPr>
      <w:r>
        <w:rPr>
          <w:rFonts w:ascii="等线" w:eastAsia="等线" w:hint="eastAsia"/>
          <w:b/>
          <w:sz w:val="28"/>
        </w:rPr>
        <w:t>发育过程中的组织合成</w:t>
      </w:r>
    </w:p>
    <w:p>
      <w:pPr>
        <w:pStyle w:val="BodyText"/>
        <w:spacing w:line="374" w:lineRule="auto" w:before="149"/>
        <w:ind w:left="780" w:right="1232" w:firstLine="559"/>
        <w:jc w:val="both"/>
      </w:pPr>
      <w:r>
        <w:rPr>
          <w:spacing w:val="-8"/>
        </w:rPr>
        <w:t>组织发育是机体细胞从生命开始不断成熟、自我构建及功能分配</w:t>
      </w:r>
      <w:r>
        <w:rPr>
          <w:spacing w:val="-11"/>
        </w:rPr>
        <w:t>的过程，涉及复杂的时空特异性分化。在一定程度上，组织发育是组</w:t>
      </w:r>
      <w:r>
        <w:rPr>
          <w:spacing w:val="-12"/>
        </w:rPr>
        <w:t>织再生的模板。目前的组织工程模仿了体内组织发育的过程，即运用</w:t>
      </w:r>
      <w:r>
        <w:rPr>
          <w:spacing w:val="-13"/>
        </w:rPr>
        <w:t>有修复能力的种子细胞、适宜生长分化的细胞因子和生物材料等近似</w:t>
      </w:r>
      <w:r>
        <w:rPr>
          <w:spacing w:val="-12"/>
        </w:rPr>
        <w:t>体内的力学环境，生产出健康或具有功能替代性的组织。然而目前的</w:t>
      </w:r>
      <w:r>
        <w:rPr>
          <w:spacing w:val="-13"/>
        </w:rPr>
        <w:t>再生医学，并没能完全阐述清楚组织发育的全过程。目前的再生医学领域，运动系统组织发育的基础研究仍留有空白：1）</w:t>
      </w:r>
      <w:r>
        <w:rPr>
          <w:spacing w:val="-14"/>
        </w:rPr>
        <w:t>组织发育过程</w:t>
      </w:r>
      <w:r>
        <w:rPr>
          <w:spacing w:val="-5"/>
        </w:rPr>
        <w:t>中承担合成和分化任务的细胞种类，及其重要生物标志物 </w:t>
      </w:r>
      <w:r>
        <w:rPr>
          <w:spacing w:val="-26"/>
        </w:rPr>
        <w:t>2）</w:t>
      </w:r>
      <w:r>
        <w:rPr/>
        <w:t>组织发</w:t>
      </w:r>
      <w:r>
        <w:rPr>
          <w:spacing w:val="4"/>
        </w:rPr>
        <w:t>育在分子水平的时空程序性调控机制 </w:t>
      </w:r>
      <w:r>
        <w:rPr>
          <w:spacing w:val="6"/>
        </w:rPr>
        <w:t>3）</w:t>
      </w:r>
      <w:r>
        <w:rPr>
          <w:spacing w:val="3"/>
        </w:rPr>
        <w:t>发育过程中细胞与细胞之</w:t>
      </w:r>
      <w:r>
        <w:rPr>
          <w:spacing w:val="-8"/>
        </w:rPr>
        <w:t>间，细胞与微环境</w:t>
      </w:r>
      <w:r>
        <w:rPr/>
        <w:t>（</w:t>
      </w:r>
      <w:r>
        <w:rPr>
          <w:spacing w:val="-6"/>
        </w:rPr>
        <w:t>物理力学环境、化学刺激、生物因素等</w:t>
      </w:r>
      <w:r>
        <w:rPr>
          <w:spacing w:val="-20"/>
        </w:rPr>
        <w:t>）</w:t>
      </w:r>
      <w:r>
        <w:rPr>
          <w:spacing w:val="-6"/>
        </w:rPr>
        <w:t>之间的</w:t>
      </w:r>
      <w:r>
        <w:rPr>
          <w:spacing w:val="-10"/>
        </w:rPr>
        <w:t>相互作用机制。在日前不断发展的新兴技术手段的帮助下，再生医学</w:t>
      </w:r>
      <w:r>
        <w:rPr>
          <w:spacing w:val="-12"/>
        </w:rPr>
        <w:t>领域的研究者可以运用新兴生物分子学手段，结合生物信息学建立组织发育的大数据库，描绘时空特异性分子图谱，填补组织发育基础知</w:t>
      </w:r>
      <w:r>
        <w:rPr>
          <w:spacing w:val="-8"/>
        </w:rPr>
        <w:t>识的空白。</w:t>
      </w:r>
    </w:p>
    <w:p>
      <w:pPr>
        <w:pStyle w:val="BodyText"/>
        <w:spacing w:line="374" w:lineRule="auto" w:before="7"/>
        <w:ind w:left="780" w:right="1236" w:firstLine="559"/>
        <w:jc w:val="both"/>
      </w:pPr>
      <w:r>
        <w:rPr>
          <w:spacing w:val="-12"/>
        </w:rPr>
        <w:t>讨论中，与会专家提出该方面的问题包括：组织发育过程中承担</w:t>
      </w:r>
      <w:r>
        <w:rPr>
          <w:spacing w:val="3"/>
        </w:rPr>
        <w:t>合成与分化的细胞有哪些？其时空特异性生物标志物有哪些？细胞时空程序的合成与分化的分子调控机制是什么？细胞内外的微环境</w:t>
      </w:r>
      <w:r>
        <w:rPr>
          <w:spacing w:val="-2"/>
        </w:rPr>
        <w:t>怎样影响细胞的分化发育？</w:t>
      </w:r>
    </w:p>
    <w:p>
      <w:pPr>
        <w:pStyle w:val="Heading8"/>
        <w:numPr>
          <w:ilvl w:val="1"/>
          <w:numId w:val="7"/>
        </w:numPr>
        <w:tabs>
          <w:tab w:pos="1755" w:val="left" w:leader="none"/>
        </w:tabs>
        <w:spacing w:line="411" w:lineRule="exact" w:before="0" w:after="0"/>
        <w:ind w:left="1754" w:right="0" w:hanging="423"/>
        <w:jc w:val="left"/>
      </w:pPr>
      <w:r>
        <w:rPr/>
        <w:t>完美再生模型的组织合成</w:t>
      </w:r>
    </w:p>
    <w:p>
      <w:pPr>
        <w:spacing w:after="0" w:line="411" w:lineRule="exact"/>
        <w:jc w:val="left"/>
        <w:sectPr>
          <w:pgSz w:w="11910" w:h="16840"/>
          <w:pgMar w:header="0" w:footer="1035" w:top="1540" w:bottom="1300" w:left="1020" w:right="560"/>
        </w:sectPr>
      </w:pPr>
    </w:p>
    <w:p>
      <w:pPr>
        <w:pStyle w:val="BodyText"/>
        <w:spacing w:line="374" w:lineRule="auto" w:before="50"/>
        <w:ind w:left="780" w:right="1233" w:firstLine="559"/>
        <w:jc w:val="both"/>
      </w:pPr>
      <w:r>
        <w:rPr>
          <w:spacing w:val="-8"/>
        </w:rPr>
        <w:t>低等动物中的组织器官再生是完美再生的典范。例如蝾螈可以在</w:t>
      </w:r>
      <w:r>
        <w:rPr>
          <w:spacing w:val="-12"/>
        </w:rPr>
        <w:t>失去尾巴、脊柱甚至大脑的情况下完全再生。就蝾螈肢体再生模型而</w:t>
      </w:r>
      <w:r>
        <w:rPr>
          <w:spacing w:val="-7"/>
        </w:rPr>
        <w:t>言，再生过程涉及去分化</w:t>
      </w:r>
      <w:r>
        <w:rPr/>
        <w:t>（</w:t>
      </w:r>
      <w:r>
        <w:rPr>
          <w:spacing w:val="-3"/>
        </w:rPr>
        <w:t>胚芽形成</w:t>
      </w:r>
      <w:r>
        <w:rPr>
          <w:spacing w:val="-24"/>
        </w:rPr>
        <w:t>）</w:t>
      </w:r>
      <w:r>
        <w:rPr>
          <w:spacing w:val="-6"/>
        </w:rPr>
        <w:t>及再分化的过程。人类只有胎</w:t>
      </w:r>
      <w:r>
        <w:rPr>
          <w:spacing w:val="-10"/>
        </w:rPr>
        <w:t>儿期具有损伤组织完美再生能力。出生后的人体组织失去了完全再生</w:t>
      </w:r>
      <w:r>
        <w:rPr>
          <w:spacing w:val="-11"/>
        </w:rPr>
        <w:t>能力，会在损伤部位会产生肉芽组织，用于遏止炎症，填补缺陷，重塑器官。在适者生存的环境中，这种机制有力减少了感染和功能缺失</w:t>
      </w:r>
      <w:r>
        <w:rPr>
          <w:spacing w:val="-7"/>
        </w:rPr>
        <w:t>对整个机体的危害。</w:t>
      </w:r>
    </w:p>
    <w:p>
      <w:pPr>
        <w:pStyle w:val="BodyText"/>
        <w:spacing w:line="374" w:lineRule="auto" w:before="3"/>
        <w:ind w:left="780" w:right="1096" w:firstLine="563"/>
      </w:pPr>
      <w:r>
        <w:rPr>
          <w:spacing w:val="-9"/>
        </w:rPr>
        <w:t>与会专家在该领域提出的重要问题包括：怎样利用蝾螈等低等动</w:t>
      </w:r>
      <w:r>
        <w:rPr>
          <w:spacing w:val="-6"/>
        </w:rPr>
        <w:t>物肢体再生现象建立标准的完美再生模型?完美再生模型中再生的重要分子</w:t>
      </w:r>
      <w:r>
        <w:rPr>
          <w:spacing w:val="-3"/>
        </w:rPr>
        <w:t>（与高等动物的差异</w:t>
      </w:r>
      <w:r>
        <w:rPr/>
        <w:t>）</w:t>
      </w:r>
      <w:r>
        <w:rPr>
          <w:spacing w:val="-3"/>
        </w:rPr>
        <w:t>有哪些？其关键调控机制是什么？ 怎</w:t>
      </w:r>
      <w:r>
        <w:rPr>
          <w:spacing w:val="-11"/>
        </w:rPr>
        <w:t>样通过人工诱导，达到高等动物的无障碍再生？大部分专家认为探究</w:t>
      </w:r>
      <w:r>
        <w:rPr>
          <w:spacing w:val="-7"/>
        </w:rPr>
        <w:t>完美再生模型的组织合成机制是帮助人类获得再生能力的重要途径， 包括：1）</w:t>
      </w:r>
      <w:r>
        <w:rPr>
          <w:spacing w:val="-3"/>
        </w:rPr>
        <w:t>从基因、转录、蛋白、代谢等多层次探究完美再生模型的组织合成机制。2）机制研究结合生物信息学建立完美再生模型的大</w:t>
      </w:r>
      <w:r>
        <w:rPr>
          <w:spacing w:val="2"/>
        </w:rPr>
        <w:t>数据库 </w:t>
      </w:r>
      <w:r>
        <w:rPr>
          <w:spacing w:val="-17"/>
        </w:rPr>
        <w:t>3）</w:t>
      </w:r>
      <w:r>
        <w:rPr>
          <w:spacing w:val="-8"/>
        </w:rPr>
        <w:t>基于大数据库的分析，建立完美再生模型的标准程序。</w:t>
      </w:r>
      <w:r>
        <w:rPr/>
        <w:t>4） </w:t>
      </w:r>
      <w:r>
        <w:rPr>
          <w:spacing w:val="-3"/>
        </w:rPr>
        <w:t>多层面解释高等动物不能完全再生的原因。</w:t>
      </w:r>
    </w:p>
    <w:p>
      <w:pPr>
        <w:pStyle w:val="Heading8"/>
        <w:spacing w:line="413" w:lineRule="exact"/>
        <w:ind w:left="1193"/>
      </w:pPr>
      <w:r>
        <w:rPr/>
        <w:t>（二）组织内及组织间各要素的相互作用</w:t>
      </w:r>
    </w:p>
    <w:p>
      <w:pPr>
        <w:pStyle w:val="ListParagraph"/>
        <w:numPr>
          <w:ilvl w:val="0"/>
          <w:numId w:val="9"/>
        </w:numPr>
        <w:tabs>
          <w:tab w:pos="1765" w:val="left" w:leader="none"/>
        </w:tabs>
        <w:spacing w:line="240" w:lineRule="auto" w:before="140" w:after="0"/>
        <w:ind w:left="1764" w:right="0" w:hanging="423"/>
        <w:jc w:val="left"/>
        <w:rPr>
          <w:rFonts w:ascii="等线" w:eastAsia="等线" w:hint="eastAsia"/>
          <w:b/>
          <w:sz w:val="28"/>
        </w:rPr>
      </w:pPr>
      <w:r>
        <w:rPr>
          <w:rFonts w:ascii="等线" w:eastAsia="等线" w:hint="eastAsia"/>
          <w:b/>
          <w:sz w:val="28"/>
        </w:rPr>
        <w:t>细胞与细胞外环境的相互作用</w:t>
      </w:r>
    </w:p>
    <w:p>
      <w:pPr>
        <w:pStyle w:val="BodyText"/>
        <w:spacing w:line="374" w:lineRule="auto" w:before="149"/>
        <w:ind w:left="780" w:right="1233" w:firstLine="559"/>
      </w:pPr>
      <w:r>
        <w:rPr>
          <w:spacing w:val="-3"/>
        </w:rPr>
        <w:t>组织成分包括细胞和细胞外环境两个方面。在组织再生的过程</w:t>
      </w:r>
      <w:r>
        <w:rPr>
          <w:spacing w:val="-11"/>
        </w:rPr>
        <w:t>中，细胞和细胞外环境都是不可或缺的因素。目前虽然对这两方面均有研究，但大多组织再生研究只单独关注细胞本身</w:t>
      </w:r>
      <w:r>
        <w:rPr>
          <w:spacing w:val="-3"/>
        </w:rPr>
        <w:t>（</w:t>
      </w:r>
      <w:r>
        <w:rPr>
          <w:spacing w:val="-7"/>
        </w:rPr>
        <w:t>如细胞分化、增</w:t>
      </w:r>
      <w:r>
        <w:rPr>
          <w:spacing w:val="-8"/>
        </w:rPr>
        <w:t>殖与迁移、表形维持</w:t>
      </w:r>
      <w:r>
        <w:rPr>
          <w:spacing w:val="-32"/>
        </w:rPr>
        <w:t>）</w:t>
      </w:r>
      <w:r>
        <w:rPr>
          <w:spacing w:val="-6"/>
        </w:rPr>
        <w:t>或体外生物材料对细胞的影响，而对组织内细</w:t>
      </w:r>
      <w:r>
        <w:rPr>
          <w:spacing w:val="-8"/>
        </w:rPr>
        <w:t>胞与细胞外环境</w:t>
      </w:r>
      <w:r>
        <w:rPr>
          <w:spacing w:val="-3"/>
        </w:rPr>
        <w:t>（</w:t>
      </w:r>
      <w:r>
        <w:rPr>
          <w:spacing w:val="-7"/>
        </w:rPr>
        <w:t>基质成分、拓扑结构、理化特性等</w:t>
      </w:r>
      <w:r>
        <w:rPr>
          <w:spacing w:val="-27"/>
        </w:rPr>
        <w:t>）</w:t>
      </w:r>
      <w:r>
        <w:rPr>
          <w:spacing w:val="-4"/>
        </w:rPr>
        <w:t>相互作用的研</w:t>
      </w:r>
      <w:r>
        <w:rPr>
          <w:spacing w:val="-11"/>
        </w:rPr>
        <w:t>究还比较局限。与会专家认为，细胞与细胞外环境的相互作用对创伤</w:t>
      </w:r>
    </w:p>
    <w:p>
      <w:pPr>
        <w:spacing w:after="0" w:line="374" w:lineRule="auto"/>
        <w:sectPr>
          <w:pgSz w:w="11910" w:h="16840"/>
          <w:pgMar w:header="0" w:footer="1035" w:top="1540" w:bottom="1300" w:left="1020" w:right="560"/>
        </w:sectPr>
      </w:pPr>
    </w:p>
    <w:p>
      <w:pPr>
        <w:pStyle w:val="BodyText"/>
        <w:spacing w:line="374" w:lineRule="auto" w:before="50"/>
        <w:ind w:left="780" w:right="1094"/>
      </w:pPr>
      <w:r>
        <w:rPr>
          <w:spacing w:val="-10"/>
        </w:rPr>
        <w:t>修复和组织再生的影响十分重要，细胞外环境如细胞外基质不仅提供</w:t>
      </w:r>
      <w:r>
        <w:rPr>
          <w:spacing w:val="-12"/>
        </w:rPr>
        <w:t>组织的结构支撑，还会对细胞产生主动的生物学影响，甚至对细胞间也会产生影响，比如凋亡细胞对周围正常细胞的影响；干细胞外泌体</w:t>
      </w:r>
      <w:r>
        <w:rPr>
          <w:spacing w:val="-13"/>
        </w:rPr>
        <w:t>对周围细胞和组织再生的影响等。相似的，当在组织工程修复创伤组</w:t>
      </w:r>
      <w:r>
        <w:rPr>
          <w:spacing w:val="-11"/>
        </w:rPr>
        <w:t>织的过程中，植入生物材料也不仅仅是组织修复的“脚手架”，不同</w:t>
      </w:r>
      <w:r>
        <w:rPr>
          <w:spacing w:val="-14"/>
        </w:rPr>
        <w:t>的材料对细胞的力学刺激不同，材料在植入和体内降解的过程中也会</w:t>
      </w:r>
      <w:r>
        <w:rPr>
          <w:spacing w:val="-13"/>
        </w:rPr>
        <w:t>产生或释放不同的分子，从而影响细胞对环境的反应，甚至改变组织修复的结果；反过来，细胞或机体本身的环境也会对植入的材料产生</w:t>
      </w:r>
      <w:r>
        <w:rPr>
          <w:spacing w:val="-12"/>
        </w:rPr>
        <w:t>影响，改变材料的性质。进一步考虑，既然材料不仅是支架，我们也</w:t>
      </w:r>
      <w:r>
        <w:rPr>
          <w:spacing w:val="-11"/>
        </w:rPr>
        <w:t>可以通过支架材料对细胞和组织施加更多的影响因素，比如利用导电</w:t>
      </w:r>
      <w:r>
        <w:rPr>
          <w:spacing w:val="-13"/>
        </w:rPr>
        <w:t>材料施加电刺激促进神经组织再生；利用一定的生物力学环境调动机</w:t>
      </w:r>
      <w:r>
        <w:rPr>
          <w:spacing w:val="-19"/>
        </w:rPr>
        <w:t>体内源性的修复能力；又或是使材料主动释放一些分子、金属离子等， </w:t>
      </w:r>
      <w:r>
        <w:rPr>
          <w:spacing w:val="-15"/>
        </w:rPr>
        <w:t>促进组织再生。为了达到这一目的，我们有必要深入了解细胞与细胞</w:t>
      </w:r>
      <w:r>
        <w:rPr>
          <w:spacing w:val="-27"/>
        </w:rPr>
        <w:t>外环境</w:t>
      </w:r>
      <w:r>
        <w:rPr/>
        <w:t>（</w:t>
      </w:r>
      <w:r>
        <w:rPr>
          <w:spacing w:val="-15"/>
        </w:rPr>
        <w:t>包括细胞外基质、生长因子等生物因素及声、光、电、温度、pH</w:t>
      </w:r>
      <w:r>
        <w:rPr>
          <w:spacing w:val="-10"/>
        </w:rPr>
        <w:t> 等物理化学因素</w:t>
      </w:r>
      <w:r>
        <w:rPr/>
        <w:t>）</w:t>
      </w:r>
      <w:r>
        <w:rPr>
          <w:spacing w:val="-3"/>
        </w:rPr>
        <w:t>相互作用对细胞再生能力和表型转换与维持的机制，为实现精准修复和完美再生打下基础。</w:t>
      </w:r>
    </w:p>
    <w:p>
      <w:pPr>
        <w:pStyle w:val="Heading8"/>
        <w:numPr>
          <w:ilvl w:val="0"/>
          <w:numId w:val="9"/>
        </w:numPr>
        <w:tabs>
          <w:tab w:pos="1755" w:val="left" w:leader="none"/>
        </w:tabs>
        <w:spacing w:line="416" w:lineRule="exact" w:before="0" w:after="0"/>
        <w:ind w:left="1754" w:right="0" w:hanging="423"/>
        <w:jc w:val="left"/>
      </w:pPr>
      <w:r>
        <w:rPr/>
        <w:t>组织与组织之间的相互作用</w:t>
      </w:r>
    </w:p>
    <w:p>
      <w:pPr>
        <w:pStyle w:val="BodyText"/>
        <w:spacing w:line="374" w:lineRule="auto" w:before="152"/>
        <w:ind w:left="780" w:right="1144" w:firstLine="559"/>
      </w:pPr>
      <w:r>
        <w:rPr>
          <w:spacing w:val="-9"/>
        </w:rPr>
        <w:t>由于受到损伤部位往往不只一种组织，不同种类的成分和特性就</w:t>
      </w:r>
      <w:r>
        <w:rPr>
          <w:spacing w:val="-6"/>
        </w:rPr>
        <w:t>存在差异。相邻部位的不同组织在创伤和启动修复过程中的信号网 </w:t>
      </w:r>
      <w:r>
        <w:rPr>
          <w:spacing w:val="-11"/>
        </w:rPr>
        <w:t>络、调节机制与影响因素等方面不完全相同但又互相影响，因而需要</w:t>
      </w:r>
      <w:r>
        <w:rPr>
          <w:spacing w:val="-12"/>
        </w:rPr>
        <w:t>修复时协同考虑。例如运动系统中常见的腱骨连接处损伤，就涉及到骨、软骨和肌腱三种组织；关节软骨的损伤也涉及软骨、软骨下骨以</w:t>
      </w:r>
      <w:r>
        <w:rPr>
          <w:spacing w:val="-8"/>
        </w:rPr>
        <w:t>及周围的韧带、滑膜等组织。与会专家认为，在组织修复与再生时， </w:t>
      </w:r>
      <w:r>
        <w:rPr>
          <w:spacing w:val="-4"/>
        </w:rPr>
        <w:t>不仅要考虑到各单一组织的再生，还应考虑不同组织间的相互影响。</w:t>
      </w:r>
    </w:p>
    <w:p>
      <w:pPr>
        <w:spacing w:after="0" w:line="374" w:lineRule="auto"/>
        <w:sectPr>
          <w:pgSz w:w="11910" w:h="16840"/>
          <w:pgMar w:header="0" w:footer="1035" w:top="1540" w:bottom="1300" w:left="1020" w:right="560"/>
        </w:sectPr>
      </w:pPr>
    </w:p>
    <w:p>
      <w:pPr>
        <w:pStyle w:val="BodyText"/>
        <w:spacing w:line="374" w:lineRule="auto" w:before="50"/>
        <w:ind w:left="780" w:right="1145"/>
      </w:pPr>
      <w:r>
        <w:rPr>
          <w:spacing w:val="-7"/>
        </w:rPr>
        <w:t>比如促进骨再生的治疗方案可能造成软骨或肌腱钙化；在腱骨愈合的</w:t>
      </w:r>
      <w:r>
        <w:rPr>
          <w:spacing w:val="-10"/>
        </w:rPr>
        <w:t>过程中形成的瘢痕组织可以快速固定组织，却无法重建正常的腱骨连</w:t>
      </w:r>
      <w:r>
        <w:rPr>
          <w:spacing w:val="-12"/>
        </w:rPr>
        <w:t>接梯度结构。多种组织修复的另一个挑战来自于时空特异性。研究发</w:t>
      </w:r>
      <w:r>
        <w:rPr>
          <w:spacing w:val="-7"/>
        </w:rPr>
        <w:t>现成年期创伤后的愈合过程与胎儿期和新生儿期的愈合过程有着显 </w:t>
      </w:r>
      <w:r>
        <w:rPr>
          <w:spacing w:val="-11"/>
        </w:rPr>
        <w:t>著差异。胎儿期损伤后愈合快速而且缺少瘢痕形成，而成年期创伤往</w:t>
      </w:r>
      <w:r>
        <w:rPr>
          <w:spacing w:val="-13"/>
        </w:rPr>
        <w:t>往通过疤痕愈合。因此，了解不同时间点上机体损伤修复与再生的机</w:t>
      </w:r>
      <w:r>
        <w:rPr>
          <w:spacing w:val="-9"/>
        </w:rPr>
        <w:t>制，可以为临床组织再生提供理论依据，优化治疗方法，提高疗效。</w:t>
      </w:r>
      <w:r>
        <w:rPr>
          <w:spacing w:val="-11"/>
        </w:rPr>
        <w:t>另外，由于上述组织间的差异，即使是成年期，在修复的不同时间点</w:t>
      </w:r>
      <w:r>
        <w:rPr>
          <w:spacing w:val="-13"/>
        </w:rPr>
        <w:t>上组织间的相互作用可能是不同的，不同组织修复需要的环境条件也</w:t>
      </w:r>
      <w:r>
        <w:rPr>
          <w:spacing w:val="-12"/>
        </w:rPr>
        <w:t>可能是不同的，如何时序性调控单一组织再生，协调组织与组织之间</w:t>
      </w:r>
      <w:r>
        <w:rPr>
          <w:spacing w:val="-7"/>
        </w:rPr>
        <w:t>在不同时间点上的相互作用，是我们需要面对的难题。</w:t>
      </w:r>
    </w:p>
    <w:p>
      <w:pPr>
        <w:pStyle w:val="BodyText"/>
        <w:spacing w:line="374" w:lineRule="auto" w:before="6"/>
        <w:ind w:left="780" w:right="1238" w:firstLine="559"/>
      </w:pPr>
      <w:r>
        <w:rPr>
          <w:spacing w:val="-10"/>
        </w:rPr>
        <w:t>与会专家对该领域提出的问题是：细胞与细胞外环境之间、组织</w:t>
      </w:r>
      <w:r>
        <w:rPr>
          <w:spacing w:val="-3"/>
        </w:rPr>
        <w:t>与组织之间有哪些相互作用的因素？其作用特点和机制如何？我们如何通过干预这些相互作用的因素促进组织再生？</w:t>
      </w:r>
    </w:p>
    <w:p>
      <w:pPr>
        <w:pStyle w:val="Heading8"/>
        <w:spacing w:line="411" w:lineRule="exact"/>
        <w:ind w:left="1193"/>
      </w:pPr>
      <w:r>
        <w:rPr/>
        <w:t>（三）病理纠正和人体损伤快速修复与再生</w:t>
      </w:r>
    </w:p>
    <w:p>
      <w:pPr>
        <w:pStyle w:val="ListParagraph"/>
        <w:numPr>
          <w:ilvl w:val="0"/>
          <w:numId w:val="10"/>
        </w:numPr>
        <w:tabs>
          <w:tab w:pos="1755" w:val="left" w:leader="none"/>
        </w:tabs>
        <w:spacing w:line="240" w:lineRule="auto" w:before="137" w:after="0"/>
        <w:ind w:left="1754" w:right="0" w:hanging="423"/>
        <w:jc w:val="left"/>
        <w:rPr>
          <w:rFonts w:ascii="等线" w:eastAsia="等线" w:hint="eastAsia"/>
          <w:b/>
          <w:sz w:val="28"/>
        </w:rPr>
      </w:pPr>
      <w:r>
        <w:rPr>
          <w:rFonts w:ascii="等线" w:eastAsia="等线" w:hint="eastAsia"/>
          <w:b/>
          <w:sz w:val="28"/>
        </w:rPr>
        <w:t>病理微环境和病理修复的分子机制</w:t>
      </w:r>
    </w:p>
    <w:p>
      <w:pPr>
        <w:pStyle w:val="BodyText"/>
        <w:spacing w:line="374" w:lineRule="auto" w:before="150"/>
        <w:ind w:left="780" w:right="1097" w:firstLine="559"/>
      </w:pPr>
      <w:r>
        <w:rPr>
          <w:spacing w:val="-5"/>
        </w:rPr>
        <w:t>多种组织</w:t>
      </w:r>
      <w:r>
        <w:rPr/>
        <w:t>（</w:t>
      </w:r>
      <w:r>
        <w:rPr>
          <w:spacing w:val="-10"/>
        </w:rPr>
        <w:t>例如软骨、肌腱、韧带、神经等</w:t>
      </w:r>
      <w:r>
        <w:rPr>
          <w:spacing w:val="-20"/>
        </w:rPr>
        <w:t>）</w:t>
      </w:r>
      <w:r>
        <w:rPr>
          <w:spacing w:val="-3"/>
        </w:rPr>
        <w:t>其损伤后的再生修</w:t>
      </w:r>
      <w:r>
        <w:rPr>
          <w:spacing w:val="-18"/>
        </w:rPr>
        <w:t>复能力非常有限，且其目前缺乏有效的治疗干预措施，导致机体残疾， </w:t>
      </w:r>
      <w:r>
        <w:rPr>
          <w:spacing w:val="-12"/>
        </w:rPr>
        <w:t>疤痕修复，甚至功能丧失。机体损伤后病理机制改变与再生修复关系</w:t>
      </w:r>
      <w:r>
        <w:rPr>
          <w:spacing w:val="-7"/>
        </w:rPr>
        <w:t>密切相关。而目前对损伤后各组织的分子病理机制尚不清晰。</w:t>
      </w:r>
    </w:p>
    <w:p>
      <w:pPr>
        <w:pStyle w:val="BodyText"/>
        <w:spacing w:line="374" w:lineRule="auto" w:before="3"/>
        <w:ind w:left="780" w:right="1236" w:firstLine="559"/>
        <w:jc w:val="both"/>
      </w:pPr>
      <w:r>
        <w:rPr>
          <w:spacing w:val="-9"/>
        </w:rPr>
        <w:t>近年来分子生物学和生物信息学技术飞速发展，特别是基因、蛋</w:t>
      </w:r>
      <w:r>
        <w:rPr>
          <w:spacing w:val="-12"/>
        </w:rPr>
        <w:t>白表达谱分析技术，为处理大量分子病理过程提供了有效的工具。与</w:t>
      </w:r>
      <w:r>
        <w:rPr>
          <w:spacing w:val="-8"/>
        </w:rPr>
        <w:t>会专家认为基于表达谱时序性全息化分析的结果，可以在组织损伤病</w:t>
      </w:r>
      <w:r>
        <w:rPr>
          <w:spacing w:val="36"/>
        </w:rPr>
        <w:t>理机制研究中进行有针对性和靶向性的干预研究。通过芯片</w:t>
      </w:r>
    </w:p>
    <w:p>
      <w:pPr>
        <w:spacing w:after="0" w:line="374" w:lineRule="auto"/>
        <w:jc w:val="both"/>
        <w:sectPr>
          <w:pgSz w:w="11910" w:h="16840"/>
          <w:pgMar w:header="0" w:footer="1035" w:top="1540" w:bottom="1300" w:left="1020" w:right="560"/>
        </w:sectPr>
      </w:pPr>
    </w:p>
    <w:p>
      <w:pPr>
        <w:pStyle w:val="BodyText"/>
        <w:spacing w:line="374" w:lineRule="auto" w:before="50"/>
        <w:ind w:left="780" w:right="1234"/>
        <w:jc w:val="both"/>
      </w:pPr>
      <w:r>
        <w:rPr/>
        <w:t>microarray</w:t>
      </w:r>
      <w:r>
        <w:rPr>
          <w:spacing w:val="-8"/>
        </w:rPr>
        <w:t> 和同位素相对标记与绝对定量技术 </w:t>
      </w:r>
      <w:r>
        <w:rPr/>
        <w:t>itraq</w:t>
      </w:r>
      <w:r>
        <w:rPr>
          <w:spacing w:val="-7"/>
        </w:rPr>
        <w:t> 表达谱分析技</w:t>
      </w:r>
      <w:r>
        <w:rPr>
          <w:spacing w:val="-11"/>
        </w:rPr>
        <w:t>术，进行多组织大样本量损伤病理组织及其病理微环境的时序性变化研究；比对不同组织损伤后基因，蛋白表达谱的变化，以及正常组织</w:t>
      </w:r>
      <w:r>
        <w:rPr>
          <w:spacing w:val="-13"/>
        </w:rPr>
        <w:t>与损伤组织的基因表达变化差异，发现组织损伤后不同时期的相关关键基因和关键信号通路。系统开展从基因，蛋白层面分析正常组织与组织损伤后的表达变化，揭示组织损伤的分子病理机制。区分急性损伤与慢性损伤病理机制，探索组织损伤的病理调控机制和程序性干预方案。</w:t>
      </w:r>
    </w:p>
    <w:p>
      <w:pPr>
        <w:pStyle w:val="Heading8"/>
        <w:numPr>
          <w:ilvl w:val="0"/>
          <w:numId w:val="10"/>
        </w:numPr>
        <w:tabs>
          <w:tab w:pos="1755" w:val="left" w:leader="none"/>
        </w:tabs>
        <w:spacing w:line="380" w:lineRule="exact" w:before="0" w:after="0"/>
        <w:ind w:left="1754" w:right="0" w:hanging="423"/>
        <w:jc w:val="left"/>
      </w:pPr>
      <w:r>
        <w:rPr/>
        <w:t>人体快速修复与再生</w:t>
      </w:r>
    </w:p>
    <w:p>
      <w:pPr>
        <w:pStyle w:val="BodyText"/>
        <w:spacing w:line="348" w:lineRule="auto" w:before="109"/>
        <w:ind w:left="780" w:right="1232" w:firstLine="559"/>
        <w:jc w:val="both"/>
      </w:pPr>
      <w:r>
        <w:rPr>
          <w:spacing w:val="3"/>
        </w:rPr>
        <w:t>人体组织创伤的快速修复和再生需要具备一个促进组织合成的</w:t>
      </w:r>
      <w:r>
        <w:rPr>
          <w:spacing w:val="-9"/>
        </w:rPr>
        <w:t>要素和环境。参照临床损伤，结合再生动物模型，从细胞到组织，组</w:t>
      </w:r>
      <w:r>
        <w:rPr>
          <w:spacing w:val="-11"/>
        </w:rPr>
        <w:t>织到整体，从分子机制到信号通路，从体外到体内，更宽阔的视野多</w:t>
      </w:r>
      <w:r>
        <w:rPr>
          <w:spacing w:val="-6"/>
        </w:rPr>
        <w:t>个层面进行探索。</w:t>
      </w:r>
    </w:p>
    <w:p>
      <w:pPr>
        <w:pStyle w:val="BodyText"/>
        <w:spacing w:line="348" w:lineRule="auto"/>
        <w:ind w:left="780" w:right="1232" w:firstLine="559"/>
        <w:jc w:val="both"/>
      </w:pPr>
      <w:r>
        <w:rPr>
          <w:spacing w:val="3"/>
        </w:rPr>
        <w:t>不同组织的精准合成要素包括组织特异性细胞的诱导和定向分</w:t>
      </w:r>
      <w:r>
        <w:rPr>
          <w:spacing w:val="-10"/>
        </w:rPr>
        <w:t>化、组织微环境的构建和调节，细胞与环境的相互作用等。损伤后病</w:t>
      </w:r>
      <w:r>
        <w:rPr>
          <w:spacing w:val="-13"/>
        </w:rPr>
        <w:t>理微环境不利于细胞存活，干细胞迁移修复，因此微环境失衡是阻碍</w:t>
      </w:r>
      <w:r>
        <w:rPr>
          <w:spacing w:val="-12"/>
        </w:rPr>
        <w:t>组织再生病理机制中的另一重要因素，通过收集样本，原位研究，系统生物学鉴定，体内外实验研究局部微环境的成份及作用，比较微环</w:t>
      </w:r>
      <w:r>
        <w:rPr>
          <w:w w:val="100"/>
        </w:rPr>
        <w:t>境中成分表达变化</w:t>
      </w:r>
      <w:r>
        <w:rPr>
          <w:spacing w:val="2"/>
          <w:w w:val="100"/>
        </w:rPr>
        <w:t>（</w:t>
      </w:r>
      <w:r>
        <w:rPr>
          <w:w w:val="100"/>
        </w:rPr>
        <w:t>炎性介质，细胞因子等</w:t>
      </w:r>
      <w:r>
        <w:rPr>
          <w:spacing w:val="-142"/>
          <w:w w:val="100"/>
        </w:rPr>
        <w:t>）</w:t>
      </w:r>
      <w:r>
        <w:rPr>
          <w:spacing w:val="-2"/>
          <w:w w:val="100"/>
        </w:rPr>
        <w:t>，物理微环境如力学、</w:t>
      </w:r>
      <w:r>
        <w:rPr>
          <w:spacing w:val="3"/>
        </w:rPr>
        <w:t>电刺激等对再生组织的影响。了解病理微环境对细胞分化调控的影</w:t>
      </w:r>
      <w:r>
        <w:rPr>
          <w:spacing w:val="-3"/>
        </w:rPr>
        <w:t>响。靶向微环境的干预，建立组织合成的有利环境。</w:t>
      </w:r>
    </w:p>
    <w:p>
      <w:pPr>
        <w:pStyle w:val="BodyText"/>
        <w:spacing w:line="348" w:lineRule="auto"/>
        <w:ind w:left="780" w:right="1228" w:firstLine="609"/>
        <w:jc w:val="both"/>
      </w:pPr>
      <w:r>
        <w:rPr>
          <w:spacing w:val="2"/>
        </w:rPr>
        <w:t>组织合成的重要元素有细胞和材料。如何定义和找到合适的细</w:t>
      </w:r>
      <w:r>
        <w:rPr>
          <w:spacing w:val="3"/>
        </w:rPr>
        <w:t>胞？如何诱导干细胞向指定的方向分化？在外源性细胞具有免疫原</w:t>
      </w:r>
      <w:r>
        <w:rPr>
          <w:spacing w:val="-11"/>
        </w:rPr>
        <w:t>性和获取不便的情况下，如何调动自体的内源性细胞？目前的组织工</w:t>
      </w:r>
      <w:r>
        <w:rPr>
          <w:spacing w:val="-12"/>
        </w:rPr>
        <w:t>程材料研究中，材料已经不仅仅是作为支架，其本身也可能对组织再</w:t>
      </w:r>
      <w:r>
        <w:rPr>
          <w:spacing w:val="-11"/>
        </w:rPr>
        <w:t>生过程产生主动的、积极的影响。材料基因组</w:t>
      </w:r>
      <w:r>
        <w:rPr>
          <w:spacing w:val="-3"/>
        </w:rPr>
        <w:t>（</w:t>
      </w:r>
      <w:r>
        <w:rPr>
          <w:spacing w:val="-5"/>
        </w:rPr>
        <w:t>包括材料的结构、成</w:t>
      </w:r>
    </w:p>
    <w:p>
      <w:pPr>
        <w:spacing w:after="0" w:line="348" w:lineRule="auto"/>
        <w:jc w:val="both"/>
        <w:sectPr>
          <w:pgSz w:w="11910" w:h="16840"/>
          <w:pgMar w:header="0" w:footer="1035" w:top="1540" w:bottom="1300" w:left="1020" w:right="560"/>
        </w:sectPr>
      </w:pPr>
    </w:p>
    <w:p>
      <w:pPr>
        <w:pStyle w:val="BodyText"/>
        <w:spacing w:line="348" w:lineRule="auto" w:before="37"/>
        <w:ind w:left="780" w:right="1238"/>
      </w:pPr>
      <w:r>
        <w:rPr>
          <w:spacing w:val="-9"/>
        </w:rPr>
        <w:t>分、降解产物等</w:t>
      </w:r>
      <w:r>
        <w:rPr>
          <w:spacing w:val="-49"/>
        </w:rPr>
        <w:t>）</w:t>
      </w:r>
      <w:r>
        <w:rPr>
          <w:spacing w:val="-4"/>
        </w:rPr>
        <w:t>与生物基因组及人体特定组织如何相互作用？材料</w:t>
      </w:r>
      <w:r>
        <w:rPr>
          <w:spacing w:val="-3"/>
        </w:rPr>
        <w:t>如何才能主动适应组织的特定环境和诱导特定组织合成？</w:t>
      </w:r>
    </w:p>
    <w:p>
      <w:pPr>
        <w:pStyle w:val="BodyText"/>
        <w:spacing w:line="348" w:lineRule="auto"/>
        <w:ind w:left="780" w:right="1145" w:firstLine="559"/>
      </w:pPr>
      <w:r>
        <w:rPr/>
        <w:t>与会专家认为:通过系统研究发育过程和完美再生模型的组织合</w:t>
      </w:r>
      <w:r>
        <w:rPr>
          <w:spacing w:val="-4"/>
        </w:rPr>
        <w:t>成机制以及组织创伤的分子病理机制，构建“逆转病理，启动再生” </w:t>
      </w:r>
      <w:r>
        <w:rPr>
          <w:spacing w:val="-11"/>
        </w:rPr>
        <w:t>的生物程序，通过生物、物理和化学手段程序性干预可以实现人体组</w:t>
      </w:r>
      <w:r>
        <w:rPr>
          <w:spacing w:val="-7"/>
        </w:rPr>
        <w:t>织创伤的快速修复与再生。</w:t>
      </w:r>
    </w:p>
    <w:p>
      <w:pPr>
        <w:pStyle w:val="Heading8"/>
        <w:ind w:left="1342"/>
        <w:rPr>
          <w:rFonts w:ascii="黑体" w:eastAsia="黑体" w:hint="eastAsia"/>
        </w:rPr>
      </w:pPr>
      <w:r>
        <w:rPr>
          <w:rFonts w:ascii="黑体" w:eastAsia="黑体" w:hint="eastAsia"/>
        </w:rPr>
        <w:t>二、论坛讨论的主要成果</w:t>
      </w:r>
    </w:p>
    <w:p>
      <w:pPr>
        <w:pStyle w:val="BodyText"/>
        <w:spacing w:line="348" w:lineRule="auto" w:before="161"/>
        <w:ind w:left="780" w:right="1236" w:firstLine="559"/>
        <w:jc w:val="both"/>
      </w:pPr>
      <w:r>
        <w:rPr>
          <w:spacing w:val="-5"/>
        </w:rPr>
        <w:t>通过两天的大会发言和讨论，专家们于 </w:t>
      </w:r>
      <w:r>
        <w:rPr/>
        <w:t>12</w:t>
      </w:r>
      <w:r>
        <w:rPr>
          <w:spacing w:val="-9"/>
        </w:rPr>
        <w:t> 日下午进行了总结性</w:t>
      </w:r>
      <w:r>
        <w:rPr>
          <w:spacing w:val="-11"/>
        </w:rPr>
        <w:t>讨论，凝练出以下未来该领域亟需解决的科学问题“组织的合成和互</w:t>
      </w:r>
      <w:r>
        <w:rPr>
          <w:spacing w:val="-14"/>
          <w:w w:val="100"/>
        </w:rPr>
        <w:t>作机制与人体创伤快速修复”，具体包括：</w:t>
      </w:r>
    </w:p>
    <w:p>
      <w:pPr>
        <w:pStyle w:val="BodyText"/>
        <w:spacing w:line="324" w:lineRule="auto"/>
        <w:ind w:left="780" w:right="1234" w:firstLine="561"/>
        <w:jc w:val="both"/>
      </w:pPr>
      <w:r>
        <w:rPr>
          <w:rFonts w:ascii="等线" w:eastAsia="等线" w:hint="eastAsia"/>
          <w:b/>
        </w:rPr>
        <w:t>（一</w:t>
      </w:r>
      <w:r>
        <w:rPr>
          <w:rFonts w:ascii="等线" w:eastAsia="等线" w:hint="eastAsia"/>
          <w:b/>
          <w:spacing w:val="-39"/>
        </w:rPr>
        <w:t>）</w:t>
      </w:r>
      <w:r>
        <w:rPr>
          <w:rFonts w:ascii="等线" w:eastAsia="等线" w:hint="eastAsia"/>
          <w:b/>
          <w:spacing w:val="-3"/>
        </w:rPr>
        <w:t>组织合成程序及调控机制，</w:t>
      </w:r>
      <w:r>
        <w:rPr>
          <w:spacing w:val="-6"/>
        </w:rPr>
        <w:t>内容包括：</w:t>
      </w:r>
      <w:r>
        <w:rPr>
          <w:spacing w:val="-14"/>
        </w:rPr>
        <w:t>1.</w:t>
      </w:r>
      <w:r>
        <w:rPr>
          <w:spacing w:val="-3"/>
        </w:rPr>
        <w:t>发育过程的组织</w:t>
      </w:r>
      <w:r>
        <w:rPr>
          <w:spacing w:val="-16"/>
        </w:rPr>
        <w:t>合成</w:t>
      </w:r>
      <w:r>
        <w:rPr/>
        <w:t>（</w:t>
      </w:r>
      <w:r>
        <w:rPr>
          <w:spacing w:val="-7"/>
        </w:rPr>
        <w:t>组织发生分化的细胞及调控机制，组织的特异性，程序性分化</w:t>
      </w:r>
      <w:r>
        <w:rPr>
          <w:spacing w:val="-6"/>
          <w:w w:val="100"/>
        </w:rPr>
        <w:t>调控等</w:t>
      </w:r>
      <w:r>
        <w:rPr>
          <w:spacing w:val="-140"/>
          <w:w w:val="100"/>
        </w:rPr>
        <w:t>）</w:t>
      </w:r>
      <w:r>
        <w:rPr>
          <w:spacing w:val="-48"/>
          <w:w w:val="100"/>
        </w:rPr>
        <w:t>；</w:t>
      </w:r>
      <w:r>
        <w:rPr>
          <w:spacing w:val="-2"/>
          <w:w w:val="100"/>
        </w:rPr>
        <w:t>2.</w:t>
      </w:r>
      <w:r>
        <w:rPr>
          <w:spacing w:val="-7"/>
          <w:w w:val="100"/>
        </w:rPr>
        <w:t>损伤完美再生模型的组织合成</w:t>
      </w:r>
      <w:r>
        <w:rPr>
          <w:w w:val="100"/>
        </w:rPr>
        <w:t>（</w:t>
      </w:r>
      <w:r>
        <w:rPr>
          <w:spacing w:val="-3"/>
          <w:w w:val="100"/>
        </w:rPr>
        <w:t>低等-动物进化与人体组</w:t>
      </w:r>
    </w:p>
    <w:p>
      <w:pPr>
        <w:pStyle w:val="BodyText"/>
        <w:spacing w:line="348" w:lineRule="auto" w:before="22"/>
        <w:ind w:left="780" w:right="1239"/>
      </w:pPr>
      <w:r>
        <w:rPr>
          <w:spacing w:val="3"/>
        </w:rPr>
        <w:t>织发育过程中完美再生模型的调控机制，再生细胞与间质间相互作</w:t>
      </w:r>
      <w:r>
        <w:rPr>
          <w:spacing w:val="-3"/>
        </w:rPr>
        <w:t>用，再生胚芽等，人-自然再生</w:t>
      </w:r>
      <w:r>
        <w:rPr>
          <w:spacing w:val="-140"/>
        </w:rPr>
        <w:t>）</w:t>
      </w:r>
      <w:r>
        <w:rPr/>
        <w:t>。</w:t>
      </w:r>
    </w:p>
    <w:p>
      <w:pPr>
        <w:spacing w:line="302" w:lineRule="auto" w:before="0"/>
        <w:ind w:left="780" w:right="1233" w:firstLine="561"/>
        <w:jc w:val="left"/>
        <w:rPr>
          <w:sz w:val="28"/>
        </w:rPr>
      </w:pPr>
      <w:r>
        <w:rPr>
          <w:rFonts w:ascii="等线" w:eastAsia="等线" w:hint="eastAsia"/>
          <w:b/>
          <w:sz w:val="28"/>
        </w:rPr>
        <w:t>（二</w:t>
      </w:r>
      <w:r>
        <w:rPr>
          <w:rFonts w:ascii="等线" w:eastAsia="等线" w:hint="eastAsia"/>
          <w:b/>
          <w:spacing w:val="-39"/>
          <w:sz w:val="28"/>
        </w:rPr>
        <w:t>）</w:t>
      </w:r>
      <w:r>
        <w:rPr>
          <w:rFonts w:ascii="等线" w:eastAsia="等线" w:hint="eastAsia"/>
          <w:b/>
          <w:spacing w:val="-3"/>
          <w:sz w:val="28"/>
        </w:rPr>
        <w:t>组织内及组织间各要素的相互作用，</w:t>
      </w:r>
      <w:r>
        <w:rPr>
          <w:spacing w:val="-6"/>
          <w:sz w:val="28"/>
        </w:rPr>
        <w:t>内容包括：</w:t>
      </w:r>
      <w:r>
        <w:rPr>
          <w:spacing w:val="-14"/>
          <w:sz w:val="28"/>
        </w:rPr>
        <w:t>1.</w:t>
      </w:r>
      <w:r>
        <w:rPr>
          <w:spacing w:val="-5"/>
          <w:sz w:val="28"/>
        </w:rPr>
        <w:t>细胞与</w:t>
      </w:r>
      <w:r>
        <w:rPr>
          <w:spacing w:val="-3"/>
          <w:sz w:val="28"/>
        </w:rPr>
        <w:t>细胞外环境的相互作用；</w:t>
      </w:r>
      <w:r>
        <w:rPr>
          <w:sz w:val="28"/>
        </w:rPr>
        <w:t>2.</w:t>
      </w:r>
      <w:r>
        <w:rPr>
          <w:spacing w:val="-3"/>
          <w:sz w:val="28"/>
        </w:rPr>
        <w:t>相邻部位不同组织间的相互作用。</w:t>
      </w:r>
    </w:p>
    <w:p>
      <w:pPr>
        <w:spacing w:line="302" w:lineRule="auto" w:before="43"/>
        <w:ind w:left="780" w:right="1096" w:firstLine="561"/>
        <w:jc w:val="left"/>
        <w:rPr>
          <w:sz w:val="28"/>
        </w:rPr>
      </w:pPr>
      <w:r>
        <w:rPr>
          <w:rFonts w:ascii="等线" w:eastAsia="等线" w:hint="eastAsia"/>
          <w:b/>
          <w:sz w:val="28"/>
        </w:rPr>
        <w:t>（三）人体损伤快速修复与再生，</w:t>
      </w:r>
      <w:r>
        <w:rPr>
          <w:sz w:val="28"/>
        </w:rPr>
        <w:t>内容包括：1.分子病理机制和病理微环境纠正（分子病理和表达谱分析，大数据库分析，病理局部</w:t>
      </w:r>
    </w:p>
    <w:p>
      <w:pPr>
        <w:pStyle w:val="BodyText"/>
        <w:spacing w:line="348" w:lineRule="auto" w:before="70"/>
        <w:ind w:left="780" w:right="1096"/>
      </w:pPr>
      <w:r>
        <w:rPr>
          <w:spacing w:val="-3"/>
          <w:w w:val="100"/>
        </w:rPr>
        <w:t>微环境的成份及作用</w:t>
      </w:r>
      <w:r>
        <w:rPr>
          <w:spacing w:val="-140"/>
          <w:w w:val="100"/>
        </w:rPr>
        <w:t>）</w:t>
      </w:r>
      <w:r>
        <w:rPr>
          <w:spacing w:val="-31"/>
          <w:w w:val="100"/>
        </w:rPr>
        <w:t>；</w:t>
      </w:r>
      <w:r>
        <w:rPr>
          <w:spacing w:val="-2"/>
          <w:w w:val="100"/>
        </w:rPr>
        <w:t>2.</w:t>
      </w:r>
      <w:r>
        <w:rPr>
          <w:spacing w:val="-8"/>
          <w:w w:val="100"/>
        </w:rPr>
        <w:t>快速修复与再生</w:t>
      </w:r>
      <w:r>
        <w:rPr>
          <w:w w:val="100"/>
        </w:rPr>
        <w:t>（</w:t>
      </w:r>
      <w:r>
        <w:rPr>
          <w:spacing w:val="-7"/>
          <w:w w:val="100"/>
        </w:rPr>
        <w:t>重要器官组织皮肤，骨，</w:t>
      </w:r>
      <w:r>
        <w:rPr>
          <w:spacing w:val="-12"/>
        </w:rPr>
        <w:t>软骨，肌腱，神经，脊髓，椎间盘等精准修复的生物、物理和化学干预要素</w:t>
      </w:r>
      <w:r>
        <w:rPr>
          <w:spacing w:val="-3"/>
        </w:rPr>
        <w:t>）</w:t>
      </w:r>
      <w:r>
        <w:rPr/>
        <w:t>。</w:t>
      </w:r>
    </w:p>
    <w:p>
      <w:pPr>
        <w:pStyle w:val="BodyText"/>
        <w:rPr>
          <w:sz w:val="20"/>
        </w:rPr>
      </w:pPr>
    </w:p>
    <w:p>
      <w:pPr>
        <w:pStyle w:val="BodyText"/>
        <w:rPr>
          <w:sz w:val="20"/>
        </w:rPr>
      </w:pPr>
    </w:p>
    <w:p>
      <w:pPr>
        <w:pStyle w:val="BodyText"/>
        <w:spacing w:before="9"/>
        <w:rPr>
          <w:sz w:val="24"/>
        </w:rPr>
      </w:pPr>
      <w:r>
        <w:rPr/>
        <w:pict>
          <v:shape style="position:absolute;margin-left:90.024002pt;margin-top:18.175055pt;width:105.05pt;height:.1pt;mso-position-horizontal-relative:page;mso-position-vertical-relative:paragraph;z-index:-251645952;mso-wrap-distance-left:0;mso-wrap-distance-right:0" coordorigin="1800,364" coordsize="2101,0" path="m1800,364l3901,364e" filled="false" stroked="true" strokeweight=".71997pt" strokecolor="#000000">
            <v:path arrowok="t"/>
            <v:stroke dashstyle="solid"/>
            <w10:wrap type="topAndBottom"/>
          </v:shape>
        </w:pict>
      </w:r>
    </w:p>
    <w:p>
      <w:pPr>
        <w:pStyle w:val="BodyText"/>
        <w:spacing w:before="11"/>
        <w:rPr>
          <w:sz w:val="10"/>
        </w:rPr>
      </w:pPr>
    </w:p>
    <w:p>
      <w:pPr>
        <w:pStyle w:val="BodyText"/>
        <w:spacing w:before="62"/>
        <w:ind w:left="780"/>
      </w:pPr>
      <w:r>
        <w:rPr/>
        <w:t>本期纪要在 OA 网政策局“双清论坛”栏目刊发</w:t>
      </w:r>
    </w:p>
    <w:p>
      <w:pPr>
        <w:spacing w:after="0"/>
        <w:sectPr>
          <w:pgSz w:w="11910" w:h="16840"/>
          <w:pgMar w:header="0" w:footer="1035" w:top="1520" w:bottom="1300" w:left="1020" w:right="560"/>
        </w:sectPr>
      </w:pPr>
    </w:p>
    <w:p>
      <w:pPr>
        <w:pStyle w:val="Heading4"/>
        <w:spacing w:before="26"/>
        <w:ind w:left="780"/>
        <w:jc w:val="left"/>
        <w:rPr>
          <w:rFonts w:ascii="黑体" w:eastAsia="黑体" w:hint="eastAsia"/>
        </w:rPr>
      </w:pPr>
      <w:bookmarkStart w:name="_TOC_250007" w:id="20"/>
      <w:bookmarkEnd w:id="20"/>
      <w:r>
        <w:rPr>
          <w:rFonts w:ascii="黑体" w:eastAsia="黑体" w:hint="eastAsia"/>
        </w:rPr>
        <w:t>2、双清论坛会议纪要样稿（二）</w:t>
      </w:r>
    </w:p>
    <w:p>
      <w:pPr>
        <w:pStyle w:val="BodyText"/>
        <w:rPr>
          <w:rFonts w:ascii="黑体"/>
          <w:b/>
          <w:sz w:val="36"/>
        </w:rPr>
      </w:pPr>
    </w:p>
    <w:p>
      <w:pPr>
        <w:pStyle w:val="BodyText"/>
        <w:spacing w:before="6"/>
        <w:rPr>
          <w:rFonts w:ascii="黑体"/>
          <w:b/>
          <w:sz w:val="40"/>
        </w:rPr>
      </w:pPr>
    </w:p>
    <w:p>
      <w:pPr>
        <w:spacing w:line="600" w:lineRule="exact" w:before="0"/>
        <w:ind w:left="0" w:right="459" w:firstLine="0"/>
        <w:jc w:val="center"/>
        <w:rPr>
          <w:rFonts w:ascii="方正小标宋简体" w:eastAsia="方正小标宋简体" w:hint="eastAsia"/>
          <w:b/>
          <w:sz w:val="36"/>
        </w:rPr>
      </w:pPr>
      <w:r>
        <w:rPr>
          <w:rFonts w:ascii="方正小标宋简体" w:eastAsia="方正小标宋简体" w:hint="eastAsia"/>
          <w:b/>
          <w:sz w:val="36"/>
        </w:rPr>
        <w:t>第 136 期双清论坛会议纪要</w:t>
      </w:r>
    </w:p>
    <w:p>
      <w:pPr>
        <w:spacing w:line="600" w:lineRule="exact" w:before="0"/>
        <w:ind w:left="0" w:right="459" w:firstLine="0"/>
        <w:jc w:val="center"/>
        <w:rPr>
          <w:rFonts w:ascii="方正小标宋简体" w:hAnsi="方正小标宋简体" w:eastAsia="方正小标宋简体" w:hint="eastAsia"/>
          <w:b/>
          <w:sz w:val="36"/>
        </w:rPr>
      </w:pPr>
      <w:r>
        <w:rPr>
          <w:rFonts w:ascii="方正小标宋简体" w:hAnsi="方正小标宋简体" w:eastAsia="方正小标宋简体" w:hint="eastAsia"/>
          <w:b/>
          <w:sz w:val="36"/>
        </w:rPr>
        <w:t>——核数据关键基础科学问题</w:t>
      </w:r>
    </w:p>
    <w:p>
      <w:pPr>
        <w:pStyle w:val="BodyText"/>
        <w:spacing w:before="10"/>
        <w:rPr>
          <w:rFonts w:ascii="方正小标宋简体"/>
          <w:b/>
          <w:sz w:val="35"/>
        </w:rPr>
      </w:pPr>
    </w:p>
    <w:p>
      <w:pPr>
        <w:pStyle w:val="BodyText"/>
        <w:ind w:left="1339"/>
      </w:pPr>
      <w:r>
        <w:rPr/>
        <w:t>国家自然科学基金委员会（以下简称基金委）第 136 期双清论坛</w:t>
      </w:r>
    </w:p>
    <w:p>
      <w:pPr>
        <w:pStyle w:val="BodyText"/>
        <w:spacing w:line="374" w:lineRule="auto" w:before="203"/>
        <w:ind w:left="780" w:right="1096"/>
      </w:pPr>
      <w:r>
        <w:rPr>
          <w:spacing w:val="-31"/>
        </w:rPr>
        <w:t>于 </w:t>
      </w:r>
      <w:r>
        <w:rPr/>
        <w:t>2015</w:t>
      </w:r>
      <w:r>
        <w:rPr>
          <w:spacing w:val="-42"/>
        </w:rPr>
        <w:t> 年 </w:t>
      </w:r>
      <w:r>
        <w:rPr/>
        <w:t>5</w:t>
      </w:r>
      <w:r>
        <w:rPr>
          <w:spacing w:val="-40"/>
        </w:rPr>
        <w:t> 月 </w:t>
      </w:r>
      <w:r>
        <w:rPr/>
        <w:t>8-9</w:t>
      </w:r>
      <w:r>
        <w:rPr>
          <w:spacing w:val="-10"/>
        </w:rPr>
        <w:t> 日在北京召开。本次论坛由数学物理科学部、工</w:t>
      </w:r>
      <w:r>
        <w:rPr>
          <w:spacing w:val="-12"/>
        </w:rPr>
        <w:t>程与材料科学部、国际合作局和政策局共同主办，中国核数据中心承</w:t>
      </w:r>
      <w:r>
        <w:rPr>
          <w:spacing w:val="-11"/>
        </w:rPr>
        <w:t>办；论坛主题为“核数据关键基础科学问题”。论坛主席由中国人民</w:t>
      </w:r>
      <w:r>
        <w:rPr>
          <w:spacing w:val="-13"/>
        </w:rPr>
        <w:t>解放军总装备部钱绍钧院士、中国原子能科学研究院王乃彦院士和中</w:t>
      </w:r>
      <w:r>
        <w:rPr>
          <w:spacing w:val="-12"/>
        </w:rPr>
        <w:t>国科学院上海应用物理研究所沈文庆院士共同担任。来自国内相关领</w:t>
      </w:r>
      <w:r>
        <w:rPr>
          <w:spacing w:val="45"/>
        </w:rPr>
        <w:t>域</w:t>
      </w:r>
      <w:r>
        <w:rPr/>
        <w:t>20</w:t>
      </w:r>
      <w:r>
        <w:rPr>
          <w:spacing w:val="-7"/>
        </w:rPr>
        <w:t> 多所高校与科研院所的</w:t>
      </w:r>
      <w:r>
        <w:rPr/>
        <w:t>90</w:t>
      </w:r>
      <w:r>
        <w:rPr>
          <w:spacing w:val="-18"/>
        </w:rPr>
        <w:t> 余位专家学者，以及数学物理科学部、</w:t>
      </w:r>
      <w:r>
        <w:rPr>
          <w:spacing w:val="3"/>
        </w:rPr>
        <w:t>工程与材料科学部、国际合作局和政策局的相关人员参加了本次论坛。</w:t>
      </w:r>
    </w:p>
    <w:p>
      <w:pPr>
        <w:pStyle w:val="BodyText"/>
        <w:spacing w:line="374" w:lineRule="auto" w:before="2"/>
        <w:ind w:left="780" w:right="1145" w:firstLine="559"/>
        <w:jc w:val="both"/>
      </w:pPr>
      <w:r>
        <w:rPr>
          <w:spacing w:val="-7"/>
        </w:rPr>
        <w:t>论坛开幕式由基金委数学物理科学部孟庆国副主任主持。基金委</w:t>
      </w:r>
      <w:r>
        <w:rPr>
          <w:spacing w:val="-10"/>
        </w:rPr>
        <w:t>数学物理科学部汲培文常务副主任致开幕辞，他介绍了双清论坛的起</w:t>
      </w:r>
      <w:r>
        <w:rPr>
          <w:spacing w:val="-11"/>
        </w:rPr>
        <w:t>源、发展与宗旨，并充分肯定了我国核数据研究为国防建设与经济建</w:t>
      </w:r>
      <w:r>
        <w:rPr>
          <w:spacing w:val="-13"/>
        </w:rPr>
        <w:t>设作出的重要贡献，希望本次论坛能够通过了解国内外核数据发展需</w:t>
      </w:r>
      <w:r>
        <w:rPr>
          <w:spacing w:val="-14"/>
        </w:rPr>
        <w:t>求和研究现状，就我国核数据研究中关键基础科学问题与今后重点研究方向进行认真讨论，交流思想，凝炼出制约我国核数据发展的关键基础科学问题，为推动我国核数据工作的发展以及从国家层面开展这</w:t>
      </w:r>
      <w:r>
        <w:rPr>
          <w:spacing w:val="-15"/>
        </w:rPr>
        <w:t>些科学问题研究提供决策参考。论坛主席钱绍钧院士在致辞中希望与</w:t>
      </w:r>
      <w:r>
        <w:rPr>
          <w:spacing w:val="-14"/>
        </w:rPr>
        <w:t>会专家共同努力，开好这次论坛，为我国核数据基础研究的发展提供</w:t>
      </w:r>
      <w:r>
        <w:rPr>
          <w:spacing w:val="-9"/>
        </w:rPr>
        <w:t>战略思考，为国家关于核数据基础研究的支持与决策提供科学依据。</w:t>
      </w:r>
    </w:p>
    <w:p>
      <w:pPr>
        <w:spacing w:after="0" w:line="374" w:lineRule="auto"/>
        <w:jc w:val="both"/>
        <w:sectPr>
          <w:pgSz w:w="11910" w:h="16840"/>
          <w:pgMar w:header="0" w:footer="1035" w:top="1480" w:bottom="1300" w:left="1020" w:right="560"/>
        </w:sectPr>
      </w:pPr>
    </w:p>
    <w:p>
      <w:pPr>
        <w:pStyle w:val="BodyText"/>
        <w:spacing w:line="374" w:lineRule="auto" w:before="50"/>
        <w:ind w:left="780" w:right="1233" w:firstLine="559"/>
        <w:jc w:val="both"/>
      </w:pPr>
      <w:r>
        <w:rPr>
          <w:spacing w:val="-10"/>
        </w:rPr>
        <w:t>论坛期间，与会专家围绕“核数据关键基础科学问题”主题，讨</w:t>
      </w:r>
      <w:r>
        <w:rPr>
          <w:spacing w:val="-8"/>
        </w:rPr>
        <w:t>论了核数据关键基础科学问题的国内外研究现状，分析和初步凝炼了</w:t>
      </w:r>
      <w:r>
        <w:rPr>
          <w:spacing w:val="-7"/>
        </w:rPr>
        <w:t>核数据基础研究领域的重大科学问题，提出今后 </w:t>
      </w:r>
      <w:r>
        <w:rPr/>
        <w:t>5-10</w:t>
      </w:r>
      <w:r>
        <w:rPr>
          <w:spacing w:val="-7"/>
        </w:rPr>
        <w:t> 年的重点研究</w:t>
      </w:r>
      <w:r>
        <w:rPr>
          <w:spacing w:val="-11"/>
        </w:rPr>
        <w:t>方向。论坛以大会报告与大会讨论相结合的形式开展研讨。现将大会</w:t>
      </w:r>
      <w:r>
        <w:rPr>
          <w:spacing w:val="-7"/>
        </w:rPr>
        <w:t>研讨内容择要概括如下：</w:t>
      </w:r>
    </w:p>
    <w:p>
      <w:pPr>
        <w:pStyle w:val="Heading8"/>
        <w:spacing w:before="3"/>
        <w:ind w:left="1332"/>
        <w:rPr>
          <w:rFonts w:ascii="黑体" w:eastAsia="黑体" w:hint="eastAsia"/>
        </w:rPr>
      </w:pPr>
      <w:r>
        <w:rPr>
          <w:rFonts w:ascii="黑体" w:eastAsia="黑体" w:hint="eastAsia"/>
        </w:rPr>
        <w:t>一、论坛主要内容</w:t>
      </w:r>
    </w:p>
    <w:p>
      <w:pPr>
        <w:spacing w:before="189"/>
        <w:ind w:left="1332" w:right="0" w:firstLine="0"/>
        <w:jc w:val="left"/>
        <w:rPr>
          <w:rFonts w:ascii="等线" w:eastAsia="等线" w:hint="eastAsia"/>
          <w:b/>
          <w:sz w:val="28"/>
        </w:rPr>
      </w:pPr>
      <w:r>
        <w:rPr>
          <w:rFonts w:ascii="等线" w:eastAsia="等线" w:hint="eastAsia"/>
          <w:b/>
          <w:sz w:val="28"/>
        </w:rPr>
        <w:t>（一）核数据的发展迫切需要加强核数据基础研究</w:t>
      </w:r>
    </w:p>
    <w:p>
      <w:pPr>
        <w:pStyle w:val="BodyText"/>
        <w:spacing w:line="374" w:lineRule="auto" w:before="150"/>
        <w:ind w:left="780" w:right="1236" w:firstLine="559"/>
        <w:jc w:val="both"/>
      </w:pPr>
      <w:r>
        <w:rPr>
          <w:spacing w:val="-11"/>
        </w:rPr>
        <w:t>核数据是国家安全、核能开发和核科学技术研究的基础。中国工</w:t>
      </w:r>
      <w:r>
        <w:rPr>
          <w:spacing w:val="-13"/>
        </w:rPr>
        <w:t>程物理研究院、西北核技术研究所和中国核动力研究设计院的代表分</w:t>
      </w:r>
      <w:r>
        <w:rPr>
          <w:spacing w:val="-7"/>
        </w:rPr>
        <w:t>别从国家安全和核能发展两个领域阐述了禁核试后装备性能认证、新</w:t>
      </w:r>
      <w:r>
        <w:rPr>
          <w:spacing w:val="-5"/>
        </w:rPr>
        <w:t>型核动力研发、核能发展对核数据的新需求。</w:t>
      </w:r>
    </w:p>
    <w:p>
      <w:pPr>
        <w:pStyle w:val="BodyText"/>
        <w:spacing w:line="374" w:lineRule="auto" w:before="3"/>
        <w:ind w:left="780" w:right="1097" w:firstLine="559"/>
      </w:pPr>
      <w:r>
        <w:rPr>
          <w:spacing w:val="-8"/>
        </w:rPr>
        <w:t>当前的核数据需求重点可以概括为四个方面。第一，提高关键数据的精准度。在裂变核方面，重点关注的数据有：</w:t>
      </w:r>
      <w:r>
        <w:rPr>
          <w:spacing w:val="-8"/>
          <w:position w:val="14"/>
          <w:sz w:val="14"/>
        </w:rPr>
        <w:t>235,238</w:t>
      </w:r>
      <w:r>
        <w:rPr>
          <w:spacing w:val="-8"/>
        </w:rPr>
        <w:t>U</w:t>
      </w:r>
      <w:r>
        <w:rPr>
          <w:spacing w:val="5"/>
        </w:rPr>
        <w:t>、</w:t>
      </w:r>
      <w:r>
        <w:rPr>
          <w:position w:val="14"/>
          <w:sz w:val="14"/>
        </w:rPr>
        <w:t>239</w:t>
      </w:r>
      <w:r>
        <w:rPr/>
        <w:t>Pu</w:t>
      </w:r>
      <w:r>
        <w:rPr>
          <w:spacing w:val="6"/>
        </w:rPr>
        <w:t> 等重要锕系核素(n</w:t>
      </w:r>
      <w:r>
        <w:rPr>
          <w:spacing w:val="5"/>
        </w:rPr>
        <w:t>, </w:t>
      </w:r>
      <w:r>
        <w:rPr/>
        <w:t>f)、(n, γ)、(n</w:t>
      </w:r>
      <w:r>
        <w:rPr>
          <w:spacing w:val="3"/>
        </w:rPr>
        <w:t>, </w:t>
      </w:r>
      <w:r>
        <w:rPr/>
        <w:t>2n)、(n, 3n)和(n</w:t>
      </w:r>
      <w:r>
        <w:rPr>
          <w:spacing w:val="3"/>
        </w:rPr>
        <w:t>, </w:t>
      </w:r>
      <w:r>
        <w:rPr/>
        <w:t>inl)等主要</w:t>
      </w:r>
      <w:r>
        <w:rPr>
          <w:spacing w:val="-5"/>
        </w:rPr>
        <w:t>反应道核数据；</w:t>
      </w:r>
      <w:r>
        <w:rPr>
          <w:spacing w:val="-29"/>
        </w:rPr>
        <w:t>U</w:t>
      </w:r>
      <w:r>
        <w:rPr>
          <w:spacing w:val="-56"/>
        </w:rPr>
        <w:t>、</w:t>
      </w:r>
      <w:r>
        <w:rPr/>
        <w:t>Pu</w:t>
      </w:r>
      <w:r>
        <w:rPr>
          <w:spacing w:val="-12"/>
        </w:rPr>
        <w:t> 裂变瞬发中子谱、裂变平均中子数及几率分布； </w:t>
      </w:r>
      <w:r>
        <w:rPr>
          <w:position w:val="14"/>
          <w:sz w:val="14"/>
        </w:rPr>
        <w:t>239</w:t>
      </w:r>
      <w:r>
        <w:rPr/>
        <w:t>Pu(n, 2n</w:t>
      </w:r>
      <w:r>
        <w:rPr>
          <w:spacing w:val="-2"/>
        </w:rPr>
        <w:t>)等关键核反应截面；</w:t>
      </w:r>
      <w:r>
        <w:rPr>
          <w:position w:val="14"/>
          <w:sz w:val="14"/>
        </w:rPr>
        <w:t>239</w:t>
      </w:r>
      <w:r>
        <w:rPr/>
        <w:t>Pu、</w:t>
      </w:r>
      <w:r>
        <w:rPr>
          <w:position w:val="14"/>
          <w:sz w:val="14"/>
        </w:rPr>
        <w:t>235</w:t>
      </w:r>
      <w:r>
        <w:rPr/>
        <w:t>U</w:t>
      </w:r>
      <w:r>
        <w:rPr>
          <w:spacing w:val="-20"/>
        </w:rPr>
        <w:t> 和 </w:t>
      </w:r>
      <w:r>
        <w:rPr>
          <w:position w:val="14"/>
          <w:sz w:val="14"/>
        </w:rPr>
        <w:t>238</w:t>
      </w:r>
      <w:r>
        <w:rPr/>
        <w:t>U</w:t>
      </w:r>
      <w:r>
        <w:rPr>
          <w:spacing w:val="-6"/>
        </w:rPr>
        <w:t> 裂变重要产物核产</w:t>
      </w:r>
      <w:r>
        <w:rPr>
          <w:spacing w:val="-9"/>
        </w:rPr>
        <w:t>额与诱发中子能量关系以及其部分短寿命裂变产物的产额。在裂变产物方面，重点关注活化指示剂</w:t>
      </w:r>
      <w:r>
        <w:rPr/>
        <w:t>(n</w:t>
      </w:r>
      <w:r>
        <w:rPr>
          <w:spacing w:val="3"/>
        </w:rPr>
        <w:t>, </w:t>
      </w:r>
      <w:r>
        <w:rPr/>
        <w:t>γ)、(n</w:t>
      </w:r>
      <w:r>
        <w:rPr>
          <w:spacing w:val="5"/>
        </w:rPr>
        <w:t>, </w:t>
      </w:r>
      <w:r>
        <w:rPr/>
        <w:t>2n)和(n, 3n)反应道激</w:t>
      </w:r>
      <w:r>
        <w:rPr>
          <w:spacing w:val="-2"/>
        </w:rPr>
        <w:t>发函数；</w:t>
      </w:r>
      <w:r>
        <w:rPr>
          <w:spacing w:val="-5"/>
        </w:rPr>
        <w:t>U</w:t>
      </w:r>
      <w:r>
        <w:rPr>
          <w:spacing w:val="-8"/>
        </w:rPr>
        <w:t>、</w:t>
      </w:r>
      <w:r>
        <w:rPr/>
        <w:t>Pu</w:t>
      </w:r>
      <w:r>
        <w:rPr>
          <w:spacing w:val="-10"/>
        </w:rPr>
        <w:t> 裂变产物指示剂及相关核素的裂变产额、衰变数据和</w:t>
      </w:r>
      <w:r>
        <w:rPr>
          <w:spacing w:val="-7"/>
        </w:rPr>
        <w:t>中子活化数据。在轻核方面，重点关注 </w:t>
      </w:r>
      <w:r>
        <w:rPr>
          <w:position w:val="14"/>
          <w:sz w:val="14"/>
        </w:rPr>
        <w:t>3</w:t>
      </w:r>
      <w:r>
        <w:rPr/>
        <w:t>He、</w:t>
      </w:r>
      <w:r>
        <w:rPr>
          <w:spacing w:val="-3"/>
          <w:position w:val="14"/>
          <w:sz w:val="14"/>
        </w:rPr>
        <w:t>6</w:t>
      </w:r>
      <w:r>
        <w:rPr>
          <w:spacing w:val="-3"/>
        </w:rPr>
        <w:t>Li</w:t>
      </w:r>
      <w:r>
        <w:rPr/>
        <w:t>、</w:t>
      </w:r>
      <w:r>
        <w:rPr>
          <w:position w:val="14"/>
          <w:sz w:val="14"/>
        </w:rPr>
        <w:t>9</w:t>
      </w:r>
      <w:r>
        <w:rPr/>
        <w:t>Be</w:t>
      </w:r>
      <w:r>
        <w:rPr>
          <w:spacing w:val="-3"/>
        </w:rPr>
        <w:t> 等轻核的主要</w:t>
      </w:r>
      <w:r>
        <w:rPr>
          <w:spacing w:val="-4"/>
        </w:rPr>
        <w:t>中子反应截面。第二，填补重点核数据空白。如补充 </w:t>
      </w:r>
      <w:r>
        <w:rPr>
          <w:position w:val="14"/>
          <w:sz w:val="14"/>
        </w:rPr>
        <w:t>240</w:t>
      </w:r>
      <w:r>
        <w:rPr/>
        <w:t>Pu</w:t>
      </w:r>
      <w:r>
        <w:rPr>
          <w:spacing w:val="-3"/>
        </w:rPr>
        <w:t> 自发裂变</w:t>
      </w:r>
      <w:r>
        <w:rPr>
          <w:spacing w:val="-10"/>
        </w:rPr>
        <w:t>气体裂变产物产额；补充、更新气体裂变产物、固体裂变产物、活化</w:t>
      </w:r>
      <w:r>
        <w:rPr>
          <w:spacing w:val="-13"/>
        </w:rPr>
        <w:t>指示剂产物、锕系核素的核衰变数据；补充放射性裂变产物等非稳定核的中子反应数据。第三，补充核数据协方差、发展灵敏度分析技术</w:t>
      </w:r>
    </w:p>
    <w:p>
      <w:pPr>
        <w:spacing w:after="0" w:line="374" w:lineRule="auto"/>
        <w:sectPr>
          <w:pgSz w:w="11910" w:h="16840"/>
          <w:pgMar w:header="0" w:footer="1035" w:top="1540" w:bottom="1300" w:left="1020" w:right="560"/>
        </w:sectPr>
      </w:pPr>
    </w:p>
    <w:p>
      <w:pPr>
        <w:pStyle w:val="BodyText"/>
        <w:spacing w:line="374" w:lineRule="auto" w:before="50"/>
        <w:ind w:left="780" w:right="1233"/>
        <w:jc w:val="both"/>
      </w:pPr>
      <w:r>
        <w:rPr>
          <w:spacing w:val="-8"/>
        </w:rPr>
        <w:t>以支撑不确定度量化技术在国家安全、核能开发中的应用。第四，扩</w:t>
      </w:r>
      <w:r>
        <w:rPr>
          <w:spacing w:val="-12"/>
        </w:rPr>
        <w:t>大核数据库规模，拓展核数据种类和能区。如中子评价核数据库规模</w:t>
      </w:r>
      <w:r>
        <w:rPr>
          <w:spacing w:val="-9"/>
        </w:rPr>
        <w:t>向国际先进水平看齐；激发函数能区向 </w:t>
      </w:r>
      <w:r>
        <w:rPr/>
        <w:t>30 MeV</w:t>
      </w:r>
      <w:r>
        <w:rPr>
          <w:spacing w:val="-8"/>
        </w:rPr>
        <w:t> 的高能端拓展；补充</w:t>
      </w:r>
      <w:r>
        <w:rPr>
          <w:spacing w:val="-12"/>
        </w:rPr>
        <w:t>中高能、高能全套核反应数据。代表们指出我国评价核数据库仍存在</w:t>
      </w:r>
      <w:r>
        <w:rPr>
          <w:spacing w:val="-14"/>
        </w:rPr>
        <w:t>精准度不足、基础数据不全、宏观检验有限、系统性不强、能区范围</w:t>
      </w:r>
      <w:r>
        <w:rPr>
          <w:spacing w:val="-11"/>
        </w:rPr>
        <w:t>窄等问题，需要加强核数据测量和评价工作以提高我国评价核数据库</w:t>
      </w:r>
      <w:r>
        <w:rPr>
          <w:spacing w:val="-7"/>
        </w:rPr>
        <w:t>的性能和适用性。</w:t>
      </w:r>
    </w:p>
    <w:p>
      <w:pPr>
        <w:pStyle w:val="BodyText"/>
        <w:spacing w:line="374" w:lineRule="auto" w:before="3"/>
        <w:ind w:left="780" w:right="1094" w:firstLine="559"/>
      </w:pPr>
      <w:r>
        <w:rPr>
          <w:spacing w:val="-11"/>
        </w:rPr>
        <w:t>同时，与会代表从核数据产生的角度介绍了国际核数据研究发展</w:t>
      </w:r>
      <w:r>
        <w:rPr>
          <w:spacing w:val="-12"/>
        </w:rPr>
        <w:t>趋势，比较了国内外核数据研究现状，阐述了我国核数据研究与国际</w:t>
      </w:r>
      <w:r>
        <w:rPr>
          <w:spacing w:val="-13"/>
        </w:rPr>
        <w:t>先进水平的主要差距。在核数据实验测量方面，受制于缺乏具有高时</w:t>
      </w:r>
      <w:r>
        <w:rPr>
          <w:spacing w:val="-14"/>
        </w:rPr>
        <w:t>间分辨的强流白光中子源，我国在主锕系核素截面测量、裂变参数高</w:t>
      </w:r>
      <w:r>
        <w:rPr>
          <w:spacing w:val="-13"/>
        </w:rPr>
        <w:t>精准度测量、共振截面测量等方面差距显著，特别是共振截面测量几</w:t>
      </w:r>
      <w:r>
        <w:rPr>
          <w:spacing w:val="-19"/>
        </w:rPr>
        <w:t>乎空白，亟待加强相关中子源的建设与相关探测器、实验方法的研究。</w:t>
      </w:r>
      <w:r>
        <w:rPr>
          <w:spacing w:val="-20"/>
        </w:rPr>
        <w:t>在核数据评价方面，我国在裂变物理、微观核反应理论、核结构理论、</w:t>
      </w:r>
      <w:r>
        <w:rPr>
          <w:spacing w:val="-12"/>
        </w:rPr>
        <w:t>先进核反应模型程序、核数据评价方法学等方面与国际上存在较大差</w:t>
      </w:r>
      <w:r>
        <w:rPr>
          <w:spacing w:val="-19"/>
        </w:rPr>
        <w:t>距，使得我们在锕系核素、放射性裂变产物、轻核与少体核反应数据、</w:t>
      </w:r>
      <w:r>
        <w:rPr>
          <w:spacing w:val="-11"/>
        </w:rPr>
        <w:t>裂变产额、衰变数据等核数据及协方差的评价中缺乏有效的理论方法</w:t>
      </w:r>
      <w:r>
        <w:rPr>
          <w:spacing w:val="-13"/>
        </w:rPr>
        <w:t>和评价手段。在核数据宏观检验方面，我国仍在基准实验规模和种类上与国际领先水平有较大差距，灵敏度分析方法、核数据调整方法研</w:t>
      </w:r>
      <w:r>
        <w:rPr>
          <w:spacing w:val="-8"/>
        </w:rPr>
        <w:t>究刚刚起步。</w:t>
      </w:r>
    </w:p>
    <w:p>
      <w:pPr>
        <w:pStyle w:val="BodyText"/>
        <w:spacing w:line="374" w:lineRule="auto" w:before="7"/>
        <w:ind w:left="780" w:right="1235" w:firstLine="559"/>
        <w:jc w:val="both"/>
      </w:pPr>
      <w:r>
        <w:rPr>
          <w:spacing w:val="-11"/>
        </w:rPr>
        <w:t>因此，为了满足用户对高精准度、大规模、系统化和支撑不确定</w:t>
      </w:r>
      <w:r>
        <w:rPr>
          <w:spacing w:val="-13"/>
        </w:rPr>
        <w:t>度量化技术的核数据需求，需要围绕裂变相关核数据、裂变系统中不</w:t>
      </w:r>
      <w:r>
        <w:rPr>
          <w:spacing w:val="-12"/>
        </w:rPr>
        <w:t>稳定过程核的核数据、轻核数据与少体反应核数据测量与评价中的基</w:t>
      </w:r>
      <w:r>
        <w:rPr>
          <w:spacing w:val="-13"/>
        </w:rPr>
        <w:t>础科学问题，以及核数据实验测量、评价与宏观检验本身的基础科学</w:t>
      </w:r>
    </w:p>
    <w:p>
      <w:pPr>
        <w:spacing w:after="0" w:line="374" w:lineRule="auto"/>
        <w:jc w:val="both"/>
        <w:sectPr>
          <w:pgSz w:w="11910" w:h="16840"/>
          <w:pgMar w:header="0" w:footer="1035" w:top="1540" w:bottom="1300" w:left="1020" w:right="560"/>
        </w:sectPr>
      </w:pPr>
    </w:p>
    <w:p>
      <w:pPr>
        <w:pStyle w:val="BodyText"/>
        <w:spacing w:line="374" w:lineRule="auto" w:before="50"/>
        <w:ind w:left="780" w:right="1235"/>
        <w:jc w:val="both"/>
      </w:pPr>
      <w:r>
        <w:rPr>
          <w:spacing w:val="-12"/>
        </w:rPr>
        <w:t>问题，开展目标型创新研究，充分利用核物理前沿研究与基础研究中</w:t>
      </w:r>
      <w:r>
        <w:rPr>
          <w:spacing w:val="-11"/>
        </w:rPr>
        <w:t>取得的成果、方法与手段，开展核数据关键基础科学问题研究，提升</w:t>
      </w:r>
      <w:r>
        <w:rPr>
          <w:spacing w:val="-7"/>
        </w:rPr>
        <w:t>核数据研究的水平。</w:t>
      </w:r>
    </w:p>
    <w:p>
      <w:pPr>
        <w:pStyle w:val="Heading8"/>
        <w:spacing w:line="411" w:lineRule="exact"/>
        <w:ind w:left="1332"/>
      </w:pPr>
      <w:r>
        <w:rPr/>
        <w:t>（二）裂变相关核数据关键基础问题</w:t>
      </w:r>
    </w:p>
    <w:p>
      <w:pPr>
        <w:pStyle w:val="BodyText"/>
        <w:spacing w:line="374" w:lineRule="auto" w:before="150"/>
        <w:ind w:left="780" w:right="1099" w:firstLine="559"/>
      </w:pPr>
      <w:r>
        <w:rPr>
          <w:spacing w:val="-3"/>
        </w:rPr>
        <w:t>裂变核数据是关系国家安全和核能技术发展最重要的基础数据， </w:t>
      </w:r>
      <w:r>
        <w:rPr>
          <w:spacing w:val="-7"/>
        </w:rPr>
        <w:t>但相关核数据数量与质量远无法满足当前核工程高可靠性、安全性发</w:t>
      </w:r>
      <w:r>
        <w:rPr>
          <w:spacing w:val="-11"/>
        </w:rPr>
        <w:t>展的需求，例如：目前国际上对产额能量关系还不清楚，在热能区到</w:t>
      </w:r>
      <w:r>
        <w:rPr>
          <w:spacing w:val="-7"/>
        </w:rPr>
        <w:t>裂变谱能区规律比较复杂</w:t>
      </w:r>
      <w:r>
        <w:rPr/>
        <w:t>，6 MeV</w:t>
      </w:r>
      <w:r>
        <w:rPr>
          <w:spacing w:val="-21"/>
        </w:rPr>
        <w:t> 至 </w:t>
      </w:r>
      <w:r>
        <w:rPr/>
        <w:t>14 MeV</w:t>
      </w:r>
      <w:r>
        <w:rPr>
          <w:spacing w:val="-6"/>
        </w:rPr>
        <w:t> 之间缺少测量数据，重</w:t>
      </w:r>
      <w:r>
        <w:rPr>
          <w:spacing w:val="-5"/>
        </w:rPr>
        <w:t>要产物核的产额测量精度一般只能达到 </w:t>
      </w:r>
      <w:r>
        <w:rPr/>
        <w:t>3-5%，而独立产额缺少测量</w:t>
      </w:r>
      <w:r>
        <w:rPr>
          <w:spacing w:val="-10"/>
        </w:rPr>
        <w:t>数据，各家给出的评价数据均存在不同程度的分歧，无法满足核工程</w:t>
      </w:r>
      <w:r>
        <w:rPr>
          <w:spacing w:val="-12"/>
        </w:rPr>
        <w:t>的需求。围绕裂变相关核数据关键基础问题，与会专家以产额及产额</w:t>
      </w:r>
      <w:r>
        <w:rPr>
          <w:spacing w:val="-19"/>
        </w:rPr>
        <w:t>能量关系为主线作了题为“原子核裂变理论研究现状”等一系列报告， </w:t>
      </w:r>
      <w:r>
        <w:rPr>
          <w:spacing w:val="-11"/>
        </w:rPr>
        <w:t>并对关键问题进行讨论。专家们认为：核裂变是核内所有核子平等参</w:t>
      </w:r>
      <w:r>
        <w:rPr/>
        <w:t>与的多维量子力学空间大振幅集体运动，人们希望从核子-核子相互</w:t>
      </w:r>
      <w:r>
        <w:rPr>
          <w:spacing w:val="-9"/>
        </w:rPr>
        <w:t>作用的层次上统一理解裂变的各种现象，但是相关研究还做得远远不</w:t>
      </w:r>
      <w:r>
        <w:rPr>
          <w:spacing w:val="-11"/>
        </w:rPr>
        <w:t>够，目前国内外依然没有任何一个理论模型可以把原子核裂变前后的</w:t>
      </w:r>
      <w:r>
        <w:rPr>
          <w:spacing w:val="-12"/>
        </w:rPr>
        <w:t>现象统一起来描述。研究核裂变现象需要考虑包括断裂前过程、裂变</w:t>
      </w:r>
      <w:r>
        <w:rPr>
          <w:spacing w:val="-7"/>
        </w:rPr>
        <w:t>后现象和激发碎片发射瞬发中子及瞬发 </w:t>
      </w:r>
      <w:r>
        <w:rPr/>
        <w:t>γ</w:t>
      </w:r>
      <w:r>
        <w:rPr>
          <w:spacing w:val="-11"/>
        </w:rPr>
        <w:t> 三个过程。其中包括多维</w:t>
      </w:r>
      <w:r>
        <w:rPr>
          <w:spacing w:val="-12"/>
        </w:rPr>
        <w:t>形变空间中位能曲面的研究和精确计算，进而需要开展原子核裂变动</w:t>
      </w:r>
      <w:r>
        <w:rPr>
          <w:spacing w:val="-19"/>
        </w:rPr>
        <w:t>力学计算，才能获得有关原子核裂变的各种可观测量。基于以上认识， </w:t>
      </w:r>
      <w:r>
        <w:rPr>
          <w:spacing w:val="-3"/>
        </w:rPr>
        <w:t>与会专家认为需要在以下关键问题上加强研究。</w:t>
      </w:r>
    </w:p>
    <w:p>
      <w:pPr>
        <w:pStyle w:val="BodyText"/>
        <w:spacing w:line="374" w:lineRule="auto" w:before="8"/>
        <w:ind w:left="780" w:right="1234" w:firstLine="559"/>
        <w:jc w:val="both"/>
      </w:pPr>
      <w:r>
        <w:rPr>
          <w:spacing w:val="-12"/>
        </w:rPr>
        <w:t>首先，多维位能曲面的研究与精确计算。裂变位能面是从裂变核</w:t>
      </w:r>
      <w:r>
        <w:rPr>
          <w:spacing w:val="3"/>
        </w:rPr>
        <w:t>基态经过鞍点到达断点的多维形变坐标空间中的包括超大形变的位</w:t>
      </w:r>
      <w:r>
        <w:rPr>
          <w:spacing w:val="-9"/>
        </w:rPr>
        <w:t>能面，在核物理研究中具有自己独特的特色。大量研究证明，原子核</w:t>
      </w:r>
    </w:p>
    <w:p>
      <w:pPr>
        <w:spacing w:after="0" w:line="374" w:lineRule="auto"/>
        <w:jc w:val="both"/>
        <w:sectPr>
          <w:pgSz w:w="11910" w:h="16840"/>
          <w:pgMar w:header="0" w:footer="1035" w:top="1540" w:bottom="1300" w:left="1020" w:right="560"/>
        </w:sectPr>
      </w:pPr>
    </w:p>
    <w:p>
      <w:pPr>
        <w:pStyle w:val="BodyText"/>
        <w:spacing w:line="374" w:lineRule="auto" w:before="50"/>
        <w:ind w:left="780" w:right="1099"/>
      </w:pPr>
      <w:r>
        <w:rPr>
          <w:spacing w:val="-18"/>
        </w:rPr>
        <w:t>基态和低激发态裂变的性质，包括裂变位垒、裂变形状同质异能结构、</w:t>
      </w:r>
      <w:r>
        <w:rPr>
          <w:spacing w:val="-11"/>
        </w:rPr>
        <w:t>裂变碎块的质量分布、电荷分布、动能分布以及裂变宽度等主要由位</w:t>
      </w:r>
      <w:r>
        <w:rPr>
          <w:spacing w:val="-14"/>
        </w:rPr>
        <w:t>能曲面决定，因此在多维集体变形坐标空间中位能曲面的研究和精确</w:t>
      </w:r>
      <w:r>
        <w:rPr>
          <w:spacing w:val="-8"/>
        </w:rPr>
        <w:t>计算是研究低激发能锕系核裂变问题的关键。</w:t>
      </w:r>
    </w:p>
    <w:p>
      <w:pPr>
        <w:pStyle w:val="BodyText"/>
        <w:spacing w:line="374" w:lineRule="auto" w:before="1"/>
        <w:ind w:left="780" w:right="1234" w:firstLine="559"/>
        <w:jc w:val="both"/>
      </w:pPr>
      <w:r>
        <w:rPr>
          <w:spacing w:val="-11"/>
        </w:rPr>
        <w:t>其次，裂变动力学的计算，包括断点物理及断点构型的研究。在</w:t>
      </w:r>
      <w:r>
        <w:rPr>
          <w:spacing w:val="3"/>
        </w:rPr>
        <w:t>精确计算位能曲面的基础上，需开展原子核裂变动力学计算，才能获得有关原子核裂变的各种可观测量，包括断点物理及断点构型。目前宏观动力学研究，主要建立在通过与实验数据比较确定模型参数的基础上，预言能力存在很大局限性。要改变这种状况，需要从</w:t>
      </w:r>
      <w:r>
        <w:rPr>
          <w:spacing w:val="4"/>
        </w:rPr>
        <w:t>三方面入手：</w:t>
      </w:r>
      <w:r>
        <w:rPr>
          <w:spacing w:val="6"/>
        </w:rPr>
        <w:t>（</w:t>
      </w:r>
      <w:r>
        <w:rPr>
          <w:spacing w:val="4"/>
        </w:rPr>
        <w:t>一</w:t>
      </w:r>
      <w:r>
        <w:rPr>
          <w:spacing w:val="7"/>
        </w:rPr>
        <w:t>）</w:t>
      </w:r>
      <w:r>
        <w:rPr>
          <w:spacing w:val="3"/>
        </w:rPr>
        <w:t>发展现有的计算质量张量和粘滞张量的模型；</w:t>
      </w:r>
    </w:p>
    <w:p>
      <w:pPr>
        <w:pStyle w:val="BodyText"/>
        <w:spacing w:line="374" w:lineRule="auto" w:before="3"/>
        <w:ind w:left="780" w:right="1238"/>
        <w:jc w:val="both"/>
      </w:pPr>
      <w:r>
        <w:rPr/>
        <w:t>（二）建立在动力学基础上新的计算质量张量和粘滞张量的真实模型；（三）探索由流体力学模型给出质量张量和粘滞张量的平滑行为，而推转模型给出其涨落部分，然后统筹两部分贡献的方法。</w:t>
      </w:r>
    </w:p>
    <w:p>
      <w:pPr>
        <w:pStyle w:val="BodyText"/>
        <w:spacing w:line="374" w:lineRule="auto" w:before="1"/>
        <w:ind w:left="780" w:right="1238" w:firstLine="559"/>
        <w:jc w:val="both"/>
      </w:pPr>
      <w:r>
        <w:rPr>
          <w:spacing w:val="-12"/>
        </w:rPr>
        <w:t>第三，断点物理及断点构型的研究。断点形态和构型是核裂变研</w:t>
      </w:r>
      <w:r>
        <w:rPr>
          <w:spacing w:val="3"/>
        </w:rPr>
        <w:t>究中不可回避的特有的物理概念。它们在某种程度上决定了裂变后</w:t>
      </w:r>
      <w:r>
        <w:rPr>
          <w:spacing w:val="13"/>
        </w:rPr>
        <w:t>物理量。目前对断点的认识是断裂前两碎片各自的特性已基本形</w:t>
      </w:r>
      <w:r>
        <w:rPr>
          <w:spacing w:val="3"/>
        </w:rPr>
        <w:t>成，裂变是一个热平衡过程，但断点的物理本质是两个碎块温度相</w:t>
      </w:r>
      <w:r>
        <w:rPr>
          <w:spacing w:val="-7"/>
        </w:rPr>
        <w:t>等还是体系达到熵极大态？断点是否是绝热过程的终点</w:t>
      </w:r>
      <w:r>
        <w:rPr>
          <w:spacing w:val="-3"/>
        </w:rPr>
        <w:t>（</w:t>
      </w:r>
      <w:r>
        <w:rPr>
          <w:spacing w:val="-4"/>
        </w:rPr>
        <w:t>或突然过程</w:t>
      </w:r>
      <w:r>
        <w:rPr/>
        <w:t>的起点</w:t>
      </w:r>
      <w:r>
        <w:rPr>
          <w:spacing w:val="-49"/>
        </w:rPr>
        <w:t>）</w:t>
      </w:r>
      <w:r>
        <w:rPr>
          <w:spacing w:val="-9"/>
        </w:rPr>
        <w:t>？质量分割的机制是什么？激发能在两碎块之间是如何分配</w:t>
      </w:r>
      <w:r>
        <w:rPr>
          <w:spacing w:val="3"/>
        </w:rPr>
        <w:t>的？对这一系列问题到目前为止并没有一个清晰统一的认识，仍需</w:t>
      </w:r>
      <w:r>
        <w:rPr/>
        <w:t>要继续研究。</w:t>
      </w:r>
    </w:p>
    <w:p>
      <w:pPr>
        <w:pStyle w:val="BodyText"/>
        <w:spacing w:line="374" w:lineRule="auto" w:before="4"/>
        <w:ind w:left="780" w:right="1235" w:firstLine="559"/>
        <w:jc w:val="both"/>
      </w:pPr>
      <w:r>
        <w:rPr>
          <w:spacing w:val="-12"/>
        </w:rPr>
        <w:t>第四，发展唯象模型理论。唯象模型既有物理思想，又能给出具</w:t>
      </w:r>
      <w:r>
        <w:rPr>
          <w:spacing w:val="-13"/>
        </w:rPr>
        <w:t>有实际应用价值的核数据，同时结合新设备和新技术，开展实验方法</w:t>
      </w:r>
      <w:r>
        <w:rPr>
          <w:spacing w:val="-10"/>
        </w:rPr>
        <w:t>研究和部分高精度产额测量实验，可以促进理论研究，可以有效解决</w:t>
      </w:r>
    </w:p>
    <w:p>
      <w:pPr>
        <w:spacing w:after="0" w:line="374" w:lineRule="auto"/>
        <w:jc w:val="both"/>
        <w:sectPr>
          <w:pgSz w:w="11910" w:h="16840"/>
          <w:pgMar w:header="0" w:footer="1035" w:top="1540" w:bottom="1300" w:left="1020" w:right="560"/>
        </w:sectPr>
      </w:pPr>
    </w:p>
    <w:p>
      <w:pPr>
        <w:pStyle w:val="BodyText"/>
        <w:spacing w:before="50"/>
        <w:ind w:left="780"/>
      </w:pPr>
      <w:r>
        <w:rPr/>
        <w:t>近期核工程对核数据的需求。</w:t>
      </w:r>
    </w:p>
    <w:p>
      <w:pPr>
        <w:pStyle w:val="BodyText"/>
        <w:spacing w:line="374" w:lineRule="auto" w:before="201"/>
        <w:ind w:left="780" w:right="1097" w:firstLine="559"/>
        <w:jc w:val="both"/>
      </w:pPr>
      <w:r>
        <w:rPr>
          <w:spacing w:val="-15"/>
        </w:rPr>
        <w:t>加强上述四个方面的研究，预期 </w:t>
      </w:r>
      <w:r>
        <w:rPr/>
        <w:t>5-10</w:t>
      </w:r>
      <w:r>
        <w:rPr>
          <w:spacing w:val="-10"/>
        </w:rPr>
        <w:t> 年内将取得实质性的进展， </w:t>
      </w:r>
      <w:r>
        <w:rPr>
          <w:spacing w:val="-7"/>
        </w:rPr>
        <w:t>将有助于对裂变规律的认识。同时，与会专家强调，为了鼓励创新， </w:t>
      </w:r>
      <w:r>
        <w:rPr>
          <w:spacing w:val="-5"/>
        </w:rPr>
        <w:t>对提出的新概念、新思路也要予以重视。</w:t>
      </w:r>
    </w:p>
    <w:p>
      <w:pPr>
        <w:pStyle w:val="Heading8"/>
        <w:spacing w:line="411" w:lineRule="exact"/>
        <w:ind w:left="1332"/>
      </w:pPr>
      <w:r>
        <w:rPr/>
        <w:t>（三）裂变系统中不稳定过程核的数据基础研究</w:t>
      </w:r>
    </w:p>
    <w:p>
      <w:pPr>
        <w:pStyle w:val="BodyText"/>
        <w:spacing w:line="374" w:lineRule="auto" w:before="152"/>
        <w:ind w:left="780" w:right="1096" w:firstLine="559"/>
      </w:pPr>
      <w:r>
        <w:rPr>
          <w:spacing w:val="3"/>
        </w:rPr>
        <w:t>当前国家安全与核能研究对裂变系统中不稳定过程核数据需求</w:t>
      </w:r>
      <w:r>
        <w:rPr>
          <w:spacing w:val="-8"/>
        </w:rPr>
        <w:t>急剧增加，而国内外针对该类数据的研究基础非常薄弱，相关核数据</w:t>
      </w:r>
      <w:r>
        <w:rPr>
          <w:spacing w:val="-12"/>
        </w:rPr>
        <w:t>大量缺乏，已有核数据差异很大，例如：国际五大中子评价数据库中</w:t>
      </w:r>
      <w:r>
        <w:rPr>
          <w:spacing w:val="-14"/>
        </w:rPr>
        <w:t>针对重要裂变产物核 </w:t>
      </w:r>
      <w:r>
        <w:rPr>
          <w:position w:val="14"/>
          <w:sz w:val="14"/>
        </w:rPr>
        <w:t>147</w:t>
      </w:r>
      <w:r>
        <w:rPr/>
        <w:t>Nd(n,</w:t>
      </w:r>
      <w:r>
        <w:rPr>
          <w:spacing w:val="-70"/>
        </w:rPr>
        <w:t> </w:t>
      </w:r>
      <w:r>
        <w:rPr/>
        <w:t>2n</w:t>
      </w:r>
      <w:r>
        <w:rPr>
          <w:spacing w:val="-9"/>
        </w:rPr>
        <w:t>)反应截面差异最大处可达 </w:t>
      </w:r>
      <w:r>
        <w:rPr/>
        <w:t>500</w:t>
      </w:r>
      <w:r>
        <w:rPr>
          <w:spacing w:val="-20"/>
        </w:rPr>
        <w:t> 毫靶， </w:t>
      </w:r>
      <w:r>
        <w:rPr>
          <w:spacing w:val="-13"/>
        </w:rPr>
        <w:t>大量存在差异的核数据严重影响了核燃耗精确计算结果。与会专家以</w:t>
      </w:r>
      <w:r>
        <w:rPr>
          <w:spacing w:val="-12"/>
        </w:rPr>
        <w:t>裂变系统中不确定过程核数据相关基础问题为主线，作了题为“核数</w:t>
      </w:r>
      <w:r>
        <w:rPr>
          <w:spacing w:val="-19"/>
        </w:rPr>
        <w:t>据中的不稳定核问题”等一系列报告，并对该问题未来发展进行讨论， </w:t>
      </w:r>
      <w:r>
        <w:rPr>
          <w:spacing w:val="3"/>
        </w:rPr>
        <w:t>认为核工程所需的大量高可信不稳定过程核数据主要通过模型理论</w:t>
      </w:r>
      <w:r>
        <w:rPr>
          <w:spacing w:val="-10"/>
        </w:rPr>
        <w:t>并结合系统学方法来解决，而开展相应的实验测量不仅是建立理论模</w:t>
      </w:r>
      <w:r>
        <w:rPr>
          <w:spacing w:val="-7"/>
        </w:rPr>
        <w:t>型的重要基础，也是检验理论模型正确性的有效依据。</w:t>
      </w:r>
    </w:p>
    <w:p>
      <w:pPr>
        <w:pStyle w:val="BodyText"/>
        <w:spacing w:line="374" w:lineRule="auto" w:before="3"/>
        <w:ind w:left="780" w:right="1236" w:firstLine="559"/>
      </w:pPr>
      <w:r>
        <w:rPr>
          <w:spacing w:val="-13"/>
        </w:rPr>
        <w:t>第一，理论模型方法研究。光学模型和核能级密度是核反应理论</w:t>
      </w:r>
      <w:r>
        <w:rPr>
          <w:spacing w:val="-10"/>
        </w:rPr>
        <w:t>计算中最关键的两个物理量。全核区与能区范围内的唯象理论是研究</w:t>
      </w:r>
    </w:p>
    <w:p>
      <w:pPr>
        <w:pStyle w:val="BodyText"/>
        <w:spacing w:line="374" w:lineRule="auto" w:before="2"/>
        <w:ind w:left="780" w:right="1234" w:firstLine="283"/>
        <w:jc w:val="both"/>
      </w:pPr>
      <w:r>
        <w:rPr>
          <w:spacing w:val="-1"/>
        </w:rPr>
        <w:t>-稳定线临近不稳定过程核光学势和能级密度的重要手段之一，但</w:t>
      </w:r>
      <w:r>
        <w:rPr>
          <w:spacing w:val="-8"/>
        </w:rPr>
        <w:t>是由于常常受到所使用的实验数据范围有限，其外推的可靠性还需验</w:t>
      </w:r>
      <w:r>
        <w:rPr>
          <w:spacing w:val="-11"/>
        </w:rPr>
        <w:t>证。另一方面，人们利用包括平均场、壳模型、超越平均场等核多体</w:t>
      </w:r>
      <w:r>
        <w:rPr>
          <w:spacing w:val="3"/>
        </w:rPr>
        <w:t>理论结合系统学方法研究中子与不稳定过程核反应的光学势与能级</w:t>
      </w:r>
      <w:r>
        <w:rPr>
          <w:spacing w:val="-11"/>
        </w:rPr>
        <w:t>密度，得到理论基础更为可靠的预言结果，是当前国际不稳定核数据</w:t>
      </w:r>
      <w:r>
        <w:rPr>
          <w:spacing w:val="-13"/>
        </w:rPr>
        <w:t>工作的重点和难点；同时，不稳定核反应过程是弱束缚体系，还需关</w:t>
      </w:r>
      <w:r>
        <w:rPr>
          <w:spacing w:val="-11"/>
        </w:rPr>
        <w:t>注核破裂效应、耦合道效应和同位旋效应等对数据的影响；此外，由</w:t>
      </w:r>
    </w:p>
    <w:p>
      <w:pPr>
        <w:spacing w:after="0" w:line="374" w:lineRule="auto"/>
        <w:jc w:val="both"/>
        <w:sectPr>
          <w:pgSz w:w="11910" w:h="16840"/>
          <w:pgMar w:header="0" w:footer="1035" w:top="1540" w:bottom="1300" w:left="1020" w:right="560"/>
        </w:sectPr>
      </w:pPr>
    </w:p>
    <w:p>
      <w:pPr>
        <w:pStyle w:val="BodyText"/>
        <w:spacing w:line="374" w:lineRule="auto" w:before="50"/>
        <w:ind w:left="780" w:right="1235"/>
        <w:jc w:val="both"/>
      </w:pPr>
      <w:r>
        <w:rPr>
          <w:spacing w:val="-11"/>
        </w:rPr>
        <w:t>于实验测量较少，理论数据的不确定度量化研究是核数据需要重点解</w:t>
      </w:r>
      <w:r>
        <w:rPr>
          <w:spacing w:val="-13"/>
        </w:rPr>
        <w:t>决的问题，并且随着计算能力的大幅提升，已经成为当前国际核数据</w:t>
      </w:r>
      <w:r>
        <w:rPr>
          <w:spacing w:val="-1"/>
        </w:rPr>
        <w:t>关注的重点。</w:t>
      </w:r>
    </w:p>
    <w:p>
      <w:pPr>
        <w:pStyle w:val="BodyText"/>
        <w:spacing w:line="374" w:lineRule="auto" w:before="2"/>
        <w:ind w:left="780" w:right="1228" w:firstLine="559"/>
        <w:jc w:val="both"/>
      </w:pPr>
      <w:r>
        <w:rPr>
          <w:spacing w:val="-12"/>
        </w:rPr>
        <w:t>第二，实验测量方法研究。裂变系统中涉及到的不稳定核数据非常广，由于核寿命有限，给精确测量带来了极大困难。除大力发展直</w:t>
      </w:r>
      <w:r>
        <w:rPr>
          <w:spacing w:val="-13"/>
        </w:rPr>
        <w:t>接测量方法所需高强度中子束流、放射性靶制备以及高性能探测手段</w:t>
      </w:r>
      <w:r>
        <w:rPr>
          <w:spacing w:val="-9"/>
        </w:rPr>
        <w:t>等，国际核数据还充分利用各种先进实验测量方法与技术</w:t>
      </w:r>
      <w:r>
        <w:rPr/>
        <w:t>（</w:t>
      </w:r>
      <w:r>
        <w:rPr>
          <w:spacing w:val="-9"/>
        </w:rPr>
        <w:t>如：替代</w:t>
      </w:r>
      <w:r>
        <w:rPr>
          <w:w w:val="100"/>
        </w:rPr>
        <w:t>反应法、谱因子法等</w:t>
      </w:r>
      <w:r>
        <w:rPr>
          <w:spacing w:val="-140"/>
          <w:w w:val="100"/>
        </w:rPr>
        <w:t>）</w:t>
      </w:r>
      <w:r>
        <w:rPr>
          <w:w w:val="100"/>
        </w:rPr>
        <w:t>，对不稳定过程核反应物理量进行测量，填补</w:t>
      </w:r>
      <w:r>
        <w:rPr/>
        <w:t>重要不稳定过程核数据空白，并提高已有核数据精度；采用β-γ</w:t>
      </w:r>
      <w:r>
        <w:rPr>
          <w:spacing w:val="-11"/>
        </w:rPr>
        <w:t>或</w:t>
      </w:r>
      <w:r>
        <w:rPr/>
        <w:t>β-n(p)符合方法对不稳定过程核衰变数据进行测量和研究，并且系</w:t>
      </w:r>
      <w:r>
        <w:rPr>
          <w:spacing w:val="-9"/>
        </w:rPr>
        <w:t>统学对预言原子核衰变有重要意义；同时重视原子核质量数据测量在</w:t>
      </w:r>
      <w:r>
        <w:rPr>
          <w:spacing w:val="-6"/>
        </w:rPr>
        <w:t>核数据的理论基础中的重要作用。</w:t>
      </w:r>
    </w:p>
    <w:p>
      <w:pPr>
        <w:pStyle w:val="BodyText"/>
        <w:spacing w:line="374" w:lineRule="auto" w:before="3"/>
        <w:ind w:left="780" w:right="1144" w:firstLine="559"/>
      </w:pPr>
      <w:r>
        <w:rPr>
          <w:spacing w:val="-11"/>
        </w:rPr>
        <w:t>多年来，微观核多体理论方法在我国核物理基础研究中已经储备</w:t>
      </w:r>
      <w:r>
        <w:rPr>
          <w:spacing w:val="-8"/>
        </w:rPr>
        <w:t>了丰富的技术手段，已经开始探索间接测量方法解决核数据问题等， 都为解决不稳定过程核数据问题奠定基础。为了解决不稳定过程核的</w:t>
      </w:r>
      <w:r>
        <w:rPr>
          <w:spacing w:val="-12"/>
        </w:rPr>
        <w:t>数据难题，需要核物理基础研究与核数据需求相结合，不仅关注小概率事件，同时也关注与核数据直接相关的大概率事件，为不稳定过程</w:t>
      </w:r>
      <w:r>
        <w:rPr>
          <w:spacing w:val="-9"/>
        </w:rPr>
        <w:t>核数据研究提供先进的方法手段，有望在未来 </w:t>
      </w:r>
      <w:r>
        <w:rPr/>
        <w:t>5-10</w:t>
      </w:r>
      <w:r>
        <w:rPr>
          <w:spacing w:val="-8"/>
        </w:rPr>
        <w:t> 年内取得实质性进展。</w:t>
      </w:r>
    </w:p>
    <w:p>
      <w:pPr>
        <w:pStyle w:val="Heading8"/>
        <w:spacing w:line="412" w:lineRule="exact"/>
        <w:ind w:left="1332"/>
      </w:pPr>
      <w:r>
        <w:rPr/>
        <w:t>（四）轻核数据与少体反应基础研究</w:t>
      </w:r>
    </w:p>
    <w:p>
      <w:pPr>
        <w:pStyle w:val="BodyText"/>
        <w:spacing w:line="374" w:lineRule="auto" w:before="153"/>
        <w:ind w:left="780" w:right="1237" w:firstLine="559"/>
        <w:jc w:val="both"/>
      </w:pPr>
      <w:r>
        <w:rPr>
          <w:spacing w:val="3"/>
        </w:rPr>
        <w:t>少体核反应研究是解决聚变装臵与聚变能应用所需轻核数据评</w:t>
      </w:r>
      <w:r>
        <w:rPr>
          <w:spacing w:val="-9"/>
        </w:rPr>
        <w:t>价的重要途径，但国内目前尚不具备成熟的轻核评价计算能力。与会</w:t>
      </w:r>
      <w:r>
        <w:rPr>
          <w:spacing w:val="-10"/>
        </w:rPr>
        <w:t>专家以轻核数据与少体反应相关基础问题为主线，作了题为“三体核</w:t>
      </w:r>
      <w:r>
        <w:rPr>
          <w:spacing w:val="-12"/>
        </w:rPr>
        <w:t>反应理论介绍”等一系列报告，并对重要问题进行了讨论。总结当前</w:t>
      </w:r>
    </w:p>
    <w:p>
      <w:pPr>
        <w:spacing w:after="0" w:line="374" w:lineRule="auto"/>
        <w:jc w:val="both"/>
        <w:sectPr>
          <w:pgSz w:w="11910" w:h="16840"/>
          <w:pgMar w:header="0" w:footer="1035" w:top="1540" w:bottom="1300" w:left="1020" w:right="560"/>
        </w:sectPr>
      </w:pPr>
    </w:p>
    <w:p>
      <w:pPr>
        <w:pStyle w:val="BodyText"/>
        <w:spacing w:line="374" w:lineRule="auto" w:before="50"/>
        <w:ind w:left="780" w:right="1234"/>
        <w:jc w:val="both"/>
      </w:pPr>
      <w:r>
        <w:rPr>
          <w:spacing w:val="-10"/>
        </w:rPr>
        <w:t>三体、四体核反应的理论研究进展和国内外研究近况，如：运用法捷耶夫（Faddeev）方程开展 </w:t>
      </w:r>
      <w:r>
        <w:rPr/>
        <w:t>n+</w:t>
      </w:r>
      <w:r>
        <w:rPr>
          <w:position w:val="14"/>
          <w:sz w:val="14"/>
        </w:rPr>
        <w:t>3</w:t>
      </w:r>
      <w:r>
        <w:rPr/>
        <w:t>He</w:t>
      </w:r>
      <w:r>
        <w:rPr>
          <w:spacing w:val="-3"/>
        </w:rPr>
        <w:t> 微分截面数据研究，强调少体核反</w:t>
      </w:r>
      <w:r>
        <w:rPr>
          <w:spacing w:val="-8"/>
        </w:rPr>
        <w:t>应研究对轻核数据的重要意义。专家们认为：</w:t>
      </w:r>
      <w:r>
        <w:rPr>
          <w:spacing w:val="-17"/>
        </w:rPr>
        <w:t>R-</w:t>
      </w:r>
      <w:r>
        <w:rPr>
          <w:spacing w:val="-3"/>
        </w:rPr>
        <w:t>矩阵方法是研究轻核</w:t>
      </w:r>
      <w:r>
        <w:rPr>
          <w:spacing w:val="-8"/>
        </w:rPr>
        <w:t>两体核反应共振态的主要方法之一，并通过开展对三体、四体的连续</w:t>
      </w:r>
      <w:r>
        <w:rPr>
          <w:spacing w:val="-10"/>
        </w:rPr>
        <w:t>态分离化耦合道理论</w:t>
      </w:r>
      <w:r>
        <w:rPr>
          <w:spacing w:val="-9"/>
        </w:rPr>
        <w:t>（CDCC）</w:t>
      </w:r>
      <w:r>
        <w:rPr>
          <w:spacing w:val="-3"/>
        </w:rPr>
        <w:t>研究可建立用于评价轻核反应数据的重</w:t>
      </w:r>
      <w:r>
        <w:rPr>
          <w:spacing w:val="-12"/>
        </w:rPr>
        <w:t>要手段；在求解三体核反应的 </w:t>
      </w:r>
      <w:r>
        <w:rPr/>
        <w:t>Faddeev</w:t>
      </w:r>
      <w:r>
        <w:rPr>
          <w:spacing w:val="-16"/>
        </w:rPr>
        <w:t> 方程与四体核反应的 </w:t>
      </w:r>
      <w:r>
        <w:rPr/>
        <w:t>Faddeev</w:t>
      </w:r>
    </w:p>
    <w:p>
      <w:pPr>
        <w:pStyle w:val="BodyText"/>
        <w:spacing w:line="374" w:lineRule="auto" w:before="3"/>
        <w:ind w:left="780" w:right="1234"/>
        <w:jc w:val="both"/>
      </w:pPr>
      <w:r>
        <w:rPr/>
        <w:t>–Yakubovsky 方程面临的一些困难，有望利用国内对少体核反应的</w:t>
      </w:r>
      <w:r>
        <w:rPr>
          <w:spacing w:val="-7"/>
        </w:rPr>
        <w:t>独特处理方法</w:t>
      </w:r>
      <w:r>
        <w:rPr>
          <w:spacing w:val="-3"/>
        </w:rPr>
        <w:t>（矩阵反射法</w:t>
      </w:r>
      <w:r>
        <w:rPr>
          <w:spacing w:val="-32"/>
        </w:rPr>
        <w:t>）</w:t>
      </w:r>
      <w:r>
        <w:rPr>
          <w:spacing w:val="-6"/>
        </w:rPr>
        <w:t>完成三体核反应数据评价；开展关键轻核反应截面、角分布以及双微分截面的实验测量，如氘的</w:t>
      </w:r>
      <w:r>
        <w:rPr/>
        <w:t>(n</w:t>
      </w:r>
      <w:r>
        <w:rPr>
          <w:spacing w:val="16"/>
        </w:rPr>
        <w:t>, </w:t>
      </w:r>
      <w:r>
        <w:rPr/>
        <w:t>2n)双</w:t>
      </w:r>
      <w:r>
        <w:rPr>
          <w:spacing w:val="-3"/>
        </w:rPr>
        <w:t>微分截面测量工作，为轻核数据的模型提供不可或缺的实验验证。</w:t>
      </w:r>
    </w:p>
    <w:p>
      <w:pPr>
        <w:pStyle w:val="BodyText"/>
        <w:spacing w:line="374" w:lineRule="auto" w:before="1"/>
        <w:ind w:left="780" w:right="1237" w:firstLine="559"/>
        <w:jc w:val="both"/>
      </w:pPr>
      <w:r>
        <w:rPr>
          <w:spacing w:val="-9"/>
        </w:rPr>
        <w:t>少体核反应研究对我国核数据的重要性是不言而喻，结合当前国</w:t>
      </w:r>
      <w:r>
        <w:rPr>
          <w:spacing w:val="-6"/>
        </w:rPr>
        <w:t>内研究进展，有望在未来 </w:t>
      </w:r>
      <w:r>
        <w:rPr/>
        <w:t>5-10</w:t>
      </w:r>
      <w:r>
        <w:rPr>
          <w:spacing w:val="-8"/>
        </w:rPr>
        <w:t> 年为我国核数据少体研究工作建立方</w:t>
      </w:r>
      <w:r>
        <w:rPr>
          <w:spacing w:val="-11"/>
        </w:rPr>
        <w:t>法手段。但是同时我们也意识到，相比其他核数据问题，国内少体研</w:t>
      </w:r>
      <w:r>
        <w:rPr>
          <w:spacing w:val="-3"/>
        </w:rPr>
        <w:t>究队伍断层问题非常突出，急需加强人才队伍的建设。</w:t>
      </w:r>
    </w:p>
    <w:p>
      <w:pPr>
        <w:pStyle w:val="Heading8"/>
        <w:spacing w:line="413" w:lineRule="exact"/>
        <w:ind w:left="1332"/>
      </w:pPr>
      <w:r>
        <w:rPr/>
        <w:t>（五）核数据实验测量与评价基础研究</w:t>
      </w:r>
    </w:p>
    <w:p>
      <w:pPr>
        <w:pStyle w:val="BodyText"/>
        <w:spacing w:line="374" w:lineRule="auto" w:before="149"/>
        <w:ind w:left="780" w:right="1142" w:firstLine="559"/>
      </w:pPr>
      <w:r>
        <w:rPr>
          <w:spacing w:val="-10"/>
        </w:rPr>
        <w:t>核数据工作包括实验测量、理论研究、数据评价和宏观参数制作</w:t>
      </w:r>
      <w:r>
        <w:rPr>
          <w:spacing w:val="-8"/>
        </w:rPr>
        <w:t>等方面研究内容。高精度的实验数据不仅能够直接应用于国家安全、</w:t>
      </w:r>
      <w:r>
        <w:rPr>
          <w:spacing w:val="-3"/>
        </w:rPr>
        <w:t>核能开发及核技术应用中，也是发展高水平核模型理论的基础。</w:t>
      </w:r>
    </w:p>
    <w:p>
      <w:pPr>
        <w:pStyle w:val="BodyText"/>
        <w:spacing w:line="374" w:lineRule="auto" w:before="1"/>
        <w:ind w:left="780" w:right="1236" w:firstLine="559"/>
        <w:jc w:val="both"/>
      </w:pPr>
      <w:r>
        <w:rPr>
          <w:spacing w:val="-11"/>
        </w:rPr>
        <w:t>第一，核数据实验测量研究。中子源、探测器和实验方法的升级</w:t>
      </w:r>
      <w:r>
        <w:rPr>
          <w:spacing w:val="-12"/>
        </w:rPr>
        <w:t>是提高核数据测量能力必不可少的要素。我国的中子源水平仍处在第</w:t>
      </w:r>
      <w:r>
        <w:rPr>
          <w:spacing w:val="-11"/>
        </w:rPr>
        <w:t>一代，应借助我国正在建设的散裂中子源发展第三代中子源，并发展</w:t>
      </w:r>
      <w:r>
        <w:rPr>
          <w:spacing w:val="-13"/>
        </w:rPr>
        <w:t>相应的探测设备和测量技术。国内外各种新型探测器及相关的实验方</w:t>
      </w:r>
      <w:r>
        <w:rPr>
          <w:spacing w:val="-12"/>
        </w:rPr>
        <w:t>法不断出现，如 </w:t>
      </w:r>
      <w:r>
        <w:rPr>
          <w:spacing w:val="-2"/>
        </w:rPr>
        <w:t>TPC</w:t>
      </w:r>
      <w:r>
        <w:rPr/>
        <w:t>、SPIDER、DANCE</w:t>
      </w:r>
      <w:r>
        <w:rPr>
          <w:spacing w:val="-9"/>
        </w:rPr>
        <w:t> 等探测器，替代反应法、渐进</w:t>
      </w:r>
      <w:r>
        <w:rPr>
          <w:spacing w:val="-13"/>
        </w:rPr>
        <w:t>归一化系数法、质谱法等实验测量方法。部分新设备和方法在核物理</w:t>
      </w:r>
    </w:p>
    <w:p>
      <w:pPr>
        <w:spacing w:after="0" w:line="374" w:lineRule="auto"/>
        <w:jc w:val="both"/>
        <w:sectPr>
          <w:pgSz w:w="11910" w:h="16840"/>
          <w:pgMar w:header="0" w:footer="1035" w:top="1540" w:bottom="1300" w:left="1020" w:right="560"/>
        </w:sectPr>
      </w:pPr>
    </w:p>
    <w:p>
      <w:pPr>
        <w:pStyle w:val="BodyText"/>
        <w:spacing w:line="374" w:lineRule="auto" w:before="50"/>
        <w:ind w:left="780" w:right="1145"/>
      </w:pPr>
      <w:r>
        <w:rPr>
          <w:spacing w:val="-9"/>
        </w:rPr>
        <w:t>基础研究中已经得到应用，应进一步推广到核数据测量中。今后一个</w:t>
      </w:r>
      <w:r>
        <w:rPr>
          <w:spacing w:val="-7"/>
        </w:rPr>
        <w:t>时期内应重点围绕利用新的中子源平台，发展精确测量技术与方法， </w:t>
      </w:r>
      <w:r>
        <w:rPr>
          <w:spacing w:val="-10"/>
        </w:rPr>
        <w:t>开展高精度裂变核关键数据、共振区核反应截面及重要短寿命核中子</w:t>
      </w:r>
      <w:r>
        <w:rPr>
          <w:spacing w:val="-7"/>
        </w:rPr>
        <w:t>反应与核结构数据的测量研究。</w:t>
      </w:r>
    </w:p>
    <w:p>
      <w:pPr>
        <w:pStyle w:val="BodyText"/>
        <w:spacing w:line="374" w:lineRule="auto" w:before="1"/>
        <w:ind w:left="780" w:right="1235" w:firstLine="559"/>
        <w:jc w:val="both"/>
      </w:pPr>
      <w:r>
        <w:rPr>
          <w:spacing w:val="-11"/>
        </w:rPr>
        <w:t>第二，核数据评价方法研究。需在核数据协方差评价、同时评价</w:t>
      </w:r>
      <w:r>
        <w:rPr>
          <w:spacing w:val="-12"/>
        </w:rPr>
        <w:t>方法、反应截面系统学、模型参数系统学等方面开展研究，以支撑不</w:t>
      </w:r>
      <w:r>
        <w:rPr>
          <w:spacing w:val="-11"/>
        </w:rPr>
        <w:t>确定度量化技术在国家安全和核能开发中的应用；同时需要进一步扩</w:t>
      </w:r>
      <w:r>
        <w:rPr>
          <w:spacing w:val="69"/>
        </w:rPr>
        <w:t>大</w:t>
      </w:r>
      <w:r>
        <w:rPr/>
        <w:t>CENDL</w:t>
      </w:r>
      <w:r>
        <w:rPr>
          <w:spacing w:val="-15"/>
        </w:rPr>
        <w:t> 库的数据种类、核素规模和能区范围，满足用户对核数据的</w:t>
      </w:r>
      <w:r>
        <w:rPr>
          <w:spacing w:val="-10"/>
        </w:rPr>
        <w:t>基本需求。</w:t>
      </w:r>
    </w:p>
    <w:p>
      <w:pPr>
        <w:pStyle w:val="BodyText"/>
        <w:spacing w:line="374" w:lineRule="auto" w:before="3"/>
        <w:ind w:left="780" w:right="1145" w:firstLine="559"/>
        <w:jc w:val="both"/>
      </w:pPr>
      <w:r>
        <w:rPr>
          <w:spacing w:val="-11"/>
        </w:rPr>
        <w:t>第三，在核数据宏观参数研究。灵敏度与不确定度分析方法同样</w:t>
      </w:r>
      <w:r>
        <w:rPr>
          <w:spacing w:val="-12"/>
        </w:rPr>
        <w:t>是支撑不确定度量化技术的重要基础之一，我国与国际先进水平的差</w:t>
      </w:r>
      <w:r>
        <w:rPr>
          <w:spacing w:val="-13"/>
        </w:rPr>
        <w:t>距很大，亟待发展。核数据调整方法是实现宏观检验量化反馈、提高</w:t>
      </w:r>
      <w:r>
        <w:rPr>
          <w:spacing w:val="-14"/>
        </w:rPr>
        <w:t>核数据精准度的重要手段，也是今后的重点研究方向之一。作为核数</w:t>
      </w:r>
      <w:r>
        <w:rPr>
          <w:spacing w:val="-9"/>
        </w:rPr>
        <w:t>据与核工程应用的桥梁，群常数制作与宏观检验技术必须不断加强。</w:t>
      </w:r>
    </w:p>
    <w:p>
      <w:pPr>
        <w:pStyle w:val="Heading8"/>
        <w:spacing w:before="3"/>
        <w:ind w:left="1332"/>
        <w:rPr>
          <w:rFonts w:ascii="黑体" w:eastAsia="黑体" w:hint="eastAsia"/>
        </w:rPr>
      </w:pPr>
      <w:r>
        <w:rPr>
          <w:rFonts w:ascii="黑体" w:eastAsia="黑体" w:hint="eastAsia"/>
        </w:rPr>
        <w:t>二、论坛讨论的主要成果</w:t>
      </w:r>
    </w:p>
    <w:p>
      <w:pPr>
        <w:pStyle w:val="BodyText"/>
        <w:spacing w:line="374" w:lineRule="auto" w:before="201"/>
        <w:ind w:left="780" w:right="1238" w:firstLine="559"/>
        <w:jc w:val="both"/>
      </w:pPr>
      <w:r>
        <w:rPr>
          <w:spacing w:val="-12"/>
        </w:rPr>
        <w:t>经过一天半的大会报告、发言和研讨，与会专家结合自己及所在</w:t>
      </w:r>
      <w:r>
        <w:rPr>
          <w:spacing w:val="3"/>
        </w:rPr>
        <w:t>研究团队的研究经历与经验，针对核数据发展中的关键基础科学问</w:t>
      </w:r>
      <w:r>
        <w:rPr>
          <w:spacing w:val="-11"/>
        </w:rPr>
        <w:t>题，展开了激烈的讨论。大会主席针对各方面的讨论和总结，凝炼出</w:t>
      </w:r>
      <w:r>
        <w:rPr>
          <w:spacing w:val="-7"/>
        </w:rPr>
        <w:t>了焦点问题和亟需解决的关键科学问题，取得了以下共识：</w:t>
      </w:r>
    </w:p>
    <w:p>
      <w:pPr>
        <w:pStyle w:val="BodyText"/>
        <w:ind w:right="647"/>
        <w:jc w:val="center"/>
      </w:pPr>
      <w:r>
        <w:rPr/>
        <w:t>（一）未来一个时期内我国核数据基础研究的重点方向：</w:t>
      </w:r>
    </w:p>
    <w:p>
      <w:pPr>
        <w:pStyle w:val="ListParagraph"/>
        <w:numPr>
          <w:ilvl w:val="1"/>
          <w:numId w:val="10"/>
        </w:numPr>
        <w:tabs>
          <w:tab w:pos="1996" w:val="left" w:leader="none"/>
        </w:tabs>
        <w:spacing w:line="240" w:lineRule="auto" w:before="204" w:after="0"/>
        <w:ind w:left="1995" w:right="591" w:hanging="1996"/>
        <w:jc w:val="left"/>
        <w:rPr>
          <w:rFonts w:ascii="宋体" w:eastAsia="宋体" w:hint="eastAsia"/>
          <w:sz w:val="28"/>
        </w:rPr>
      </w:pPr>
      <w:r>
        <w:rPr>
          <w:rFonts w:ascii="宋体" w:eastAsia="宋体" w:hint="eastAsia"/>
          <w:spacing w:val="-3"/>
          <w:sz w:val="28"/>
        </w:rPr>
        <w:t>锕系核性质、裂变过程中断点、裂变后现象研究；</w:t>
      </w:r>
    </w:p>
    <w:p>
      <w:pPr>
        <w:pStyle w:val="ListParagraph"/>
        <w:numPr>
          <w:ilvl w:val="1"/>
          <w:numId w:val="10"/>
        </w:numPr>
        <w:tabs>
          <w:tab w:pos="1996" w:val="left" w:leader="none"/>
        </w:tabs>
        <w:spacing w:line="240" w:lineRule="auto" w:before="200" w:after="0"/>
        <w:ind w:left="1995" w:right="0" w:hanging="422"/>
        <w:jc w:val="left"/>
        <w:rPr>
          <w:rFonts w:ascii="宋体" w:eastAsia="宋体" w:hint="eastAsia"/>
          <w:sz w:val="28"/>
        </w:rPr>
      </w:pPr>
      <w:r>
        <w:rPr>
          <w:rFonts w:ascii="宋体" w:eastAsia="宋体" w:hint="eastAsia"/>
          <w:spacing w:val="-3"/>
          <w:sz w:val="28"/>
        </w:rPr>
        <w:t>不稳定过程核反应与结构研究；</w:t>
      </w:r>
    </w:p>
    <w:p>
      <w:pPr>
        <w:pStyle w:val="ListParagraph"/>
        <w:numPr>
          <w:ilvl w:val="1"/>
          <w:numId w:val="10"/>
        </w:numPr>
        <w:tabs>
          <w:tab w:pos="1996" w:val="left" w:leader="none"/>
        </w:tabs>
        <w:spacing w:line="240" w:lineRule="auto" w:before="201" w:after="0"/>
        <w:ind w:left="1995" w:right="0" w:hanging="422"/>
        <w:jc w:val="left"/>
        <w:rPr>
          <w:rFonts w:ascii="宋体" w:eastAsia="宋体" w:hint="eastAsia"/>
          <w:sz w:val="28"/>
        </w:rPr>
      </w:pPr>
      <w:r>
        <w:rPr>
          <w:rFonts w:ascii="宋体" w:eastAsia="宋体" w:hint="eastAsia"/>
          <w:spacing w:val="8"/>
          <w:sz w:val="28"/>
        </w:rPr>
        <w:t>基于少体反应与</w:t>
      </w:r>
      <w:r>
        <w:rPr>
          <w:rFonts w:ascii="宋体" w:eastAsia="宋体" w:hint="eastAsia"/>
          <w:sz w:val="28"/>
        </w:rPr>
        <w:t>R</w:t>
      </w:r>
      <w:r>
        <w:rPr>
          <w:rFonts w:ascii="宋体" w:eastAsia="宋体" w:hint="eastAsia"/>
          <w:spacing w:val="-10"/>
          <w:sz w:val="28"/>
        </w:rPr>
        <w:t> 矩阵理论的轻核数据评价方法研究；</w:t>
      </w:r>
    </w:p>
    <w:p>
      <w:pPr>
        <w:pStyle w:val="ListParagraph"/>
        <w:numPr>
          <w:ilvl w:val="1"/>
          <w:numId w:val="10"/>
        </w:numPr>
        <w:tabs>
          <w:tab w:pos="1996" w:val="left" w:leader="none"/>
        </w:tabs>
        <w:spacing w:line="240" w:lineRule="auto" w:before="202" w:after="0"/>
        <w:ind w:left="1995" w:right="0" w:hanging="422"/>
        <w:jc w:val="left"/>
        <w:rPr>
          <w:rFonts w:ascii="宋体" w:eastAsia="宋体" w:hint="eastAsia"/>
          <w:sz w:val="28"/>
        </w:rPr>
      </w:pPr>
      <w:r>
        <w:rPr>
          <w:rFonts w:ascii="宋体" w:eastAsia="宋体" w:hint="eastAsia"/>
          <w:spacing w:val="-3"/>
          <w:sz w:val="28"/>
        </w:rPr>
        <w:t>关键核数据精确测量与高可信度评价技术研究。</w:t>
      </w:r>
    </w:p>
    <w:p>
      <w:pPr>
        <w:spacing w:after="0" w:line="240" w:lineRule="auto"/>
        <w:jc w:val="left"/>
        <w:rPr>
          <w:rFonts w:ascii="宋体" w:eastAsia="宋体" w:hint="eastAsia"/>
          <w:sz w:val="28"/>
        </w:rPr>
        <w:sectPr>
          <w:pgSz w:w="11910" w:h="16840"/>
          <w:pgMar w:header="0" w:footer="1035" w:top="1540" w:bottom="1300" w:left="1020" w:right="560"/>
        </w:sectPr>
      </w:pPr>
    </w:p>
    <w:p>
      <w:pPr>
        <w:pStyle w:val="BodyText"/>
        <w:spacing w:line="374" w:lineRule="auto" w:before="50"/>
        <w:ind w:left="1154" w:right="1234" w:firstLine="278"/>
      </w:pPr>
      <w:r>
        <w:rPr/>
        <w:t>（二</w:t>
      </w:r>
      <w:r>
        <w:rPr>
          <w:spacing w:val="-17"/>
        </w:rPr>
        <w:t>）</w:t>
      </w:r>
      <w:r>
        <w:rPr>
          <w:spacing w:val="-10"/>
        </w:rPr>
        <w:t>通过集中力量、协同攻关，在未来 </w:t>
      </w:r>
      <w:r>
        <w:rPr/>
        <w:t>5-10</w:t>
      </w:r>
      <w:r>
        <w:rPr>
          <w:spacing w:val="-12"/>
        </w:rPr>
        <w:t> 年时间里核数据</w:t>
      </w:r>
      <w:r>
        <w:rPr>
          <w:spacing w:val="-3"/>
        </w:rPr>
        <w:t>基础研究有望在下述几方面有所突破：</w:t>
      </w:r>
    </w:p>
    <w:p>
      <w:pPr>
        <w:pStyle w:val="ListParagraph"/>
        <w:numPr>
          <w:ilvl w:val="0"/>
          <w:numId w:val="11"/>
        </w:numPr>
        <w:tabs>
          <w:tab w:pos="2018" w:val="left" w:leader="none"/>
        </w:tabs>
        <w:spacing w:line="240" w:lineRule="auto" w:before="2" w:after="0"/>
        <w:ind w:left="2017" w:right="0" w:hanging="422"/>
        <w:jc w:val="left"/>
        <w:rPr>
          <w:rFonts w:ascii="宋体" w:eastAsia="宋体" w:hint="eastAsia"/>
          <w:sz w:val="28"/>
        </w:rPr>
      </w:pPr>
      <w:r>
        <w:rPr>
          <w:rFonts w:ascii="宋体" w:eastAsia="宋体" w:hint="eastAsia"/>
          <w:spacing w:val="-3"/>
          <w:sz w:val="28"/>
        </w:rPr>
        <w:t>描述裂变现象的裂变势能曲面和裂变唯象模型；</w:t>
      </w:r>
    </w:p>
    <w:p>
      <w:pPr>
        <w:pStyle w:val="ListParagraph"/>
        <w:numPr>
          <w:ilvl w:val="0"/>
          <w:numId w:val="11"/>
        </w:numPr>
        <w:tabs>
          <w:tab w:pos="2018" w:val="left" w:leader="none"/>
        </w:tabs>
        <w:spacing w:line="240" w:lineRule="auto" w:before="200" w:after="0"/>
        <w:ind w:left="2017" w:right="0" w:hanging="422"/>
        <w:jc w:val="left"/>
        <w:rPr>
          <w:rFonts w:ascii="宋体" w:eastAsia="宋体" w:hint="eastAsia"/>
          <w:sz w:val="28"/>
        </w:rPr>
      </w:pPr>
      <w:r>
        <w:rPr>
          <w:rFonts w:ascii="宋体" w:eastAsia="宋体" w:hint="eastAsia"/>
          <w:spacing w:val="-2"/>
          <w:sz w:val="28"/>
        </w:rPr>
        <w:t>关键裂变核数据测量；</w:t>
      </w:r>
    </w:p>
    <w:p>
      <w:pPr>
        <w:pStyle w:val="ListParagraph"/>
        <w:numPr>
          <w:ilvl w:val="0"/>
          <w:numId w:val="11"/>
        </w:numPr>
        <w:tabs>
          <w:tab w:pos="2018" w:val="left" w:leader="none"/>
        </w:tabs>
        <w:spacing w:line="240" w:lineRule="auto" w:before="201" w:after="0"/>
        <w:ind w:left="2017" w:right="0" w:hanging="422"/>
        <w:jc w:val="left"/>
        <w:rPr>
          <w:rFonts w:ascii="宋体" w:eastAsia="宋体" w:hint="eastAsia"/>
          <w:sz w:val="28"/>
        </w:rPr>
      </w:pPr>
      <w:r>
        <w:rPr>
          <w:rFonts w:ascii="宋体" w:eastAsia="宋体" w:hint="eastAsia"/>
          <w:spacing w:val="-3"/>
          <w:sz w:val="28"/>
        </w:rPr>
        <w:t>不稳定过程核光学势、能级密度和反应截面系统学；</w:t>
      </w:r>
    </w:p>
    <w:p>
      <w:pPr>
        <w:pStyle w:val="ListParagraph"/>
        <w:numPr>
          <w:ilvl w:val="0"/>
          <w:numId w:val="11"/>
        </w:numPr>
        <w:tabs>
          <w:tab w:pos="2018" w:val="left" w:leader="none"/>
        </w:tabs>
        <w:spacing w:line="240" w:lineRule="auto" w:before="203" w:after="0"/>
        <w:ind w:left="2017" w:right="0" w:hanging="422"/>
        <w:jc w:val="left"/>
        <w:rPr>
          <w:rFonts w:ascii="宋体" w:eastAsia="宋体" w:hint="eastAsia"/>
          <w:sz w:val="28"/>
        </w:rPr>
      </w:pPr>
      <w:r>
        <w:rPr>
          <w:rFonts w:ascii="宋体" w:eastAsia="宋体" w:hint="eastAsia"/>
          <w:spacing w:val="-3"/>
          <w:sz w:val="28"/>
        </w:rPr>
        <w:t>不稳定过程核重点核数据的直接与间接测量方法研究；</w:t>
      </w:r>
    </w:p>
    <w:p>
      <w:pPr>
        <w:pStyle w:val="BodyText"/>
        <w:spacing w:before="200"/>
        <w:ind w:left="1596"/>
      </w:pPr>
      <w:r>
        <w:rPr/>
        <w:t>5）R 矩阵方法应用于重要轻核数据的评价；</w:t>
      </w:r>
    </w:p>
    <w:p>
      <w:pPr>
        <w:pStyle w:val="ListParagraph"/>
        <w:numPr>
          <w:ilvl w:val="0"/>
          <w:numId w:val="12"/>
        </w:numPr>
        <w:tabs>
          <w:tab w:pos="2018" w:val="left" w:leader="none"/>
        </w:tabs>
        <w:spacing w:line="240" w:lineRule="auto" w:before="201" w:after="0"/>
        <w:ind w:left="2017" w:right="0" w:hanging="422"/>
        <w:jc w:val="left"/>
        <w:rPr>
          <w:rFonts w:ascii="宋体" w:eastAsia="宋体" w:hint="eastAsia"/>
          <w:sz w:val="28"/>
        </w:rPr>
      </w:pPr>
      <w:r>
        <w:rPr>
          <w:rFonts w:ascii="宋体" w:eastAsia="宋体" w:hint="eastAsia"/>
          <w:spacing w:val="-3"/>
          <w:sz w:val="28"/>
        </w:rPr>
        <w:t>法捷耶夫方程应用于轻核三体反应数据的评价；</w:t>
      </w:r>
    </w:p>
    <w:p>
      <w:pPr>
        <w:pStyle w:val="ListParagraph"/>
        <w:numPr>
          <w:ilvl w:val="0"/>
          <w:numId w:val="12"/>
        </w:numPr>
        <w:tabs>
          <w:tab w:pos="2018" w:val="left" w:leader="none"/>
        </w:tabs>
        <w:spacing w:line="240" w:lineRule="auto" w:before="203" w:after="0"/>
        <w:ind w:left="2017" w:right="0" w:hanging="422"/>
        <w:jc w:val="left"/>
        <w:rPr>
          <w:rFonts w:ascii="宋体" w:eastAsia="宋体" w:hint="eastAsia"/>
          <w:sz w:val="28"/>
        </w:rPr>
      </w:pPr>
      <w:r>
        <w:rPr>
          <w:rFonts w:ascii="宋体" w:eastAsia="宋体" w:hint="eastAsia"/>
          <w:spacing w:val="-3"/>
          <w:sz w:val="28"/>
        </w:rPr>
        <w:t>轻核双微分截面等的精确测量；</w:t>
      </w:r>
    </w:p>
    <w:p>
      <w:pPr>
        <w:pStyle w:val="ListParagraph"/>
        <w:numPr>
          <w:ilvl w:val="0"/>
          <w:numId w:val="12"/>
        </w:numPr>
        <w:tabs>
          <w:tab w:pos="2018" w:val="left" w:leader="none"/>
        </w:tabs>
        <w:spacing w:line="240" w:lineRule="auto" w:before="201" w:after="0"/>
        <w:ind w:left="2017" w:right="0" w:hanging="422"/>
        <w:jc w:val="left"/>
        <w:rPr>
          <w:rFonts w:ascii="宋体" w:eastAsia="宋体" w:hint="eastAsia"/>
          <w:sz w:val="28"/>
        </w:rPr>
      </w:pPr>
      <w:r>
        <w:rPr>
          <w:rFonts w:ascii="宋体" w:eastAsia="宋体" w:hint="eastAsia"/>
          <w:spacing w:val="-3"/>
          <w:sz w:val="28"/>
        </w:rPr>
        <w:t>高精核数据测量方法的建立；</w:t>
      </w:r>
    </w:p>
    <w:p>
      <w:pPr>
        <w:pStyle w:val="ListParagraph"/>
        <w:numPr>
          <w:ilvl w:val="0"/>
          <w:numId w:val="12"/>
        </w:numPr>
        <w:tabs>
          <w:tab w:pos="2018" w:val="left" w:leader="none"/>
        </w:tabs>
        <w:spacing w:line="376" w:lineRule="auto" w:before="200" w:after="0"/>
        <w:ind w:left="1339" w:right="2985" w:firstLine="256"/>
        <w:jc w:val="left"/>
        <w:rPr>
          <w:rFonts w:ascii="宋体" w:eastAsia="宋体" w:hint="eastAsia"/>
          <w:sz w:val="28"/>
        </w:rPr>
      </w:pPr>
      <w:r>
        <w:rPr>
          <w:rFonts w:ascii="宋体" w:eastAsia="宋体" w:hint="eastAsia"/>
          <w:spacing w:val="-4"/>
          <w:sz w:val="28"/>
        </w:rPr>
        <w:t>核数据评价可靠性分析及应用技术研究等。</w:t>
      </w:r>
      <w:r>
        <w:rPr>
          <w:rFonts w:ascii="宋体" w:eastAsia="宋体" w:hint="eastAsia"/>
          <w:spacing w:val="-3"/>
          <w:sz w:val="28"/>
        </w:rPr>
        <w:t>论坛经过讨论提出以下建议：</w:t>
      </w:r>
    </w:p>
    <w:p>
      <w:pPr>
        <w:pStyle w:val="BodyText"/>
        <w:spacing w:line="374" w:lineRule="auto"/>
        <w:ind w:left="780" w:right="1145" w:firstLine="638"/>
      </w:pPr>
      <w:r>
        <w:rPr/>
        <w:t>1、 高度重视我国核数据工作研究现状与国家安全和核能发展</w:t>
      </w:r>
      <w:r>
        <w:rPr>
          <w:spacing w:val="-9"/>
        </w:rPr>
        <w:t>对我国核数据工作提出的新要求；根据我国核数据研究现状，整合国</w:t>
      </w:r>
      <w:r>
        <w:rPr>
          <w:spacing w:val="-7"/>
        </w:rPr>
        <w:t>内研究队伍，发扬我国核数据工作大力协作、共同攻关的优良传统， </w:t>
      </w:r>
      <w:r>
        <w:rPr>
          <w:spacing w:val="-12"/>
        </w:rPr>
        <w:t>组织攻克关键难点问题，为满足国家安全与国民经济建设对核数据不</w:t>
      </w:r>
      <w:r>
        <w:rPr>
          <w:spacing w:val="-7"/>
        </w:rPr>
        <w:t>断增长的需求、提升我国核数据工作在国际地位奠定基础。</w:t>
      </w:r>
    </w:p>
    <w:p>
      <w:pPr>
        <w:pStyle w:val="BodyText"/>
        <w:spacing w:line="374" w:lineRule="auto"/>
        <w:ind w:left="780" w:right="1236" w:firstLine="638"/>
        <w:jc w:val="both"/>
      </w:pPr>
      <w:r>
        <w:rPr/>
        <w:t>2</w:t>
      </w:r>
      <w:r>
        <w:rPr>
          <w:spacing w:val="10"/>
        </w:rPr>
        <w:t>、 根据核数据基础涵盖了核物理基础研究与应用研究的特</w:t>
      </w:r>
      <w:r>
        <w:rPr>
          <w:spacing w:val="-11"/>
        </w:rPr>
        <w:t>点，凝聚核数据需求方、核数据测量与评价以及核物理基础研究等方面的力量，基金委从全局出发布臵一些与核物理基础研究紧密相关的</w:t>
      </w:r>
      <w:r>
        <w:rPr>
          <w:spacing w:val="3"/>
        </w:rPr>
        <w:t>核数据基础关键难点问题进行攻关，以期尽快获得一批突破性的成</w:t>
      </w:r>
      <w:r>
        <w:rPr>
          <w:spacing w:val="-3"/>
        </w:rPr>
        <w:t>果，为解决用户急需核数据提供基础支撑。</w:t>
      </w:r>
    </w:p>
    <w:p>
      <w:pPr>
        <w:pStyle w:val="BodyText"/>
        <w:spacing w:line="376" w:lineRule="auto"/>
        <w:ind w:left="780" w:right="1237" w:firstLine="638"/>
        <w:jc w:val="both"/>
      </w:pPr>
      <w:r>
        <w:rPr/>
        <w:t>3</w:t>
      </w:r>
      <w:r>
        <w:rPr>
          <w:spacing w:val="-1"/>
        </w:rPr>
        <w:t>、 充分考虑我国核物理基础研究与核数据研究的特点，并结</w:t>
      </w:r>
      <w:r>
        <w:rPr>
          <w:spacing w:val="-8"/>
        </w:rPr>
        <w:t>合核数据基础研究的重要性和长期性，利用相关项目持续支持，获取</w:t>
      </w:r>
    </w:p>
    <w:p>
      <w:pPr>
        <w:spacing w:after="0" w:line="376" w:lineRule="auto"/>
        <w:jc w:val="both"/>
        <w:sectPr>
          <w:pgSz w:w="11910" w:h="16840"/>
          <w:pgMar w:header="0" w:footer="1035" w:top="1540" w:bottom="1300" w:left="1020" w:right="560"/>
        </w:sectPr>
      </w:pPr>
    </w:p>
    <w:p>
      <w:pPr>
        <w:pStyle w:val="BodyText"/>
        <w:spacing w:line="374" w:lineRule="auto" w:before="50"/>
        <w:ind w:left="780" w:right="1238"/>
      </w:pPr>
      <w:r>
        <w:rPr>
          <w:spacing w:val="-11"/>
        </w:rPr>
        <w:t>一批高水平的研究成果、培养形成一支高水平的核数据研究团队，为</w:t>
      </w:r>
      <w:r>
        <w:rPr>
          <w:spacing w:val="-3"/>
        </w:rPr>
        <w:t>我国核数据研究工作的持续发展奠定基础。</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1"/>
        </w:rPr>
      </w:pPr>
      <w:r>
        <w:rPr/>
        <w:pict>
          <v:shape style="position:absolute;margin-left:90.024002pt;margin-top:15.867485pt;width:105.05pt;height:.1pt;mso-position-horizontal-relative:page;mso-position-vertical-relative:paragraph;z-index:-251644928;mso-wrap-distance-left:0;mso-wrap-distance-right:0" coordorigin="1800,317" coordsize="2101,0" path="m1800,317l3901,317e" filled="false" stroked="true" strokeweight=".72003pt" strokecolor="#000000">
            <v:path arrowok="t"/>
            <v:stroke dashstyle="solid"/>
            <w10:wrap type="topAndBottom"/>
          </v:shape>
        </w:pict>
      </w:r>
    </w:p>
    <w:p>
      <w:pPr>
        <w:pStyle w:val="BodyText"/>
        <w:spacing w:before="9"/>
        <w:rPr>
          <w:sz w:val="10"/>
        </w:rPr>
      </w:pPr>
    </w:p>
    <w:p>
      <w:pPr>
        <w:pStyle w:val="BodyText"/>
        <w:spacing w:before="62"/>
        <w:ind w:left="780"/>
      </w:pPr>
      <w:r>
        <w:rPr/>
        <w:t>本期纪要在 OA 网政策局“双清论坛”栏目刊发</w:t>
      </w:r>
    </w:p>
    <w:p>
      <w:pPr>
        <w:spacing w:after="0"/>
        <w:sectPr>
          <w:pgSz w:w="11910" w:h="16840"/>
          <w:pgMar w:header="0" w:footer="1035" w:top="1540" w:bottom="1300" w:left="1020" w:right="560"/>
        </w:sectPr>
      </w:pPr>
    </w:p>
    <w:p>
      <w:pPr>
        <w:pStyle w:val="Heading4"/>
        <w:spacing w:before="26"/>
        <w:ind w:left="780"/>
        <w:jc w:val="left"/>
        <w:rPr>
          <w:rFonts w:ascii="黑体" w:eastAsia="黑体" w:hint="eastAsia"/>
        </w:rPr>
      </w:pPr>
      <w:bookmarkStart w:name="_TOC_250006" w:id="21"/>
      <w:bookmarkEnd w:id="21"/>
      <w:r>
        <w:rPr>
          <w:rFonts w:ascii="黑体" w:eastAsia="黑体" w:hint="eastAsia"/>
        </w:rPr>
        <w:t>3、学术综述样稿（一）（刊载《中国科学基金》）</w:t>
      </w:r>
    </w:p>
    <w:p>
      <w:pPr>
        <w:pStyle w:val="BodyText"/>
        <w:rPr>
          <w:rFonts w:ascii="黑体"/>
          <w:b/>
          <w:sz w:val="36"/>
        </w:rPr>
      </w:pPr>
    </w:p>
    <w:p>
      <w:pPr>
        <w:pStyle w:val="BodyText"/>
        <w:spacing w:before="5"/>
        <w:rPr>
          <w:rFonts w:ascii="黑体"/>
          <w:b/>
          <w:sz w:val="30"/>
        </w:rPr>
      </w:pPr>
    </w:p>
    <w:p>
      <w:pPr>
        <w:spacing w:line="631" w:lineRule="exact" w:before="0"/>
        <w:ind w:left="0" w:right="462" w:firstLine="0"/>
        <w:jc w:val="center"/>
        <w:rPr>
          <w:rFonts w:ascii="方正小标宋简体" w:eastAsia="方正小标宋简体" w:hint="eastAsia"/>
          <w:b/>
          <w:sz w:val="36"/>
        </w:rPr>
      </w:pPr>
      <w:r>
        <w:rPr>
          <w:rFonts w:ascii="方正小标宋简体" w:eastAsia="方正小标宋简体" w:hint="eastAsia"/>
          <w:b/>
          <w:sz w:val="36"/>
        </w:rPr>
        <w:t>园艺学多学科交叉研究中的关键科学问题</w:t>
      </w:r>
    </w:p>
    <w:p>
      <w:pPr>
        <w:spacing w:line="631" w:lineRule="exact" w:before="0"/>
        <w:ind w:left="0" w:right="460" w:firstLine="0"/>
        <w:jc w:val="center"/>
        <w:rPr>
          <w:rFonts w:ascii="方正小标宋简体" w:hAnsi="方正小标宋简体" w:eastAsia="方正小标宋简体" w:hint="eastAsia"/>
          <w:b/>
          <w:sz w:val="36"/>
        </w:rPr>
      </w:pPr>
      <w:r>
        <w:rPr>
          <w:rFonts w:ascii="方正小标宋简体" w:hAnsi="方正小标宋简体" w:eastAsia="方正小标宋简体" w:hint="eastAsia"/>
          <w:b/>
          <w:sz w:val="36"/>
        </w:rPr>
        <w:t>——第 148 期“双清论坛”学术综述</w:t>
      </w:r>
    </w:p>
    <w:p>
      <w:pPr>
        <w:pStyle w:val="BodyText"/>
        <w:spacing w:line="417" w:lineRule="auto" w:before="126"/>
        <w:ind w:left="780" w:right="1235"/>
        <w:jc w:val="both"/>
      </w:pPr>
      <w:r>
        <w:rPr>
          <w:spacing w:val="-13"/>
        </w:rPr>
        <w:t>【摘要】基于第 </w:t>
      </w:r>
      <w:r>
        <w:rPr>
          <w:rFonts w:ascii="Times New Roman" w:hAnsi="Times New Roman" w:eastAsia="Times New Roman"/>
        </w:rPr>
        <w:t>148 </w:t>
      </w:r>
      <w:r>
        <w:rPr/>
        <w:t>期</w:t>
      </w:r>
      <w:r>
        <w:rPr>
          <w:rFonts w:ascii="Times New Roman" w:hAnsi="Times New Roman" w:eastAsia="Times New Roman"/>
          <w:spacing w:val="-5"/>
        </w:rPr>
        <w:t>“</w:t>
      </w:r>
      <w:r>
        <w:rPr/>
        <w:t>双清论坛</w:t>
      </w:r>
      <w:r>
        <w:rPr>
          <w:rFonts w:ascii="Times New Roman" w:hAnsi="Times New Roman" w:eastAsia="Times New Roman"/>
          <w:spacing w:val="-18"/>
        </w:rPr>
        <w:t>”</w:t>
      </w:r>
      <w:r>
        <w:rPr>
          <w:spacing w:val="-5"/>
        </w:rPr>
        <w:t>，本文总结了我国园艺科学研究及</w:t>
      </w:r>
      <w:r>
        <w:rPr>
          <w:spacing w:val="-10"/>
        </w:rPr>
        <w:t>产业发展所面临的国家重大需求，回顾了园艺学领域近年来通过园艺</w:t>
      </w:r>
      <w:r>
        <w:rPr>
          <w:spacing w:val="-11"/>
        </w:rPr>
        <w:t>作物生物学与基础生物学等学科交叉所取得的主要进展和成就，凝炼</w:t>
      </w:r>
      <w:r>
        <w:rPr>
          <w:spacing w:val="-9"/>
        </w:rPr>
        <w:t>了该领域未来 </w:t>
      </w:r>
      <w:r>
        <w:rPr>
          <w:rFonts w:ascii="Times New Roman" w:hAnsi="Times New Roman" w:eastAsia="Times New Roman"/>
        </w:rPr>
        <w:t>5-10</w:t>
      </w:r>
      <w:r>
        <w:rPr>
          <w:rFonts w:ascii="Times New Roman" w:hAnsi="Times New Roman" w:eastAsia="Times New Roman"/>
          <w:spacing w:val="54"/>
        </w:rPr>
        <w:t> </w:t>
      </w:r>
      <w:r>
        <w:rPr>
          <w:spacing w:val="-3"/>
        </w:rPr>
        <w:t>年的重大关键科学问题，探讨了前沿研究方向和科学基金资助战略。</w:t>
      </w:r>
    </w:p>
    <w:p>
      <w:pPr>
        <w:pStyle w:val="BodyText"/>
        <w:spacing w:line="358" w:lineRule="exact"/>
        <w:ind w:left="780"/>
      </w:pPr>
      <w:r>
        <w:rPr/>
        <w:t>【关键词】园艺学；基础生物学；多学科交叉；基础研究</w:t>
      </w:r>
    </w:p>
    <w:p>
      <w:pPr>
        <w:pStyle w:val="BodyText"/>
      </w:pPr>
    </w:p>
    <w:p>
      <w:pPr>
        <w:pStyle w:val="BodyText"/>
        <w:spacing w:before="5"/>
        <w:rPr>
          <w:sz w:val="41"/>
        </w:rPr>
      </w:pPr>
    </w:p>
    <w:p>
      <w:pPr>
        <w:pStyle w:val="BodyText"/>
        <w:spacing w:line="417" w:lineRule="auto"/>
        <w:ind w:left="780" w:right="1233" w:firstLine="479"/>
      </w:pPr>
      <w:r>
        <w:rPr>
          <w:spacing w:val="-6"/>
        </w:rPr>
        <w:t>随着我国国民经济发展和农业产业结构调整，以及人们生活水平</w:t>
      </w:r>
      <w:r>
        <w:rPr>
          <w:spacing w:val="-9"/>
        </w:rPr>
        <w:t>提高和健康意识的不断增强，园艺产品生产与消费得到快速发展，园</w:t>
      </w:r>
      <w:r>
        <w:rPr>
          <w:spacing w:val="-6"/>
        </w:rPr>
        <w:t>艺产品总产量达</w:t>
      </w:r>
      <w:r>
        <w:rPr>
          <w:rFonts w:ascii="Times New Roman" w:eastAsia="Times New Roman"/>
        </w:rPr>
        <w:t>9.21</w:t>
      </w:r>
      <w:r>
        <w:rPr>
          <w:spacing w:val="-6"/>
        </w:rPr>
        <w:t>亿吨，超过世界园艺产品总产量的一半；全国园</w:t>
      </w:r>
      <w:r>
        <w:rPr>
          <w:spacing w:val="-5"/>
        </w:rPr>
        <w:t>艺产业产值已占种植业总产值的</w:t>
      </w:r>
      <w:r>
        <w:rPr>
          <w:rFonts w:ascii="Times New Roman" w:eastAsia="Times New Roman"/>
        </w:rPr>
        <w:t>45%</w:t>
      </w:r>
      <w:r>
        <w:rPr>
          <w:spacing w:val="-9"/>
        </w:rPr>
        <w:t>强。园艺产业为丰富和改善国民</w:t>
      </w:r>
      <w:r>
        <w:rPr>
          <w:spacing w:val="-3"/>
        </w:rPr>
        <w:t>膳食结构以及促进农民脱贫致富奔小康发挥了重要作用。但与此同</w:t>
      </w:r>
      <w:r>
        <w:rPr>
          <w:spacing w:val="-11"/>
        </w:rPr>
        <w:t>时，目前，我国园艺产业也面临种质资源开发利用不足、新品种培育</w:t>
      </w:r>
      <w:r>
        <w:rPr>
          <w:spacing w:val="-13"/>
        </w:rPr>
        <w:t>仍然有限、产品品质有待提高、生产环境调控技术有待发展、贮藏物</w:t>
      </w:r>
      <w:r>
        <w:rPr>
          <w:spacing w:val="-8"/>
        </w:rPr>
        <w:t>流损耗亟需控制等问题。</w:t>
      </w:r>
    </w:p>
    <w:p>
      <w:pPr>
        <w:pStyle w:val="BodyText"/>
        <w:spacing w:line="417" w:lineRule="auto"/>
        <w:ind w:left="780" w:right="1236" w:firstLine="479"/>
        <w:jc w:val="both"/>
      </w:pPr>
      <w:r>
        <w:rPr>
          <w:spacing w:val="-6"/>
        </w:rPr>
        <w:t>园艺产业的快速发展离不开园艺科技进步，其中应用基础研究功</w:t>
      </w:r>
      <w:r>
        <w:rPr>
          <w:spacing w:val="-11"/>
        </w:rPr>
        <w:t>不可没。近年来，基础生物学，特别是植物生物学的研究成果为园艺</w:t>
      </w:r>
      <w:r>
        <w:rPr>
          <w:spacing w:val="-10"/>
        </w:rPr>
        <w:t>科学研究的发展提供了良好借鉴，也在一定程度上带动了园艺作物生</w:t>
      </w:r>
    </w:p>
    <w:p>
      <w:pPr>
        <w:spacing w:after="0" w:line="417" w:lineRule="auto"/>
        <w:jc w:val="both"/>
        <w:sectPr>
          <w:pgSz w:w="11910" w:h="16840"/>
          <w:pgMar w:header="0" w:footer="1035" w:top="1480" w:bottom="1300" w:left="1020" w:right="560"/>
        </w:sectPr>
      </w:pPr>
    </w:p>
    <w:p>
      <w:pPr>
        <w:pStyle w:val="BodyText"/>
        <w:spacing w:line="417" w:lineRule="auto" w:before="34"/>
        <w:ind w:left="780" w:right="1238"/>
        <w:jc w:val="both"/>
      </w:pPr>
      <w:r>
        <w:rPr>
          <w:spacing w:val="-11"/>
        </w:rPr>
        <w:t>物学基础研究的发展，在园艺作物基因组研究等领域取得了较好的成</w:t>
      </w:r>
      <w:r>
        <w:rPr>
          <w:spacing w:val="-12"/>
        </w:rPr>
        <w:t>绩。但总体而言，这一借鉴与利用程度仍然有限，与模式植物生物学</w:t>
      </w:r>
      <w:r>
        <w:rPr>
          <w:spacing w:val="-11"/>
        </w:rPr>
        <w:t>研究相比，园艺作物生物学研究与其差距又被再次拉大，这不利于现代园艺科学研究的持续发展，进而影响园艺产业技术提升和产业关键</w:t>
      </w:r>
      <w:r>
        <w:rPr>
          <w:spacing w:val="-2"/>
        </w:rPr>
        <w:t>问题攻关的进程。</w:t>
      </w:r>
    </w:p>
    <w:p>
      <w:pPr>
        <w:pStyle w:val="BodyText"/>
        <w:spacing w:line="417" w:lineRule="auto"/>
        <w:ind w:left="780" w:right="1160" w:firstLine="479"/>
      </w:pPr>
      <w:r>
        <w:rPr/>
        <w:t>研讨园艺学和植物生物学的交叉，凝练科学问题，可以进一步推动园艺科技进步和产业发展。在此背景下，</w:t>
      </w:r>
      <w:r>
        <w:rPr>
          <w:rFonts w:ascii="Times New Roman" w:hAnsi="Times New Roman" w:eastAsia="Times New Roman"/>
        </w:rPr>
        <w:t>2015</w:t>
      </w:r>
      <w:r>
        <w:rPr/>
        <w:t>年</w:t>
      </w:r>
      <w:r>
        <w:rPr>
          <w:rFonts w:ascii="Times New Roman" w:hAnsi="Times New Roman" w:eastAsia="Times New Roman"/>
        </w:rPr>
        <w:t>11</w:t>
      </w:r>
      <w:r>
        <w:rPr/>
        <w:t>月</w:t>
      </w:r>
      <w:r>
        <w:rPr>
          <w:rFonts w:ascii="Times New Roman" w:hAnsi="Times New Roman" w:eastAsia="Times New Roman"/>
        </w:rPr>
        <w:t>12-13</w:t>
      </w:r>
      <w:r>
        <w:rPr/>
        <w:t>日，国家自然科学基金委员会生命科学部会同政策局联合召开了主题为</w:t>
      </w:r>
      <w:r>
        <w:rPr>
          <w:rFonts w:ascii="Times New Roman" w:hAnsi="Times New Roman" w:eastAsia="Times New Roman"/>
        </w:rPr>
        <w:t>“</w:t>
      </w:r>
      <w:r>
        <w:rPr/>
        <w:t>园艺学多学科交叉发展的关键科学问题与对策</w:t>
      </w:r>
      <w:r>
        <w:rPr>
          <w:rFonts w:ascii="Times New Roman" w:hAnsi="Times New Roman" w:eastAsia="Times New Roman"/>
        </w:rPr>
        <w:t>”</w:t>
      </w:r>
      <w:r>
        <w:rPr/>
        <w:t>的第</w:t>
      </w:r>
      <w:r>
        <w:rPr>
          <w:rFonts w:ascii="Times New Roman" w:hAnsi="Times New Roman" w:eastAsia="Times New Roman"/>
        </w:rPr>
        <w:t>148</w:t>
      </w:r>
      <w:r>
        <w:rPr/>
        <w:t>期双清论坛，来自国内</w:t>
      </w:r>
      <w:r>
        <w:rPr>
          <w:rFonts w:ascii="Times New Roman" w:hAnsi="Times New Roman" w:eastAsia="Times New Roman"/>
        </w:rPr>
        <w:t>20</w:t>
      </w:r>
      <w:r>
        <w:rPr/>
        <w:t>多所高校和科研院所的</w:t>
      </w:r>
      <w:r>
        <w:rPr>
          <w:rFonts w:ascii="Times New Roman" w:hAnsi="Times New Roman" w:eastAsia="Times New Roman"/>
        </w:rPr>
        <w:t>30</w:t>
      </w:r>
      <w:r>
        <w:rPr/>
        <w:t>名专家学者应邀参加了本次论</w:t>
      </w:r>
    </w:p>
    <w:p>
      <w:pPr>
        <w:pStyle w:val="BodyText"/>
        <w:spacing w:line="417" w:lineRule="auto"/>
        <w:ind w:left="780" w:right="1235"/>
        <w:jc w:val="both"/>
      </w:pPr>
      <w:r>
        <w:rPr>
          <w:spacing w:val="-11"/>
        </w:rPr>
        <w:t>坛。与会专家对园艺学多学科交叉发展现状与趋势、未来主要研究方</w:t>
      </w:r>
      <w:r>
        <w:rPr>
          <w:spacing w:val="-12"/>
        </w:rPr>
        <w:t>向和科学问题进行了梳理，并提出了主题相关领域的国家自然科学基</w:t>
      </w:r>
      <w:r>
        <w:rPr>
          <w:spacing w:val="-7"/>
        </w:rPr>
        <w:t>金资助战略。</w:t>
      </w:r>
    </w:p>
    <w:p>
      <w:pPr>
        <w:pStyle w:val="Heading8"/>
        <w:numPr>
          <w:ilvl w:val="0"/>
          <w:numId w:val="13"/>
        </w:numPr>
        <w:tabs>
          <w:tab w:pos="1059" w:val="left" w:leader="none"/>
        </w:tabs>
        <w:spacing w:line="358" w:lineRule="exact" w:before="0" w:after="0"/>
        <w:ind w:left="1058" w:right="0" w:hanging="279"/>
        <w:jc w:val="both"/>
        <w:rPr>
          <w:rFonts w:ascii="黑体" w:eastAsia="黑体" w:hint="eastAsia"/>
        </w:rPr>
      </w:pPr>
      <w:r>
        <w:rPr>
          <w:rFonts w:ascii="黑体" w:eastAsia="黑体" w:hint="eastAsia"/>
        </w:rPr>
        <w:t>园艺产业发展与科学研究面临的重大机遇与挑战</w:t>
      </w:r>
    </w:p>
    <w:p>
      <w:pPr>
        <w:pStyle w:val="ListParagraph"/>
        <w:numPr>
          <w:ilvl w:val="1"/>
          <w:numId w:val="13"/>
        </w:numPr>
        <w:tabs>
          <w:tab w:pos="1270" w:val="left" w:leader="none"/>
        </w:tabs>
        <w:spacing w:line="240" w:lineRule="auto" w:before="252" w:after="0"/>
        <w:ind w:left="1270" w:right="0" w:hanging="490"/>
        <w:jc w:val="left"/>
        <w:rPr>
          <w:rFonts w:ascii="等线" w:eastAsia="等线" w:hint="eastAsia"/>
          <w:b/>
          <w:sz w:val="28"/>
        </w:rPr>
      </w:pPr>
      <w:r>
        <w:rPr>
          <w:rFonts w:ascii="等线" w:eastAsia="等线" w:hint="eastAsia"/>
          <w:b/>
          <w:sz w:val="28"/>
        </w:rPr>
        <w:t>园艺产业发展现状、机遇与问题</w:t>
      </w:r>
    </w:p>
    <w:p>
      <w:pPr>
        <w:pStyle w:val="BodyText"/>
        <w:spacing w:line="417" w:lineRule="auto" w:before="214"/>
        <w:ind w:left="780" w:right="1234" w:firstLine="479"/>
      </w:pPr>
      <w:r>
        <w:rPr>
          <w:spacing w:val="-5"/>
        </w:rPr>
        <w:t>园艺产业是我国农业的优势产业，建国以来，特别是改革开放以</w:t>
      </w:r>
      <w:r>
        <w:rPr>
          <w:spacing w:val="-9"/>
        </w:rPr>
        <w:t>来，我国园艺产业得到了持续稳定发展，至</w:t>
      </w:r>
      <w:r>
        <w:rPr>
          <w:rFonts w:ascii="Times New Roman" w:eastAsia="Times New Roman"/>
        </w:rPr>
        <w:t>2014</w:t>
      </w:r>
      <w:r>
        <w:rPr>
          <w:spacing w:val="-7"/>
        </w:rPr>
        <w:t>年，全国水果栽培面</w:t>
      </w:r>
      <w:r>
        <w:rPr>
          <w:spacing w:val="-1"/>
        </w:rPr>
        <w:t>积达</w:t>
      </w:r>
      <w:r>
        <w:rPr>
          <w:rFonts w:ascii="Times New Roman" w:eastAsia="Times New Roman"/>
          <w:spacing w:val="-1"/>
        </w:rPr>
        <w:t>1260</w:t>
      </w:r>
      <w:r>
        <w:rPr>
          <w:spacing w:val="-4"/>
        </w:rPr>
        <w:t>万公顷，产量</w:t>
      </w:r>
      <w:r>
        <w:rPr>
          <w:rFonts w:ascii="Times New Roman" w:eastAsia="Times New Roman"/>
        </w:rPr>
        <w:t>1.61</w:t>
      </w:r>
      <w:r>
        <w:rPr>
          <w:spacing w:val="-3"/>
        </w:rPr>
        <w:t>亿吨；蔬菜栽培面积达</w:t>
      </w:r>
      <w:r>
        <w:rPr>
          <w:rFonts w:ascii="Times New Roman" w:eastAsia="Times New Roman"/>
        </w:rPr>
        <w:t>2140</w:t>
      </w:r>
      <w:r>
        <w:rPr>
          <w:spacing w:val="-4"/>
        </w:rPr>
        <w:t>万公顷，产量</w:t>
      </w:r>
      <w:r>
        <w:rPr>
          <w:rFonts w:ascii="Times New Roman" w:eastAsia="Times New Roman"/>
          <w:spacing w:val="-4"/>
        </w:rPr>
        <w:t>7.60</w:t>
      </w:r>
      <w:r>
        <w:rPr>
          <w:spacing w:val="-4"/>
        </w:rPr>
        <w:t>亿吨；花卉栽培面积达</w:t>
      </w:r>
      <w:r>
        <w:rPr>
          <w:rFonts w:ascii="Times New Roman" w:eastAsia="Times New Roman"/>
          <w:spacing w:val="-2"/>
        </w:rPr>
        <w:t>127</w:t>
      </w:r>
      <w:r>
        <w:rPr>
          <w:spacing w:val="-3"/>
        </w:rPr>
        <w:t>万公顷。园艺产业总产值达</w:t>
      </w:r>
      <w:r>
        <w:rPr>
          <w:rFonts w:ascii="Times New Roman" w:eastAsia="Times New Roman"/>
        </w:rPr>
        <w:t>2</w:t>
      </w:r>
      <w:r>
        <w:rPr/>
        <w:t>万多亿 </w:t>
      </w:r>
      <w:r>
        <w:rPr>
          <w:spacing w:val="-6"/>
        </w:rPr>
        <w:t>元，约占种植业总产值的</w:t>
      </w:r>
      <w:r>
        <w:rPr>
          <w:rFonts w:ascii="Times New Roman" w:eastAsia="Times New Roman"/>
          <w:spacing w:val="-2"/>
        </w:rPr>
        <w:t>45%</w:t>
      </w:r>
      <w:r>
        <w:rPr>
          <w:spacing w:val="-6"/>
        </w:rPr>
        <w:t>强。我国果品与蔬菜总产量均居世界首</w:t>
      </w:r>
      <w:r>
        <w:rPr>
          <w:spacing w:val="-11"/>
        </w:rPr>
        <w:t>位，果蔬总量超过世界果蔬总量的一半。园艺产业在我国农业经济和</w:t>
      </w:r>
      <w:r>
        <w:rPr>
          <w:spacing w:val="-9"/>
        </w:rPr>
        <w:t>社会发展中占据重要地位。园艺产业不仅是农业的重要组成部分，园</w:t>
      </w:r>
    </w:p>
    <w:p>
      <w:pPr>
        <w:spacing w:after="0" w:line="417" w:lineRule="auto"/>
        <w:sectPr>
          <w:pgSz w:w="11910" w:h="16840"/>
          <w:pgMar w:header="0" w:footer="1035" w:top="1520" w:bottom="1300" w:left="1020" w:right="560"/>
        </w:sectPr>
      </w:pPr>
    </w:p>
    <w:p>
      <w:pPr>
        <w:pStyle w:val="BodyText"/>
        <w:spacing w:line="417" w:lineRule="auto" w:before="34"/>
        <w:ind w:left="780" w:right="1238"/>
        <w:jc w:val="both"/>
      </w:pPr>
      <w:r>
        <w:rPr>
          <w:spacing w:val="-10"/>
        </w:rPr>
        <w:t>艺产品还直接关系人们的生活品质和膳食健康，已成为世界各国，特</w:t>
      </w:r>
      <w:r>
        <w:rPr>
          <w:spacing w:val="-9"/>
        </w:rPr>
        <w:t>别是经济发达国家消费者重点关注的主题。因此，园艺产业发展备受</w:t>
      </w:r>
      <w:r>
        <w:rPr>
          <w:spacing w:val="-3"/>
        </w:rPr>
        <w:t>各级政府的关注，迎来了良好的发展机遇。</w:t>
      </w:r>
    </w:p>
    <w:p>
      <w:pPr>
        <w:pStyle w:val="BodyText"/>
        <w:spacing w:line="417" w:lineRule="auto"/>
        <w:ind w:left="780" w:right="1169" w:firstLine="479"/>
      </w:pPr>
      <w:r>
        <w:rPr>
          <w:spacing w:val="-3"/>
        </w:rPr>
        <w:t>但与此同时，园艺产业发展中也面临一些瓶颈问题或挑战。首 </w:t>
      </w:r>
      <w:r>
        <w:rPr>
          <w:spacing w:val="-10"/>
        </w:rPr>
        <w:t>先，随着园艺产品总量的上升以及国民生活水平的提高，园艺产品消</w:t>
      </w:r>
      <w:r>
        <w:rPr>
          <w:spacing w:val="-13"/>
        </w:rPr>
        <w:t>费正处于数量型向质量型的转变过程，在经济发达省份与地区更加突</w:t>
      </w:r>
      <w:r>
        <w:rPr>
          <w:spacing w:val="-9"/>
        </w:rPr>
        <w:t>出。消费者期待园艺产品的品质进一步提高</w:t>
      </w:r>
      <w:r>
        <w:rPr>
          <w:spacing w:val="-3"/>
        </w:rPr>
        <w:t>（如果实果味更浓等</w:t>
      </w:r>
      <w:r>
        <w:rPr>
          <w:spacing w:val="-32"/>
        </w:rPr>
        <w:t>）</w:t>
      </w:r>
      <w:r>
        <w:rPr/>
        <w:t>和</w:t>
      </w:r>
      <w:r>
        <w:rPr>
          <w:spacing w:val="-9"/>
        </w:rPr>
        <w:t>全面提升</w:t>
      </w:r>
      <w:r>
        <w:rPr/>
        <w:t>（</w:t>
      </w:r>
      <w:r>
        <w:rPr>
          <w:spacing w:val="-3"/>
        </w:rPr>
        <w:t>如在重视风味的同时也十分注重产品色泽等</w:t>
      </w:r>
      <w:r>
        <w:rPr>
          <w:spacing w:val="-49"/>
        </w:rPr>
        <w:t>）</w:t>
      </w:r>
      <w:r>
        <w:rPr>
          <w:spacing w:val="-4"/>
        </w:rPr>
        <w:t>、产品的多</w:t>
      </w:r>
      <w:r>
        <w:rPr>
          <w:spacing w:val="-11"/>
        </w:rPr>
        <w:t>样性更加丰富、市场供应期进一步拉长等，这些都要求园艺科技工作</w:t>
      </w:r>
      <w:r>
        <w:rPr>
          <w:spacing w:val="-12"/>
        </w:rPr>
        <w:t>者和生产者的观念和工作重心进行相应的调整，注重育种以及良种配</w:t>
      </w:r>
      <w:r>
        <w:rPr>
          <w:spacing w:val="-13"/>
        </w:rPr>
        <w:t>套栽培技术研发。其次，环境调控园艺作物生长发育，对于产量及品</w:t>
      </w:r>
      <w:r>
        <w:rPr>
          <w:spacing w:val="-14"/>
        </w:rPr>
        <w:t>质提高有着相当大的影响。近年来随着全球气候变暖，极端高温和低</w:t>
      </w:r>
      <w:r>
        <w:rPr>
          <w:spacing w:val="-10"/>
        </w:rPr>
        <w:t>温、旱害和涝害等自然灾害以及病虫灾害频繁发生，园艺作物的设施</w:t>
      </w:r>
      <w:r>
        <w:rPr>
          <w:spacing w:val="-11"/>
        </w:rPr>
        <w:t>生产在调节产品供应期以及抵御不良环境中起着重要作用，但与此同</w:t>
      </w:r>
      <w:r>
        <w:rPr>
          <w:spacing w:val="-7"/>
        </w:rPr>
        <w:t>时也带来了弱光、</w:t>
      </w:r>
      <w:r>
        <w:rPr>
          <w:rFonts w:ascii="Times New Roman" w:eastAsia="Times New Roman"/>
          <w:spacing w:val="-3"/>
        </w:rPr>
        <w:t>CO</w:t>
      </w:r>
      <w:r>
        <w:rPr>
          <w:rFonts w:ascii="Times New Roman" w:eastAsia="Times New Roman"/>
          <w:spacing w:val="-3"/>
          <w:vertAlign w:val="subscript"/>
        </w:rPr>
        <w:t>2</w:t>
      </w:r>
      <w:r>
        <w:rPr>
          <w:spacing w:val="-4"/>
          <w:vertAlign w:val="baseline"/>
        </w:rPr>
        <w:t>不足以及连作障碍等问题。如何在非最优环境</w:t>
      </w:r>
      <w:r>
        <w:rPr>
          <w:spacing w:val="-7"/>
          <w:vertAlign w:val="baseline"/>
        </w:rPr>
        <w:t>下实现稳产增质安全的生产目标是园艺产业面临的一大挑战。第三， </w:t>
      </w:r>
      <w:r>
        <w:rPr>
          <w:spacing w:val="-3"/>
          <w:vertAlign w:val="baseline"/>
        </w:rPr>
        <w:t>我国园艺产品的采后损耗率高达</w:t>
      </w:r>
      <w:r>
        <w:rPr>
          <w:rFonts w:ascii="Times New Roman" w:eastAsia="Times New Roman"/>
          <w:vertAlign w:val="baseline"/>
        </w:rPr>
        <w:t>30%</w:t>
      </w:r>
      <w:r>
        <w:rPr>
          <w:spacing w:val="-3"/>
          <w:vertAlign w:val="baseline"/>
        </w:rPr>
        <w:t>左右，远高于发达国家的</w:t>
      </w:r>
    </w:p>
    <w:p>
      <w:pPr>
        <w:pStyle w:val="BodyText"/>
        <w:spacing w:line="417" w:lineRule="auto"/>
        <w:ind w:left="780" w:right="1169"/>
      </w:pPr>
      <w:r>
        <w:rPr>
          <w:rFonts w:ascii="Times New Roman" w:eastAsia="Times New Roman"/>
        </w:rPr>
        <w:t>5-10%</w:t>
      </w:r>
      <w:r>
        <w:rPr>
          <w:spacing w:val="-3"/>
        </w:rPr>
        <w:t>。对于一些特色园艺产品，损耗率更是高达</w:t>
      </w:r>
      <w:r>
        <w:rPr>
          <w:rFonts w:ascii="Times New Roman" w:eastAsia="Times New Roman"/>
          <w:spacing w:val="-2"/>
        </w:rPr>
        <w:t>50%</w:t>
      </w:r>
      <w:r>
        <w:rPr>
          <w:spacing w:val="-1"/>
        </w:rPr>
        <w:t>以上。如何进</w:t>
      </w:r>
      <w:r>
        <w:rPr>
          <w:spacing w:val="-8"/>
        </w:rPr>
        <w:t>一步降低园艺产品采后损耗率，使产品以更高的质量扩大销售半径， </w:t>
      </w:r>
      <w:r>
        <w:rPr>
          <w:spacing w:val="-9"/>
        </w:rPr>
        <w:t>是园艺产业面临的一个巨大挑战。此外，园艺产业发展还面临劳动力</w:t>
      </w:r>
      <w:r>
        <w:rPr>
          <w:spacing w:val="-12"/>
        </w:rPr>
        <w:t>紧缺、成本上升等问题，生产效率提高需要攻克，亟需适合轻简化栽</w:t>
      </w:r>
      <w:r>
        <w:rPr>
          <w:spacing w:val="-7"/>
        </w:rPr>
        <w:t>培的新品种及其栽培配套措施。</w:t>
      </w:r>
    </w:p>
    <w:p>
      <w:pPr>
        <w:spacing w:after="0" w:line="417" w:lineRule="auto"/>
        <w:sectPr>
          <w:pgSz w:w="11910" w:h="16840"/>
          <w:pgMar w:header="0" w:footer="1035" w:top="1520" w:bottom="1300" w:left="1020" w:right="560"/>
        </w:sectPr>
      </w:pPr>
    </w:p>
    <w:p>
      <w:pPr>
        <w:pStyle w:val="Heading8"/>
        <w:numPr>
          <w:ilvl w:val="1"/>
          <w:numId w:val="13"/>
        </w:numPr>
        <w:tabs>
          <w:tab w:pos="1270" w:val="left" w:leader="none"/>
        </w:tabs>
        <w:spacing w:line="240" w:lineRule="auto" w:before="42" w:after="0"/>
        <w:ind w:left="1270" w:right="0" w:hanging="490"/>
        <w:jc w:val="left"/>
      </w:pPr>
      <w:r>
        <w:rPr/>
        <w:t>园艺科学研究发展机遇与挑战</w:t>
      </w:r>
    </w:p>
    <w:p>
      <w:pPr>
        <w:pStyle w:val="BodyText"/>
        <w:spacing w:line="417" w:lineRule="auto" w:before="215"/>
        <w:ind w:left="780" w:right="1235" w:firstLine="479"/>
        <w:jc w:val="both"/>
      </w:pPr>
      <w:r>
        <w:rPr>
          <w:spacing w:val="-5"/>
        </w:rPr>
        <w:t>园艺产业的迅猛发展对园艺科技的进步提出了强烈需求，国家和</w:t>
      </w:r>
      <w:r>
        <w:rPr>
          <w:spacing w:val="-10"/>
        </w:rPr>
        <w:t>地方有关部门也强加了相应的科技投入，这使得我国园艺科学研究迎</w:t>
      </w:r>
      <w:r>
        <w:rPr>
          <w:spacing w:val="-14"/>
        </w:rPr>
        <w:t>来了良好的发展机遇。同时，生命科学研究的发展日新月异，相关知</w:t>
      </w:r>
      <w:r>
        <w:rPr>
          <w:spacing w:val="-13"/>
        </w:rPr>
        <w:t>识、技术可在园艺学研究领域应用，来自模式植物和大田作物的成功</w:t>
      </w:r>
      <w:r>
        <w:rPr>
          <w:spacing w:val="-12"/>
        </w:rPr>
        <w:t>实例也提供了良好的借鉴，这些都有力地推动着园艺科学研究进入一</w:t>
      </w:r>
      <w:r>
        <w:rPr>
          <w:spacing w:val="-7"/>
        </w:rPr>
        <w:t>个快速发展阶段。</w:t>
      </w:r>
    </w:p>
    <w:p>
      <w:pPr>
        <w:pStyle w:val="BodyText"/>
        <w:spacing w:line="417" w:lineRule="auto"/>
        <w:ind w:left="780" w:right="1193" w:firstLine="479"/>
      </w:pPr>
      <w:r>
        <w:rPr/>
        <w:t>但园艺科学研究也面临一些挑战，这很大程度上是由于园艺作物有着不同于模式植物或大田作物的一些独特性，如食用器官多元化</w:t>
      </w:r>
    </w:p>
    <w:p>
      <w:pPr>
        <w:pStyle w:val="BodyText"/>
        <w:spacing w:line="417" w:lineRule="auto"/>
        <w:ind w:left="780" w:right="1233"/>
      </w:pPr>
      <w:r>
        <w:rPr/>
        <w:t>（</w:t>
      </w:r>
      <w:r>
        <w:rPr>
          <w:spacing w:val="-1"/>
        </w:rPr>
        <w:t>特别是蔬菜</w:t>
      </w:r>
      <w:r>
        <w:rPr>
          <w:spacing w:val="-27"/>
        </w:rPr>
        <w:t>）</w:t>
      </w:r>
      <w:r>
        <w:rPr>
          <w:spacing w:val="-5"/>
        </w:rPr>
        <w:t>、遗传背景高度杂合</w:t>
      </w:r>
      <w:r>
        <w:rPr/>
        <w:t>（特别是果树</w:t>
      </w:r>
      <w:r>
        <w:rPr>
          <w:spacing w:val="-27"/>
        </w:rPr>
        <w:t>）</w:t>
      </w:r>
      <w:r>
        <w:rPr>
          <w:spacing w:val="-8"/>
        </w:rPr>
        <w:t>、多年生</w:t>
      </w:r>
      <w:r>
        <w:rPr/>
        <w:t>（</w:t>
      </w:r>
      <w:r>
        <w:rPr>
          <w:spacing w:val="-6"/>
        </w:rPr>
        <w:t>特别</w:t>
      </w:r>
      <w:r>
        <w:rPr/>
        <w:t>是果树</w:t>
      </w:r>
      <w:r>
        <w:rPr>
          <w:spacing w:val="-27"/>
        </w:rPr>
        <w:t>）</w:t>
      </w:r>
      <w:r>
        <w:rPr>
          <w:spacing w:val="-8"/>
        </w:rPr>
        <w:t>、多胚性</w:t>
      </w:r>
      <w:r>
        <w:rPr/>
        <w:t>（如柑橘</w:t>
      </w:r>
      <w:r>
        <w:rPr>
          <w:spacing w:val="-27"/>
        </w:rPr>
        <w:t>）</w:t>
      </w:r>
      <w:r>
        <w:rPr>
          <w:spacing w:val="-5"/>
        </w:rPr>
        <w:t>、果实花粉直感、特殊营养器官的发育</w:t>
      </w:r>
    </w:p>
    <w:p>
      <w:pPr>
        <w:pStyle w:val="BodyText"/>
        <w:spacing w:line="417" w:lineRule="auto"/>
        <w:ind w:left="780" w:right="1169"/>
        <w:jc w:val="both"/>
      </w:pPr>
      <w:r>
        <w:rPr/>
        <w:t>（</w:t>
      </w:r>
      <w:r>
        <w:rPr>
          <w:spacing w:val="-3"/>
        </w:rPr>
        <w:t>特别是花卉和蔬菜类</w:t>
      </w:r>
      <w:r>
        <w:rPr>
          <w:spacing w:val="-49"/>
        </w:rPr>
        <w:t>）</w:t>
      </w:r>
      <w:r>
        <w:rPr>
          <w:spacing w:val="-9"/>
        </w:rPr>
        <w:t>、嫁接等无性繁殖、产品鲜活易腐易损特性</w:t>
      </w:r>
      <w:r>
        <w:rPr>
          <w:spacing w:val="-10"/>
        </w:rPr>
        <w:t>等。这些特性使得园艺科学研究的问题也具有独特性，甚至唯一性。</w:t>
      </w:r>
      <w:r>
        <w:rPr>
          <w:spacing w:val="-11"/>
        </w:rPr>
        <w:t>而且，研究的复杂性和难度大为增加。使得园艺科学研究水平与基础</w:t>
      </w:r>
      <w:r>
        <w:rPr>
          <w:spacing w:val="-7"/>
        </w:rPr>
        <w:t>植物生物学的差距有加大的趋势。</w:t>
      </w:r>
    </w:p>
    <w:p>
      <w:pPr>
        <w:pStyle w:val="BodyText"/>
        <w:spacing w:line="417" w:lineRule="auto"/>
        <w:ind w:left="780" w:right="1236" w:firstLine="479"/>
        <w:jc w:val="both"/>
      </w:pPr>
      <w:r>
        <w:rPr>
          <w:spacing w:val="-6"/>
        </w:rPr>
        <w:t>就园艺作物而言，我国虽也有一些高精尖的研究成果，但总体而</w:t>
      </w:r>
      <w:r>
        <w:rPr>
          <w:spacing w:val="-5"/>
        </w:rPr>
        <w:t>言研究水平尚不能居世界前列。根据刘彬和邓秀新</w:t>
      </w:r>
      <w:r>
        <w:rPr>
          <w:rFonts w:ascii="Times New Roman" w:eastAsia="Times New Roman"/>
          <w:vertAlign w:val="superscript"/>
        </w:rPr>
        <w:t>[1]</w:t>
      </w:r>
      <w:r>
        <w:rPr>
          <w:spacing w:val="-5"/>
          <w:vertAlign w:val="baseline"/>
        </w:rPr>
        <w:t>对近年园艺学领</w:t>
      </w:r>
      <w:r>
        <w:rPr>
          <w:vertAlign w:val="baseline"/>
        </w:rPr>
        <w:t>域的</w:t>
      </w:r>
      <w:r>
        <w:rPr>
          <w:rFonts w:ascii="Times New Roman" w:eastAsia="Times New Roman"/>
          <w:vertAlign w:val="baseline"/>
        </w:rPr>
        <w:t>SCI</w:t>
      </w:r>
      <w:r>
        <w:rPr>
          <w:spacing w:val="-3"/>
          <w:vertAlign w:val="baseline"/>
        </w:rPr>
        <w:t>论文数和引用情况进行分析，近</w:t>
      </w:r>
      <w:r>
        <w:rPr>
          <w:rFonts w:ascii="Times New Roman" w:eastAsia="Times New Roman"/>
          <w:vertAlign w:val="baseline"/>
        </w:rPr>
        <w:t>5</w:t>
      </w:r>
      <w:r>
        <w:rPr>
          <w:vertAlign w:val="baseline"/>
        </w:rPr>
        <w:t>年（</w:t>
      </w:r>
      <w:r>
        <w:rPr>
          <w:rFonts w:ascii="Times New Roman" w:eastAsia="Times New Roman"/>
          <w:vertAlign w:val="baseline"/>
        </w:rPr>
        <w:t>2010-2014</w:t>
      </w:r>
      <w:r>
        <w:rPr>
          <w:vertAlign w:val="baseline"/>
        </w:rPr>
        <w:t>）</w:t>
      </w:r>
      <w:r>
        <w:rPr>
          <w:spacing w:val="-1"/>
          <w:vertAlign w:val="baseline"/>
        </w:rPr>
        <w:t>我国园艺学</w:t>
      </w:r>
      <w:r>
        <w:rPr>
          <w:rFonts w:ascii="Times New Roman" w:eastAsia="Times New Roman"/>
          <w:spacing w:val="-1"/>
          <w:vertAlign w:val="baseline"/>
        </w:rPr>
        <w:t>SCI</w:t>
      </w:r>
      <w:r>
        <w:rPr>
          <w:spacing w:val="-3"/>
          <w:vertAlign w:val="baseline"/>
        </w:rPr>
        <w:t>论文数量已居世界第一，但在生物学领域高影响因子期刊刊载</w:t>
      </w:r>
      <w:r>
        <w:rPr>
          <w:spacing w:val="-12"/>
          <w:vertAlign w:val="baseline"/>
        </w:rPr>
        <w:t>的论文数量仅居世界第五，且大多论文集中于生物化学与分子生物学</w:t>
      </w:r>
      <w:r>
        <w:rPr>
          <w:spacing w:val="-11"/>
          <w:vertAlign w:val="baseline"/>
        </w:rPr>
        <w:t>领域，与园艺科学与园艺产业应用相结合的研究论文相当匮乏。我国</w:t>
      </w:r>
      <w:r>
        <w:rPr>
          <w:spacing w:val="-3"/>
          <w:vertAlign w:val="baseline"/>
        </w:rPr>
        <w:t>园艺科学研究的质量提升迫在眉睫。</w:t>
      </w:r>
    </w:p>
    <w:p>
      <w:pPr>
        <w:spacing w:after="0" w:line="417" w:lineRule="auto"/>
        <w:jc w:val="both"/>
        <w:sectPr>
          <w:pgSz w:w="11910" w:h="16840"/>
          <w:pgMar w:header="0" w:footer="1035" w:top="1500" w:bottom="1300" w:left="1020" w:right="560"/>
        </w:sectPr>
      </w:pPr>
    </w:p>
    <w:p>
      <w:pPr>
        <w:pStyle w:val="Heading8"/>
        <w:numPr>
          <w:ilvl w:val="1"/>
          <w:numId w:val="13"/>
        </w:numPr>
        <w:tabs>
          <w:tab w:pos="1270" w:val="left" w:leader="none"/>
        </w:tabs>
        <w:spacing w:line="240" w:lineRule="auto" w:before="42" w:after="0"/>
        <w:ind w:left="1270" w:right="0" w:hanging="490"/>
        <w:jc w:val="left"/>
      </w:pPr>
      <w:r>
        <w:rPr/>
        <w:t>多学科交叉是现代园艺科技进步的重要保障</w:t>
      </w:r>
    </w:p>
    <w:p>
      <w:pPr>
        <w:pStyle w:val="BodyText"/>
        <w:spacing w:line="417" w:lineRule="auto" w:before="215"/>
        <w:ind w:left="780" w:right="1169" w:firstLine="479"/>
        <w:jc w:val="both"/>
      </w:pPr>
      <w:r>
        <w:rPr>
          <w:spacing w:val="-4"/>
        </w:rPr>
        <w:t>近年来，学科交叉日益受关注，大数据时代进一步助力多学科交</w:t>
      </w:r>
      <w:r>
        <w:rPr>
          <w:spacing w:val="-10"/>
        </w:rPr>
        <w:t>叉。具有典型意义的是化学、生物与数学的交叉，助推了基因组学、</w:t>
      </w:r>
      <w:r>
        <w:rPr>
          <w:spacing w:val="-14"/>
        </w:rPr>
        <w:t>代谢组学、蛋白组学为核心的各种组学发展，进而为人类、动物、植</w:t>
      </w:r>
      <w:r>
        <w:rPr>
          <w:spacing w:val="-11"/>
        </w:rPr>
        <w:t>物等领域的传统科学问题</w:t>
      </w:r>
      <w:r>
        <w:rPr>
          <w:spacing w:val="-3"/>
        </w:rPr>
        <w:t>（</w:t>
      </w:r>
      <w:r>
        <w:rPr>
          <w:spacing w:val="-7"/>
        </w:rPr>
        <w:t>疾病成因、生长发育和性状表现等</w:t>
      </w:r>
      <w:r>
        <w:rPr>
          <w:spacing w:val="-34"/>
        </w:rPr>
        <w:t>）</w:t>
      </w:r>
      <w:r>
        <w:rPr/>
        <w:t>解析</w:t>
      </w:r>
      <w:r>
        <w:rPr>
          <w:spacing w:val="-6"/>
        </w:rPr>
        <w:t>和新型挑战</w:t>
      </w:r>
      <w:r>
        <w:rPr/>
        <w:t>（</w:t>
      </w:r>
      <w:r>
        <w:rPr>
          <w:spacing w:val="-7"/>
        </w:rPr>
        <w:t>新型流行病、极端气候等</w:t>
      </w:r>
      <w:r>
        <w:rPr>
          <w:spacing w:val="-24"/>
        </w:rPr>
        <w:t>）</w:t>
      </w:r>
      <w:r>
        <w:rPr>
          <w:spacing w:val="-5"/>
        </w:rPr>
        <w:t>的应对等方面提供支撑。同</w:t>
      </w:r>
      <w:r>
        <w:rPr>
          <w:spacing w:val="-10"/>
        </w:rPr>
        <w:t>时，多学科交叉使机理与机制研究层次更加丰富和深入，如动植物研</w:t>
      </w:r>
      <w:r>
        <w:rPr>
          <w:spacing w:val="-12"/>
        </w:rPr>
        <w:t>究已从基因序列与表达差异分析，延伸至转录调控、小</w:t>
      </w:r>
      <w:r>
        <w:rPr>
          <w:rFonts w:ascii="Times New Roman" w:eastAsia="Times New Roman"/>
          <w:spacing w:val="-10"/>
        </w:rPr>
        <w:t>RNA</w:t>
      </w:r>
      <w:r>
        <w:rPr>
          <w:spacing w:val="-6"/>
        </w:rPr>
        <w:t>、非编码</w:t>
      </w:r>
      <w:r>
        <w:rPr>
          <w:rFonts w:ascii="Times New Roman" w:eastAsia="Times New Roman"/>
          <w:spacing w:val="-2"/>
        </w:rPr>
        <w:t>DNA</w:t>
      </w:r>
      <w:r>
        <w:rPr/>
        <w:t>和长非编码</w:t>
      </w:r>
      <w:r>
        <w:rPr>
          <w:rFonts w:ascii="Times New Roman" w:eastAsia="Times New Roman"/>
          <w:spacing w:val="-2"/>
        </w:rPr>
        <w:t>RNA</w:t>
      </w:r>
      <w:r>
        <w:rPr>
          <w:spacing w:val="-3"/>
        </w:rPr>
        <w:t>、以及表观遗传机制等多层面解析。</w:t>
      </w:r>
    </w:p>
    <w:p>
      <w:pPr>
        <w:pStyle w:val="BodyText"/>
        <w:spacing w:line="417" w:lineRule="auto"/>
        <w:ind w:left="780" w:right="1235" w:firstLine="479"/>
        <w:rPr>
          <w:rFonts w:ascii="黑体" w:eastAsia="黑体" w:hint="eastAsia"/>
          <w:b/>
        </w:rPr>
      </w:pPr>
      <w:r>
        <w:rPr>
          <w:spacing w:val="-6"/>
        </w:rPr>
        <w:t>园艺产业的发展离不开园艺科技的进步，而园艺科技进步离不开</w:t>
      </w:r>
      <w:r>
        <w:rPr>
          <w:spacing w:val="-11"/>
        </w:rPr>
        <w:t>园艺学研究与理学、工学、农学和医学等多门类学科的支撑，特别是</w:t>
      </w:r>
      <w:r>
        <w:rPr>
          <w:spacing w:val="-9"/>
        </w:rPr>
        <w:t>离不开与基础生物学各相关学科</w:t>
      </w:r>
      <w:r>
        <w:rPr>
          <w:spacing w:val="-3"/>
        </w:rPr>
        <w:t>（</w:t>
      </w:r>
      <w:r>
        <w:rPr>
          <w:spacing w:val="-9"/>
        </w:rPr>
        <w:t>如遗传学、分子生物学、生物技术等</w:t>
      </w:r>
      <w:r>
        <w:rPr>
          <w:spacing w:val="-24"/>
        </w:rPr>
        <w:t>）</w:t>
      </w:r>
      <w:r>
        <w:rPr>
          <w:spacing w:val="-10"/>
        </w:rPr>
        <w:t>的密切交叉。近年来，得益于与基础生物学的密切交叉，园艺作</w:t>
      </w:r>
      <w:r>
        <w:rPr>
          <w:spacing w:val="-13"/>
        </w:rPr>
        <w:t>物基因组研究、环境生物学、发育与采后生物学等方面取得了一些突</w:t>
      </w:r>
      <w:r>
        <w:rPr>
          <w:spacing w:val="-3"/>
        </w:rPr>
        <w:t>出的成就。多学科交叉已成为现代园艺科技进步的重要保障之一。 </w:t>
      </w:r>
      <w:r>
        <w:rPr>
          <w:rFonts w:ascii="Times New Roman" w:eastAsia="Times New Roman"/>
          <w:b/>
          <w:spacing w:val="-3"/>
        </w:rPr>
        <w:t>2</w:t>
      </w:r>
      <w:r>
        <w:rPr>
          <w:rFonts w:ascii="Times New Roman" w:eastAsia="Times New Roman"/>
          <w:b/>
          <w:spacing w:val="67"/>
        </w:rPr>
        <w:t> </w:t>
      </w:r>
      <w:r>
        <w:rPr>
          <w:rFonts w:ascii="黑体" w:eastAsia="黑体" w:hint="eastAsia"/>
          <w:b/>
        </w:rPr>
        <w:t>园艺学多学科交叉研究主要进展和成就</w:t>
      </w:r>
    </w:p>
    <w:p>
      <w:pPr>
        <w:pStyle w:val="Heading8"/>
        <w:numPr>
          <w:ilvl w:val="1"/>
          <w:numId w:val="14"/>
        </w:numPr>
        <w:tabs>
          <w:tab w:pos="1134" w:val="left" w:leader="none"/>
        </w:tabs>
        <w:spacing w:line="409" w:lineRule="exact" w:before="0" w:after="0"/>
        <w:ind w:left="1133" w:right="0" w:hanging="354"/>
        <w:jc w:val="left"/>
      </w:pPr>
      <w:r>
        <w:rPr/>
        <w:t>园艺作物遗传与环境生物学</w:t>
      </w:r>
    </w:p>
    <w:p>
      <w:pPr>
        <w:pStyle w:val="ListParagraph"/>
        <w:numPr>
          <w:ilvl w:val="2"/>
          <w:numId w:val="14"/>
        </w:numPr>
        <w:tabs>
          <w:tab w:pos="1342" w:val="left" w:leader="none"/>
        </w:tabs>
        <w:spacing w:line="240" w:lineRule="auto" w:before="201" w:after="0"/>
        <w:ind w:left="1341" w:right="0" w:hanging="562"/>
        <w:jc w:val="left"/>
        <w:rPr>
          <w:rFonts w:ascii="等线" w:eastAsia="等线" w:hint="eastAsia"/>
          <w:b/>
          <w:sz w:val="28"/>
        </w:rPr>
      </w:pPr>
      <w:r>
        <w:rPr>
          <w:rFonts w:ascii="等线" w:eastAsia="等线" w:hint="eastAsia"/>
          <w:b/>
          <w:sz w:val="28"/>
        </w:rPr>
        <w:t>园艺作物基因组学的发展与应用</w:t>
      </w:r>
    </w:p>
    <w:p>
      <w:pPr>
        <w:pStyle w:val="BodyText"/>
        <w:spacing w:line="417" w:lineRule="auto" w:before="265"/>
        <w:ind w:left="780" w:right="1235" w:firstLine="479"/>
        <w:jc w:val="both"/>
      </w:pPr>
      <w:r>
        <w:rPr>
          <w:spacing w:val="-6"/>
        </w:rPr>
        <w:t>基因组作为一个物种遗传信息的总和，是生物学研究的重要工具</w:t>
      </w:r>
      <w:r>
        <w:rPr>
          <w:spacing w:val="-12"/>
        </w:rPr>
        <w:t>和平台，随着测序技术的发展，园艺作物基因组学逐渐成为国际研究</w:t>
      </w:r>
      <w:r>
        <w:rPr/>
        <w:t>热点。应用第一代测序技术，</w:t>
      </w:r>
      <w:r>
        <w:rPr>
          <w:rFonts w:ascii="Times New Roman" w:eastAsia="Times New Roman"/>
        </w:rPr>
        <w:t>2007 </w:t>
      </w:r>
      <w:r>
        <w:rPr>
          <w:spacing w:val="-1"/>
        </w:rPr>
        <w:t>年葡萄成为第一个完成基因组序</w:t>
      </w:r>
      <w:r>
        <w:rPr/>
        <w:t>列图谱的园艺作物，</w:t>
      </w:r>
      <w:r>
        <w:rPr>
          <w:rFonts w:ascii="Times New Roman" w:eastAsia="Times New Roman"/>
        </w:rPr>
        <w:t>2008 </w:t>
      </w:r>
      <w:r>
        <w:rPr>
          <w:spacing w:val="-1"/>
        </w:rPr>
        <w:t>年番木瓜紧随其后。在高通量、低成本的</w:t>
      </w:r>
    </w:p>
    <w:p>
      <w:pPr>
        <w:spacing w:after="0" w:line="417" w:lineRule="auto"/>
        <w:jc w:val="both"/>
        <w:sectPr>
          <w:pgSz w:w="11910" w:h="16840"/>
          <w:pgMar w:header="0" w:footer="1035" w:top="1500" w:bottom="1300" w:left="1020" w:right="560"/>
        </w:sectPr>
      </w:pPr>
    </w:p>
    <w:p>
      <w:pPr>
        <w:pStyle w:val="BodyText"/>
        <w:spacing w:line="417" w:lineRule="auto" w:before="54"/>
        <w:ind w:left="780" w:right="1170"/>
        <w:jc w:val="both"/>
      </w:pPr>
      <w:r>
        <w:rPr/>
        <w:t>第二代测序技术出现后，</w:t>
      </w:r>
      <w:r>
        <w:rPr>
          <w:rFonts w:ascii="Times New Roman" w:eastAsia="Times New Roman"/>
        </w:rPr>
        <w:t>2009 </w:t>
      </w:r>
      <w:r>
        <w:rPr/>
        <w:t>年黄瓜率先应用该技术完成了基因组</w:t>
      </w:r>
      <w:r>
        <w:rPr>
          <w:spacing w:val="-7"/>
        </w:rPr>
        <w:t>序列图谱，在其成功经验的带动下，多种蔬菜</w:t>
      </w:r>
      <w:r>
        <w:rPr/>
        <w:t>（</w:t>
      </w:r>
      <w:r>
        <w:rPr>
          <w:spacing w:val="-6"/>
        </w:rPr>
        <w:t>白菜、甘蓝、番茄、辣椒、甜瓜、西瓜、莲藕</w:t>
      </w:r>
      <w:r>
        <w:rPr>
          <w:spacing w:val="-142"/>
        </w:rPr>
        <w:t>）</w:t>
      </w:r>
      <w:r>
        <w:rPr/>
        <w:t>、果树（甜橙、苹果、桃、梨、草莓、香</w:t>
      </w:r>
      <w:r>
        <w:rPr>
          <w:spacing w:val="-6"/>
        </w:rPr>
        <w:t>蕉、猕猴桃</w:t>
      </w:r>
      <w:r>
        <w:rPr>
          <w:spacing w:val="-20"/>
        </w:rPr>
        <w:t>）</w:t>
      </w:r>
      <w:r>
        <w:rPr>
          <w:spacing w:val="-8"/>
        </w:rPr>
        <w:t>和花卉</w:t>
      </w:r>
      <w:r>
        <w:rPr/>
        <w:t>（梅花</w:t>
      </w:r>
      <w:r>
        <w:rPr>
          <w:spacing w:val="-22"/>
        </w:rPr>
        <w:t>）</w:t>
      </w:r>
      <w:r>
        <w:rPr>
          <w:spacing w:val="-4"/>
        </w:rPr>
        <w:t>作物的基因组完成解析。在园艺作物中</w:t>
      </w:r>
      <w:r>
        <w:rPr>
          <w:spacing w:val="-12"/>
        </w:rPr>
        <w:t>占重要地位的葫芦科、茄科、十字花科、蔷薇科和芸香科等均已有作</w:t>
      </w:r>
      <w:r>
        <w:rPr>
          <w:spacing w:val="-13"/>
        </w:rPr>
        <w:t>物完成了基因组序列解析。园艺学科也已全面进入基因组学时代，组</w:t>
      </w:r>
      <w:r>
        <w:rPr>
          <w:spacing w:val="-8"/>
        </w:rPr>
        <w:t>学对整个学科的发展具有重要的推动作用。</w:t>
      </w:r>
    </w:p>
    <w:p>
      <w:pPr>
        <w:pStyle w:val="BodyText"/>
        <w:spacing w:line="417" w:lineRule="auto" w:before="50"/>
        <w:ind w:left="780" w:right="1233" w:firstLine="479"/>
        <w:jc w:val="both"/>
      </w:pPr>
      <w:r>
        <w:rPr>
          <w:spacing w:val="-5"/>
        </w:rPr>
        <w:t>基于自然群体种质资源材料的变异组研究可揭示物种的起源、驯</w:t>
      </w:r>
      <w:r>
        <w:rPr>
          <w:spacing w:val="-18"/>
        </w:rPr>
        <w:t>化、分化和群体结构等群体遗传学特征，且是研究重要基因功能的</w:t>
      </w:r>
      <w:r>
        <w:rPr>
          <w:rFonts w:ascii="Times New Roman" w:hAnsi="Times New Roman" w:eastAsia="Times New Roman"/>
          <w:spacing w:val="-8"/>
        </w:rPr>
        <w:t>“</w:t>
      </w:r>
      <w:r>
        <w:rPr/>
        <w:t>加速器</w:t>
      </w:r>
      <w:r>
        <w:rPr>
          <w:rFonts w:ascii="Times New Roman" w:hAnsi="Times New Roman" w:eastAsia="Times New Roman"/>
        </w:rPr>
        <w:t>”</w:t>
      </w:r>
      <w:r>
        <w:rPr>
          <w:spacing w:val="-1"/>
        </w:rPr>
        <w:t>。在蔬菜作物中，我国率先开展了黄瓜的变异组研究，通过测</w:t>
      </w:r>
      <w:r>
        <w:rPr>
          <w:spacing w:val="-33"/>
        </w:rPr>
        <w:t>序 </w:t>
      </w:r>
      <w:r>
        <w:rPr>
          <w:rFonts w:ascii="Times New Roman" w:hAnsi="Times New Roman" w:eastAsia="Times New Roman"/>
          <w:spacing w:val="-4"/>
        </w:rPr>
        <w:t>115 </w:t>
      </w:r>
      <w:r>
        <w:rPr>
          <w:spacing w:val="-13"/>
        </w:rPr>
        <w:t>份核心种质资源，揭示了黄瓜的群体结构，阐明了 </w:t>
      </w:r>
      <w:r>
        <w:rPr>
          <w:rFonts w:ascii="Times New Roman" w:hAnsi="Times New Roman" w:eastAsia="Times New Roman"/>
        </w:rPr>
        <w:t>3 </w:t>
      </w:r>
      <w:r>
        <w:rPr/>
        <w:t>个栽培群</w:t>
      </w:r>
    </w:p>
    <w:p>
      <w:pPr>
        <w:pStyle w:val="BodyText"/>
        <w:spacing w:line="417" w:lineRule="auto"/>
        <w:ind w:left="780" w:right="1235"/>
        <w:jc w:val="both"/>
      </w:pPr>
      <w:r>
        <w:rPr>
          <w:spacing w:val="-15"/>
        </w:rPr>
        <w:t>体是如何形成的，并且鉴定了 </w:t>
      </w:r>
      <w:r>
        <w:rPr>
          <w:rFonts w:ascii="Times New Roman" w:hAnsi="Times New Roman" w:eastAsia="Times New Roman"/>
        </w:rPr>
        <w:t>100 </w:t>
      </w:r>
      <w:r>
        <w:rPr>
          <w:spacing w:val="-13"/>
        </w:rPr>
        <w:t>多个驯化和 </w:t>
      </w:r>
      <w:r>
        <w:rPr>
          <w:rFonts w:ascii="Times New Roman" w:hAnsi="Times New Roman" w:eastAsia="Times New Roman"/>
        </w:rPr>
        <w:t>400 </w:t>
      </w:r>
      <w:r>
        <w:rPr>
          <w:spacing w:val="-2"/>
        </w:rPr>
        <w:t>多个群体分化基因</w:t>
      </w:r>
      <w:r>
        <w:rPr>
          <w:spacing w:val="-11"/>
        </w:rPr>
        <w:t>组区域，为研究驯化性状提供了重要的候选基因，并利用群体分化快</w:t>
      </w:r>
      <w:r>
        <w:rPr>
          <w:spacing w:val="-8"/>
        </w:rPr>
        <w:t>速克隆果实积累 </w:t>
      </w:r>
      <w:r>
        <w:rPr>
          <w:rFonts w:ascii="Times New Roman" w:hAnsi="Times New Roman" w:eastAsia="Times New Roman"/>
          <w:spacing w:val="-3"/>
        </w:rPr>
        <w:t>β-</w:t>
      </w:r>
      <w:r>
        <w:rPr>
          <w:spacing w:val="-3"/>
        </w:rPr>
        <w:t>胡萝卜素的相关基因</w:t>
      </w:r>
      <w:r>
        <w:rPr>
          <w:rFonts w:ascii="Times New Roman" w:hAnsi="Times New Roman" w:eastAsia="Times New Roman"/>
          <w:spacing w:val="-5"/>
          <w:vertAlign w:val="superscript"/>
        </w:rPr>
        <w:t>[2]</w:t>
      </w:r>
      <w:r>
        <w:rPr>
          <w:spacing w:val="-9"/>
          <w:vertAlign w:val="baseline"/>
        </w:rPr>
        <w:t>。紧随其后，我国在番茄上</w:t>
      </w:r>
      <w:r>
        <w:rPr>
          <w:spacing w:val="-10"/>
          <w:vertAlign w:val="baseline"/>
        </w:rPr>
        <w:t>也开展了类似的工作，揭示了番茄果实由小变大的基因基础。在果树</w:t>
      </w:r>
      <w:r>
        <w:rPr>
          <w:spacing w:val="-12"/>
          <w:vertAlign w:val="baseline"/>
        </w:rPr>
        <w:t>作物中，甜橙和桃也开展了部分变异组研究，比如，我国研究者通过甜橙、柚和宽皮柑橘等的变异组研究，揭示甜橙是由柚和宽皮柑橘杂</w:t>
      </w:r>
      <w:r>
        <w:rPr>
          <w:vertAlign w:val="baseline"/>
        </w:rPr>
        <w:t>交产生</w:t>
      </w:r>
      <w:r>
        <w:rPr>
          <w:rFonts w:ascii="Times New Roman" w:hAnsi="Times New Roman" w:eastAsia="Times New Roman"/>
          <w:vertAlign w:val="superscript"/>
        </w:rPr>
        <w:t>[3]</w:t>
      </w:r>
      <w:r>
        <w:rPr>
          <w:spacing w:val="-3"/>
          <w:vertAlign w:val="baseline"/>
        </w:rPr>
        <w:t>。变异组研究将成为园艺作物研究中的一个重要方向。</w:t>
      </w:r>
    </w:p>
    <w:p>
      <w:pPr>
        <w:pStyle w:val="BodyText"/>
        <w:spacing w:line="417" w:lineRule="auto" w:before="49"/>
        <w:ind w:left="780" w:right="1169" w:firstLine="479"/>
        <w:jc w:val="both"/>
      </w:pPr>
      <w:r>
        <w:rPr>
          <w:spacing w:val="-5"/>
        </w:rPr>
        <w:t>转录组、比较基因组和全基因组关联分析是加速挖掘重要功能基</w:t>
      </w:r>
      <w:r>
        <w:rPr>
          <w:spacing w:val="-12"/>
        </w:rPr>
        <w:t>因的有效手段。在完成全基因组序列解析的园艺作物中均已有转录组</w:t>
      </w:r>
      <w:r>
        <w:rPr>
          <w:spacing w:val="-11"/>
        </w:rPr>
        <w:t>研究，对研究基因功能具有重要的指导意义，但均是利用特定材料， </w:t>
      </w:r>
      <w:r>
        <w:rPr>
          <w:spacing w:val="-9"/>
        </w:rPr>
        <w:t>且未涉及单细胞水平的转录组，限制了转录组的应用。比较基因组对</w:t>
      </w:r>
    </w:p>
    <w:p>
      <w:pPr>
        <w:spacing w:after="0" w:line="417" w:lineRule="auto"/>
        <w:jc w:val="both"/>
        <w:sectPr>
          <w:pgSz w:w="11910" w:h="16840"/>
          <w:pgMar w:header="0" w:footer="1035" w:top="1500" w:bottom="1300" w:left="1020" w:right="560"/>
        </w:sectPr>
      </w:pPr>
    </w:p>
    <w:p>
      <w:pPr>
        <w:pStyle w:val="BodyText"/>
        <w:spacing w:line="417" w:lineRule="auto" w:before="34"/>
        <w:ind w:left="780" w:right="1212"/>
        <w:jc w:val="both"/>
      </w:pPr>
      <w:r>
        <w:rPr>
          <w:spacing w:val="3"/>
        </w:rPr>
        <w:t>研究基因功能分化具有重要的意义，随着近缘物种基因组序列的获</w:t>
      </w:r>
      <w:r>
        <w:rPr>
          <w:spacing w:val="-10"/>
        </w:rPr>
        <w:t>得，比较基因组将为研究基因功能演化提供更多的信息。全基因组关</w:t>
      </w:r>
      <w:r>
        <w:rPr>
          <w:spacing w:val="-11"/>
        </w:rPr>
        <w:t>联分析已在黄瓜和番茄中发现了重要的功能基因，在更多园艺作物的</w:t>
      </w:r>
      <w:r>
        <w:rPr>
          <w:spacing w:val="-13"/>
        </w:rPr>
        <w:t>功能基因研究中将发挥更加重要的作用。我国研究人员综合利用上述</w:t>
      </w:r>
      <w:r>
        <w:rPr>
          <w:spacing w:val="-8"/>
        </w:rPr>
        <w:t>多种方法，快速鉴定了黄瓜中苦味物质生物合成和调控的基因集</w:t>
      </w:r>
      <w:r>
        <w:rPr>
          <w:rFonts w:ascii="Times New Roman" w:eastAsia="Times New Roman"/>
          <w:spacing w:val="-6"/>
          <w:vertAlign w:val="superscript"/>
        </w:rPr>
        <w:t>[2]</w:t>
      </w:r>
      <w:r>
        <w:rPr>
          <w:spacing w:val="-6"/>
          <w:vertAlign w:val="baseline"/>
        </w:rPr>
        <w:t>， </w:t>
      </w:r>
      <w:r>
        <w:rPr>
          <w:spacing w:val="-3"/>
          <w:vertAlign w:val="baseline"/>
        </w:rPr>
        <w:t>对其它园艺作物重要农艺性状遗传基础解析具有重要的指导意义。</w:t>
      </w:r>
    </w:p>
    <w:p>
      <w:pPr>
        <w:pStyle w:val="BodyText"/>
        <w:spacing w:line="417" w:lineRule="auto" w:before="50"/>
        <w:ind w:left="780" w:right="1236" w:firstLine="479"/>
        <w:jc w:val="both"/>
      </w:pPr>
      <w:r>
        <w:rPr>
          <w:spacing w:val="-6"/>
        </w:rPr>
        <w:t>目前，完成基因组序列解析的园艺作物中有一半由我国研究人员</w:t>
      </w:r>
      <w:r>
        <w:rPr>
          <w:spacing w:val="-10"/>
        </w:rPr>
        <w:t>主导或参与，可见我国在该领域已具备国际上的领先优势，同时，我</w:t>
      </w:r>
      <w:r>
        <w:rPr>
          <w:spacing w:val="-12"/>
        </w:rPr>
        <w:t>国具有丰富的园艺作物种质资源材料，因此，应充分利用我国的基因</w:t>
      </w:r>
      <w:r>
        <w:rPr>
          <w:spacing w:val="-11"/>
        </w:rPr>
        <w:t>组学和种质资源优势，进一步加强基因组学在推动园艺学科发展的作用。</w:t>
      </w:r>
    </w:p>
    <w:p>
      <w:pPr>
        <w:pStyle w:val="Heading8"/>
        <w:numPr>
          <w:ilvl w:val="2"/>
          <w:numId w:val="14"/>
        </w:numPr>
        <w:tabs>
          <w:tab w:pos="1342" w:val="left" w:leader="none"/>
        </w:tabs>
        <w:spacing w:line="409" w:lineRule="exact" w:before="0" w:after="0"/>
        <w:ind w:left="1341" w:right="0" w:hanging="562"/>
        <w:jc w:val="left"/>
      </w:pPr>
      <w:r>
        <w:rPr/>
        <w:t>园艺作物遗传规律与调控</w:t>
      </w:r>
    </w:p>
    <w:p>
      <w:pPr>
        <w:pStyle w:val="BodyText"/>
        <w:spacing w:line="417" w:lineRule="auto" w:before="265"/>
        <w:ind w:left="780" w:right="1170" w:firstLine="479"/>
        <w:jc w:val="both"/>
      </w:pPr>
      <w:r>
        <w:rPr>
          <w:spacing w:val="9"/>
        </w:rPr>
        <w:t>种质资源是园艺作物遗传规律研究以及种质创新与利用的基础</w:t>
      </w:r>
      <w:r>
        <w:rPr>
          <w:spacing w:val="-10"/>
        </w:rPr>
        <w:t>材料，各国均在发掘种质资源优势方面参与国际竞争。长时间的驯化</w:t>
      </w:r>
      <w:r>
        <w:rPr>
          <w:spacing w:val="-11"/>
        </w:rPr>
        <w:t>和育种，导致园艺作物栽培种遗传变异减小。近年来广泛收集园艺作</w:t>
      </w:r>
      <w:r>
        <w:rPr>
          <w:spacing w:val="-12"/>
        </w:rPr>
        <w:t>物具有优异品质性状和高抗性的野生资源，同时发掘自然突变体，为</w:t>
      </w:r>
      <w:r>
        <w:rPr>
          <w:spacing w:val="-9"/>
        </w:rPr>
        <w:t>分子辅助育种发掘了多态性标记和候选基因。园艺作物基因组学研究</w:t>
      </w:r>
      <w:r>
        <w:rPr>
          <w:spacing w:val="-8"/>
        </w:rPr>
        <w:t>进展迅速，黄瓜、白菜、番茄、苹果、甜橙、西瓜、梨、桃、甘蓝、</w:t>
      </w:r>
      <w:r>
        <w:rPr>
          <w:spacing w:val="-11"/>
        </w:rPr>
        <w:t>猕猴桃、梅花等园艺作物基因组序列图谱相继绘制完成，为重要农艺</w:t>
      </w:r>
      <w:r>
        <w:rPr>
          <w:spacing w:val="-13"/>
        </w:rPr>
        <w:t>性状遗传机理和调控机制研究奠定了基础。园艺作物具有不同于模式</w:t>
      </w:r>
      <w:r>
        <w:rPr>
          <w:spacing w:val="3"/>
        </w:rPr>
        <w:t>植物和大田作物的特殊性状，这些性状的解析为育种提供了理论基</w:t>
      </w:r>
      <w:r>
        <w:rPr>
          <w:spacing w:val="-11"/>
        </w:rPr>
        <w:t>础，也对栽培具有指导意义。通过构建遗传分离群体，基因组重测序</w:t>
      </w:r>
    </w:p>
    <w:p>
      <w:pPr>
        <w:spacing w:after="0" w:line="417" w:lineRule="auto"/>
        <w:jc w:val="both"/>
        <w:sectPr>
          <w:pgSz w:w="11910" w:h="16840"/>
          <w:pgMar w:header="0" w:footer="1035" w:top="1520" w:bottom="1300" w:left="1020" w:right="560"/>
        </w:sectPr>
      </w:pPr>
    </w:p>
    <w:p>
      <w:pPr>
        <w:pStyle w:val="BodyText"/>
        <w:spacing w:line="417" w:lineRule="auto" w:before="54"/>
        <w:ind w:left="780" w:right="1231"/>
        <w:jc w:val="both"/>
      </w:pPr>
      <w:r>
        <w:rPr>
          <w:spacing w:val="-19"/>
        </w:rPr>
        <w:t>结合 </w:t>
      </w:r>
      <w:r>
        <w:rPr>
          <w:rFonts w:ascii="Times New Roman" w:eastAsia="Times New Roman"/>
        </w:rPr>
        <w:t>RNA </w:t>
      </w:r>
      <w:r>
        <w:rPr>
          <w:spacing w:val="-3"/>
        </w:rPr>
        <w:t>测序，现已实现对园艺作物性状控制基因的精细定位和克隆。而果树作物由于树体高大、童期长、自交不亲和， 部分物种还</w:t>
      </w:r>
      <w:r>
        <w:rPr>
          <w:spacing w:val="-10"/>
        </w:rPr>
        <w:t>具有多胚性，构建杂交分离群体难度大；通过构建植株矮小、早开花</w:t>
      </w:r>
      <w:r>
        <w:rPr>
          <w:spacing w:val="-11"/>
        </w:rPr>
        <w:t>的模式果树作物可以有效解决以上问题。利用自然群体，结合全基因</w:t>
      </w:r>
      <w:r>
        <w:rPr>
          <w:spacing w:val="-15"/>
        </w:rPr>
        <w:t>组关联分析</w:t>
      </w:r>
      <w:r>
        <w:rPr/>
        <w:t>（</w:t>
      </w:r>
      <w:r>
        <w:rPr>
          <w:rFonts w:ascii="Times New Roman" w:eastAsia="Times New Roman"/>
        </w:rPr>
        <w:t>genome wide association study</w:t>
      </w:r>
      <w:r>
        <w:rPr>
          <w:rFonts w:ascii="Times New Roman" w:eastAsia="Times New Roman"/>
          <w:spacing w:val="-2"/>
        </w:rPr>
        <w:t>, </w:t>
      </w:r>
      <w:r>
        <w:rPr>
          <w:rFonts w:ascii="Times New Roman" w:eastAsia="Times New Roman"/>
          <w:spacing w:val="-8"/>
        </w:rPr>
        <w:t>GWAS</w:t>
      </w:r>
      <w:r>
        <w:rPr>
          <w:spacing w:val="-8"/>
        </w:rPr>
        <w:t>）</w:t>
      </w:r>
      <w:r>
        <w:rPr/>
        <w:t>也能锁定关键基因（如葡萄香气、苹果果型等相关基因）</w:t>
      </w:r>
      <w:r>
        <w:rPr>
          <w:rFonts w:ascii="Times New Roman" w:eastAsia="Times New Roman"/>
          <w:vertAlign w:val="superscript"/>
        </w:rPr>
        <w:t>[4</w:t>
      </w:r>
      <w:r>
        <w:rPr>
          <w:rFonts w:ascii="Times New Roman" w:eastAsia="Times New Roman"/>
          <w:spacing w:val="23"/>
          <w:vertAlign w:val="superscript"/>
        </w:rPr>
        <w:t>, </w:t>
      </w:r>
      <w:r>
        <w:rPr>
          <w:rFonts w:ascii="Times New Roman" w:eastAsia="Times New Roman"/>
          <w:vertAlign w:val="superscript"/>
        </w:rPr>
        <w:t>5]</w:t>
      </w:r>
      <w:r>
        <w:rPr>
          <w:spacing w:val="-2"/>
          <w:vertAlign w:val="baseline"/>
        </w:rPr>
        <w:t>。利用代谢组学描绘了</w:t>
      </w:r>
      <w:r>
        <w:rPr>
          <w:spacing w:val="-7"/>
          <w:vertAlign w:val="baseline"/>
        </w:rPr>
        <w:t>诸多园艺作物品质形成物质基础及发育过程中的变化规律，基于转录</w:t>
      </w:r>
      <w:r>
        <w:rPr>
          <w:spacing w:val="-12"/>
          <w:vertAlign w:val="baseline"/>
        </w:rPr>
        <w:t>组、蛋白组、小 </w:t>
      </w:r>
      <w:r>
        <w:rPr>
          <w:rFonts w:ascii="Times New Roman" w:eastAsia="Times New Roman"/>
          <w:vertAlign w:val="baseline"/>
        </w:rPr>
        <w:t>RNA </w:t>
      </w:r>
      <w:r>
        <w:rPr>
          <w:spacing w:val="-3"/>
          <w:vertAlign w:val="baseline"/>
        </w:rPr>
        <w:t>组学解析了特殊性状及其形成规律的调控网络</w:t>
      </w:r>
    </w:p>
    <w:p>
      <w:pPr>
        <w:pStyle w:val="BodyText"/>
        <w:spacing w:line="417" w:lineRule="auto"/>
        <w:ind w:left="780" w:right="1235"/>
        <w:jc w:val="both"/>
      </w:pPr>
      <w:r>
        <w:rPr/>
        <w:t>（</w:t>
      </w:r>
      <w:r>
        <w:rPr>
          <w:spacing w:val="-3"/>
        </w:rPr>
        <w:t>如柑橘果实成熟衰老规律与调控</w:t>
      </w:r>
      <w:r>
        <w:rPr>
          <w:rFonts w:ascii="Times New Roman" w:eastAsia="Times New Roman"/>
          <w:spacing w:val="-6"/>
          <w:vertAlign w:val="superscript"/>
        </w:rPr>
        <w:t>[6]</w:t>
      </w:r>
      <w:r>
        <w:rPr>
          <w:spacing w:val="-6"/>
          <w:vertAlign w:val="baseline"/>
        </w:rPr>
        <w:t>）</w:t>
      </w:r>
      <w:r>
        <w:rPr>
          <w:spacing w:val="-4"/>
          <w:vertAlign w:val="baseline"/>
        </w:rPr>
        <w:t>。未来的热点将以优异种质资</w:t>
      </w:r>
      <w:r>
        <w:rPr>
          <w:spacing w:val="3"/>
          <w:vertAlign w:val="baseline"/>
        </w:rPr>
        <w:t>源发掘为核心，开展全基因组测序与评价，阐释物种驯化或进化历</w:t>
      </w:r>
      <w:r>
        <w:rPr>
          <w:spacing w:val="-3"/>
          <w:vertAlign w:val="baseline"/>
        </w:rPr>
        <w:t>史，开发全基因组 </w:t>
      </w:r>
      <w:r>
        <w:rPr>
          <w:rFonts w:ascii="Times New Roman" w:eastAsia="Times New Roman"/>
          <w:vertAlign w:val="baseline"/>
        </w:rPr>
        <w:t>SNP</w:t>
      </w:r>
      <w:r>
        <w:rPr>
          <w:rFonts w:ascii="Times New Roman" w:eastAsia="Times New Roman"/>
          <w:spacing w:val="54"/>
          <w:vertAlign w:val="baseline"/>
        </w:rPr>
        <w:t> </w:t>
      </w:r>
      <w:r>
        <w:rPr>
          <w:spacing w:val="-4"/>
          <w:vertAlign w:val="baseline"/>
        </w:rPr>
        <w:t>标记进行关联分析，挖掘特异基因资源等研</w:t>
      </w:r>
      <w:r>
        <w:rPr>
          <w:vertAlign w:val="baseline"/>
        </w:rPr>
        <w:t>究。</w:t>
      </w:r>
    </w:p>
    <w:p>
      <w:pPr>
        <w:pStyle w:val="BodyText"/>
        <w:spacing w:line="417" w:lineRule="auto" w:before="49"/>
        <w:ind w:left="780" w:right="1169" w:firstLine="479"/>
        <w:jc w:val="both"/>
      </w:pPr>
      <w:r>
        <w:rPr>
          <w:spacing w:val="9"/>
        </w:rPr>
        <w:t>种质创制是园艺作物遗传研究以及资源用于育种的一个关键环</w:t>
      </w:r>
      <w:r>
        <w:rPr>
          <w:spacing w:val="-10"/>
        </w:rPr>
        <w:t>节。由于远缘物种间、种间有性杂交的生殖障碍，发掘利用野生种、</w:t>
      </w:r>
      <w:r>
        <w:rPr>
          <w:spacing w:val="-11"/>
        </w:rPr>
        <w:t>近缘种的优异基因一直是园艺作物遗传改良的重大课题。种质创制的</w:t>
      </w:r>
      <w:r>
        <w:rPr>
          <w:spacing w:val="-10"/>
        </w:rPr>
        <w:t>目的是产生可以利用的具有优异性状的育种新材料。性状改良方面， </w:t>
      </w:r>
      <w:r>
        <w:rPr>
          <w:spacing w:val="-7"/>
        </w:rPr>
        <w:t>现代品种逐步从以产量提升为主的农艺性状改良转向营养品质、加工</w:t>
      </w:r>
      <w:r>
        <w:rPr>
          <w:spacing w:val="-11"/>
        </w:rPr>
        <w:t>品质、外观品质以及与健康相关的功能性组分等性状的改良，同时更加注重抵抗生物和非生物胁迫以及农业资源有效利用的性状改良。因</w:t>
      </w:r>
      <w:r>
        <w:rPr>
          <w:spacing w:val="3"/>
        </w:rPr>
        <w:t>此，种质创制对亲本物种的选择范围更宽，涉及的生物多样性更复</w:t>
      </w:r>
      <w:r>
        <w:rPr>
          <w:spacing w:val="-12"/>
        </w:rPr>
        <w:t>杂。资源创制的技术手段方面，由远缘杂交、系统选择、无性系选育</w:t>
      </w:r>
      <w:r>
        <w:rPr>
          <w:spacing w:val="-13"/>
        </w:rPr>
        <w:t>等常规方法为主，向包括体细胞融合、以组学为基础的基因定向改良</w:t>
      </w:r>
    </w:p>
    <w:p>
      <w:pPr>
        <w:spacing w:after="0" w:line="417" w:lineRule="auto"/>
        <w:jc w:val="both"/>
        <w:sectPr>
          <w:pgSz w:w="11910" w:h="16840"/>
          <w:pgMar w:header="0" w:footer="1035" w:top="1500" w:bottom="1300" w:left="1020" w:right="560"/>
        </w:sectPr>
      </w:pPr>
    </w:p>
    <w:p>
      <w:pPr>
        <w:pStyle w:val="BodyText"/>
        <w:spacing w:line="417" w:lineRule="auto" w:before="34"/>
        <w:ind w:left="780" w:right="1235"/>
        <w:jc w:val="both"/>
      </w:pPr>
      <w:r>
        <w:rPr>
          <w:spacing w:val="-9"/>
        </w:rPr>
        <w:t>等生物技术手段与常规技术相结合的途径转变。以原生质体融合为代</w:t>
      </w:r>
      <w:r>
        <w:rPr>
          <w:spacing w:val="-13"/>
        </w:rPr>
        <w:t>表的细胞工程技术，仍是柑橘等存在有性生殖障碍的园艺作物种质创</w:t>
      </w:r>
      <w:r>
        <w:rPr>
          <w:spacing w:val="-8"/>
        </w:rPr>
        <w:t>制的重要手段</w:t>
      </w:r>
      <w:r>
        <w:rPr>
          <w:rFonts w:ascii="Times New Roman" w:eastAsia="Times New Roman"/>
          <w:spacing w:val="-5"/>
          <w:vertAlign w:val="superscript"/>
        </w:rPr>
        <w:t>[7]</w:t>
      </w:r>
      <w:r>
        <w:rPr>
          <w:spacing w:val="-5"/>
          <w:vertAlign w:val="baseline"/>
        </w:rPr>
        <w:t>。分子标记辅助育种及基因工程已逐步成为园艺作物</w:t>
      </w:r>
      <w:r>
        <w:rPr>
          <w:spacing w:val="-10"/>
          <w:vertAlign w:val="baseline"/>
        </w:rPr>
        <w:t>性状定向改良的育种新技术。在不久将来，基因组辅助育种也将应用</w:t>
      </w:r>
      <w:r>
        <w:rPr>
          <w:spacing w:val="-11"/>
          <w:vertAlign w:val="baseline"/>
        </w:rPr>
        <w:t>于园艺作物品种改良。随着更多功能基因的发掘、新型分子标记的开</w:t>
      </w:r>
      <w:r>
        <w:rPr>
          <w:spacing w:val="-9"/>
          <w:vertAlign w:val="baseline"/>
        </w:rPr>
        <w:t>发以及对主要性状遗传规律的深入解析，分子设计育种将成为园艺作</w:t>
      </w:r>
      <w:r>
        <w:rPr>
          <w:spacing w:val="-6"/>
          <w:vertAlign w:val="baseline"/>
        </w:rPr>
        <w:t>物遗传改良的主要方向。</w:t>
      </w:r>
    </w:p>
    <w:p>
      <w:pPr>
        <w:pStyle w:val="Heading8"/>
        <w:numPr>
          <w:ilvl w:val="2"/>
          <w:numId w:val="14"/>
        </w:numPr>
        <w:tabs>
          <w:tab w:pos="1342" w:val="left" w:leader="none"/>
        </w:tabs>
        <w:spacing w:line="409" w:lineRule="exact" w:before="0" w:after="0"/>
        <w:ind w:left="1341" w:right="0" w:hanging="562"/>
        <w:jc w:val="left"/>
      </w:pPr>
      <w:r>
        <w:rPr/>
        <w:t>园艺作物环境生物学</w:t>
      </w:r>
    </w:p>
    <w:p>
      <w:pPr>
        <w:pStyle w:val="BodyText"/>
        <w:spacing w:line="417" w:lineRule="auto" w:before="214"/>
        <w:ind w:left="780" w:right="1169" w:firstLine="479"/>
        <w:jc w:val="both"/>
      </w:pPr>
      <w:r>
        <w:rPr>
          <w:spacing w:val="-4"/>
        </w:rPr>
        <w:t>园艺作物性状表现由遗传与环境协同调控，其中光照、温度、水</w:t>
      </w:r>
      <w:r>
        <w:rPr>
          <w:spacing w:val="-11"/>
        </w:rPr>
        <w:t>分、营养等是最常见的环境因子，也是大家关注和研究的重点。光是植物生长发育所必不可少的能量来源，植物通过光合作用产生糖分， </w:t>
      </w:r>
      <w:r>
        <w:rPr>
          <w:spacing w:val="-8"/>
        </w:rPr>
        <w:t>糖不仅为植物的生长发育提供能量和代谢中间产物，而且具有信号功</w:t>
      </w:r>
      <w:r>
        <w:rPr>
          <w:spacing w:val="-11"/>
        </w:rPr>
        <w:t>能，它通过与激素、氮素营养等其它信号相互作用，调控园艺作物的</w:t>
      </w:r>
      <w:r>
        <w:rPr>
          <w:spacing w:val="-12"/>
        </w:rPr>
        <w:t>生长发育。糖分积累是园艺生产中追求的一个重要目标，生产栽培过程中，一系列的栽培措施，包括果园覆反光膜、合理密植等都是为了</w:t>
      </w:r>
      <w:r>
        <w:rPr>
          <w:spacing w:val="-7"/>
        </w:rPr>
        <w:t>提高园艺作物对光的利用效率而进行的栽培管理方式。</w:t>
      </w:r>
    </w:p>
    <w:p>
      <w:pPr>
        <w:pStyle w:val="BodyText"/>
        <w:spacing w:line="417" w:lineRule="auto"/>
        <w:ind w:left="780" w:right="1236" w:firstLine="479"/>
      </w:pPr>
      <w:r>
        <w:rPr>
          <w:spacing w:val="-6"/>
        </w:rPr>
        <w:t>温度不仅影响园艺作物的生长发育和品质形成，也是园艺作物栽</w:t>
      </w:r>
      <w:r>
        <w:rPr>
          <w:spacing w:val="-12"/>
        </w:rPr>
        <w:t>培区域的限制因子。近年来，随着科技水平的提高与设施园艺栽培的</w:t>
      </w:r>
      <w:r>
        <w:rPr>
          <w:spacing w:val="-11"/>
        </w:rPr>
        <w:t>广泛应用，多种园艺作物实现了反季节栽培和全年供应。日光温室是</w:t>
      </w:r>
      <w:r>
        <w:rPr>
          <w:spacing w:val="-3"/>
        </w:rPr>
        <w:t>我国设施蔬菜生产的主要基地，针对设施园艺生产中相对封闭的环境，易造成光照不足、</w:t>
      </w:r>
      <w:r>
        <w:rPr>
          <w:rFonts w:ascii="Times New Roman" w:eastAsia="Times New Roman"/>
        </w:rPr>
        <w:t>CO</w:t>
      </w:r>
      <w:r>
        <w:rPr>
          <w:rFonts w:ascii="Times New Roman" w:eastAsia="Times New Roman"/>
          <w:vertAlign w:val="subscript"/>
        </w:rPr>
        <w:t>2</w:t>
      </w:r>
      <w:r>
        <w:rPr>
          <w:spacing w:val="-3"/>
          <w:vertAlign w:val="baseline"/>
        </w:rPr>
        <w:t>含量偏低等，可以通过补充光照和</w:t>
      </w:r>
      <w:r>
        <w:rPr>
          <w:rFonts w:ascii="Times New Roman" w:eastAsia="Times New Roman"/>
          <w:vertAlign w:val="baseline"/>
        </w:rPr>
        <w:t>CO</w:t>
      </w:r>
      <w:r>
        <w:rPr>
          <w:rFonts w:ascii="Times New Roman" w:eastAsia="Times New Roman"/>
          <w:vertAlign w:val="subscript"/>
        </w:rPr>
        <w:t>2</w:t>
      </w:r>
      <w:r>
        <w:rPr>
          <w:vertAlign w:val="baseline"/>
        </w:rPr>
        <w:t>气</w:t>
      </w:r>
      <w:r>
        <w:rPr>
          <w:spacing w:val="-2"/>
          <w:vertAlign w:val="baseline"/>
        </w:rPr>
        <w:t>肥等方式进行调节</w:t>
      </w:r>
      <w:r>
        <w:rPr>
          <w:rFonts w:ascii="Times New Roman" w:eastAsia="Times New Roman"/>
          <w:spacing w:val="-3"/>
          <w:vertAlign w:val="superscript"/>
        </w:rPr>
        <w:t>[8]</w:t>
      </w:r>
      <w:r>
        <w:rPr>
          <w:spacing w:val="-6"/>
          <w:vertAlign w:val="baseline"/>
        </w:rPr>
        <w:t>。对于多年生果树的设施栽培，可以通过化学处</w:t>
      </w:r>
    </w:p>
    <w:p>
      <w:pPr>
        <w:spacing w:after="0" w:line="417" w:lineRule="auto"/>
        <w:sectPr>
          <w:pgSz w:w="11910" w:h="16840"/>
          <w:pgMar w:header="0" w:footer="1035" w:top="1520" w:bottom="1300" w:left="1020" w:right="560"/>
        </w:sectPr>
      </w:pPr>
    </w:p>
    <w:p>
      <w:pPr>
        <w:pStyle w:val="BodyText"/>
        <w:spacing w:line="417" w:lineRule="auto" w:before="34"/>
        <w:ind w:left="780" w:right="1235"/>
      </w:pPr>
      <w:r>
        <w:rPr>
          <w:spacing w:val="-11"/>
        </w:rPr>
        <w:t>理打破休眠，改变果树的季节性采收模式，也可以实现部分果树的反</w:t>
      </w:r>
      <w:r>
        <w:rPr>
          <w:spacing w:val="-1"/>
        </w:rPr>
        <w:t>季节生产。</w:t>
      </w:r>
    </w:p>
    <w:p>
      <w:pPr>
        <w:pStyle w:val="BodyText"/>
        <w:spacing w:line="417" w:lineRule="auto"/>
        <w:ind w:left="780" w:right="1167" w:firstLine="479"/>
        <w:jc w:val="both"/>
      </w:pPr>
      <w:r>
        <w:rPr>
          <w:spacing w:val="-5"/>
        </w:rPr>
        <w:t>随着我国经济的快速发展，水资源短缺的现象日益突出，我国的</w:t>
      </w:r>
      <w:r>
        <w:rPr>
          <w:spacing w:val="-19"/>
        </w:rPr>
        <w:t>许多园艺作物</w:t>
      </w:r>
      <w:r>
        <w:rPr>
          <w:spacing w:val="-3"/>
        </w:rPr>
        <w:t>（</w:t>
      </w:r>
      <w:r>
        <w:rPr>
          <w:spacing w:val="-2"/>
        </w:rPr>
        <w:t>尤其是果树</w:t>
      </w:r>
      <w:r>
        <w:rPr>
          <w:spacing w:val="-97"/>
        </w:rPr>
        <w:t>）</w:t>
      </w:r>
      <w:r>
        <w:rPr>
          <w:spacing w:val="-11"/>
        </w:rPr>
        <w:t>主要种植在丘陵山地等缺水地带，因此， 节水灌溉是目前园艺产业研究的一个重要方向，喷灌、滴灌等灌溉方</w:t>
      </w:r>
      <w:r>
        <w:rPr>
          <w:spacing w:val="-12"/>
        </w:rPr>
        <w:t>式逐步替代大水漫灌，在节水上取得良好效果。研究园艺作物生长发育过程中的需水规律，提高水分利用效率，依然是园艺作物环境调控</w:t>
      </w:r>
      <w:r>
        <w:rPr>
          <w:spacing w:val="-7"/>
        </w:rPr>
        <w:t>的重要研究方向。</w:t>
      </w:r>
    </w:p>
    <w:p>
      <w:pPr>
        <w:pStyle w:val="BodyText"/>
        <w:spacing w:line="417" w:lineRule="auto"/>
        <w:ind w:left="780" w:right="1233" w:firstLine="479"/>
        <w:jc w:val="both"/>
      </w:pPr>
      <w:r>
        <w:rPr>
          <w:spacing w:val="-5"/>
        </w:rPr>
        <w:t>营养元素对植物生长发育起着至关重要作用，尤其是生产中常用</w:t>
      </w:r>
      <w:r>
        <w:rPr>
          <w:spacing w:val="-12"/>
        </w:rPr>
        <w:t>到的氮磷钾肥料，对园艺作物的产量和质量影响巨大。目前，人们为</w:t>
      </w:r>
      <w:r>
        <w:rPr>
          <w:spacing w:val="-13"/>
        </w:rPr>
        <w:t>了追求高产，大量施用化肥，引起了一系列问题，如园艺产品中的硝态氮超标、病虫害加剧、土壤板结酸化、水体富营养化等，严重影响</w:t>
      </w:r>
      <w:r>
        <w:rPr>
          <w:spacing w:val="-14"/>
        </w:rPr>
        <w:t>了农业可持续发展。我们已经初步了解了园艺作物对重要营养物质的吸收规律，同时，植物根系可以改变构型和吸收方式对营养环境作出</w:t>
      </w:r>
      <w:r>
        <w:rPr>
          <w:spacing w:val="-12"/>
        </w:rPr>
        <w:t>响应，提高对营养元素的吸收；另外，局部施氮可以改善根系的冗余</w:t>
      </w:r>
      <w:r>
        <w:rPr>
          <w:spacing w:val="-7"/>
        </w:rPr>
        <w:t>状况，实现对肥料的高效利用。</w:t>
      </w:r>
    </w:p>
    <w:p>
      <w:pPr>
        <w:pStyle w:val="BodyText"/>
        <w:spacing w:line="417" w:lineRule="auto"/>
        <w:ind w:left="780" w:right="1169" w:firstLine="479"/>
        <w:jc w:val="both"/>
      </w:pPr>
      <w:r>
        <w:rPr>
          <w:spacing w:val="-4"/>
        </w:rPr>
        <w:t>植物在自然界中不可避免地会遭遇生物</w:t>
      </w:r>
      <w:r>
        <w:rPr/>
        <w:t>（</w:t>
      </w:r>
      <w:r>
        <w:rPr>
          <w:spacing w:val="-3"/>
        </w:rPr>
        <w:t>病害、虫害</w:t>
      </w:r>
      <w:r>
        <w:rPr>
          <w:spacing w:val="-8"/>
        </w:rPr>
        <w:t>）</w:t>
      </w:r>
      <w:r>
        <w:rPr/>
        <w:t>及非生物</w:t>
      </w:r>
      <w:r>
        <w:rPr>
          <w:spacing w:val="-8"/>
        </w:rPr>
        <w:t>胁迫</w:t>
      </w:r>
      <w:r>
        <w:rPr/>
        <w:t>（</w:t>
      </w:r>
      <w:r>
        <w:rPr>
          <w:spacing w:val="-8"/>
        </w:rPr>
        <w:t>炎热、干燥、寒冷、潮湿、重金属等</w:t>
      </w:r>
      <w:r>
        <w:rPr>
          <w:spacing w:val="-22"/>
        </w:rPr>
        <w:t>）</w:t>
      </w:r>
      <w:r>
        <w:rPr>
          <w:spacing w:val="-4"/>
        </w:rPr>
        <w:t>。而全球气候变化又加</w:t>
      </w:r>
      <w:r>
        <w:rPr>
          <w:spacing w:val="-11"/>
        </w:rPr>
        <w:t>剧了上述胁迫，尤其是非生物胁迫对植物的危害。为应对各类胁迫， </w:t>
      </w:r>
      <w:r>
        <w:rPr>
          <w:spacing w:val="-9"/>
        </w:rPr>
        <w:t>结合当今快速发展的基因组学、功能基因组学及生物信息学，世界主</w:t>
      </w:r>
      <w:r>
        <w:rPr>
          <w:spacing w:val="-11"/>
        </w:rPr>
        <w:t>要农业国家纷纷以提高作物的抗逆性为重点，评价了各种作物包括其</w:t>
      </w:r>
      <w:r>
        <w:rPr>
          <w:spacing w:val="-12"/>
        </w:rPr>
        <w:t>野生种的抗逆性，研究了抗逆作物的分子遗传机制，并从育种和栽培</w:t>
      </w:r>
    </w:p>
    <w:p>
      <w:pPr>
        <w:spacing w:after="0" w:line="417" w:lineRule="auto"/>
        <w:jc w:val="both"/>
        <w:sectPr>
          <w:pgSz w:w="11910" w:h="16840"/>
          <w:pgMar w:header="0" w:footer="1035" w:top="1520" w:bottom="1300" w:left="1020" w:right="560"/>
        </w:sectPr>
      </w:pPr>
    </w:p>
    <w:p>
      <w:pPr>
        <w:pStyle w:val="BodyText"/>
        <w:spacing w:line="417" w:lineRule="auto" w:before="34"/>
        <w:ind w:left="780" w:right="1233"/>
        <w:jc w:val="both"/>
      </w:pPr>
      <w:r>
        <w:rPr>
          <w:spacing w:val="-10"/>
        </w:rPr>
        <w:t>技术方面形成了一些应对措施等。在此背景下，园艺作物的抗逆生物</w:t>
      </w:r>
      <w:r>
        <w:rPr>
          <w:spacing w:val="-11"/>
        </w:rPr>
        <w:t>学研究也取得一些进展，如已经系统评价了一些园艺作物种质资源如苹果的抗逆性</w:t>
      </w:r>
      <w:r>
        <w:rPr/>
        <w:t>（</w:t>
      </w:r>
      <w:r>
        <w:rPr>
          <w:spacing w:val="-7"/>
        </w:rPr>
        <w:t>抗早期落叶病、干旱等</w:t>
      </w:r>
      <w:r>
        <w:rPr>
          <w:spacing w:val="-25"/>
        </w:rPr>
        <w:t>）</w:t>
      </w:r>
      <w:r>
        <w:rPr>
          <w:spacing w:val="-7"/>
        </w:rPr>
        <w:t>，并分离了一些抗逆相关基</w:t>
      </w:r>
      <w:r>
        <w:rPr>
          <w:spacing w:val="-4"/>
        </w:rPr>
        <w:t>因，其调控网络也逐渐清晰</w:t>
      </w:r>
      <w:r>
        <w:rPr>
          <w:rFonts w:ascii="Times New Roman" w:eastAsia="Times New Roman"/>
          <w:spacing w:val="-4"/>
          <w:vertAlign w:val="superscript"/>
        </w:rPr>
        <w:t>[9]</w:t>
      </w:r>
      <w:r>
        <w:rPr>
          <w:spacing w:val="-3"/>
          <w:vertAlign w:val="baseline"/>
        </w:rPr>
        <w:t>；已从一些园艺作物中鉴定了与抗逆有关的</w:t>
      </w:r>
      <w:r>
        <w:rPr>
          <w:rFonts w:ascii="Times New Roman" w:eastAsia="Times New Roman"/>
          <w:spacing w:val="-3"/>
          <w:vertAlign w:val="baseline"/>
        </w:rPr>
        <w:t>QTLs</w:t>
      </w:r>
      <w:r>
        <w:rPr>
          <w:spacing w:val="-3"/>
          <w:vertAlign w:val="baseline"/>
        </w:rPr>
        <w:t>和小分子</w:t>
      </w:r>
      <w:r>
        <w:rPr>
          <w:rFonts w:ascii="Times New Roman" w:eastAsia="Times New Roman"/>
          <w:vertAlign w:val="baseline"/>
        </w:rPr>
        <w:t>RNA</w:t>
      </w:r>
      <w:r>
        <w:rPr>
          <w:spacing w:val="-3"/>
          <w:vertAlign w:val="baseline"/>
        </w:rPr>
        <w:t>，也形成了基于生长调节剂应用等提高园艺作物抗逆性的措施。</w:t>
      </w:r>
    </w:p>
    <w:p>
      <w:pPr>
        <w:pStyle w:val="Heading8"/>
        <w:numPr>
          <w:ilvl w:val="1"/>
          <w:numId w:val="14"/>
        </w:numPr>
        <w:tabs>
          <w:tab w:pos="1134" w:val="left" w:leader="none"/>
        </w:tabs>
        <w:spacing w:line="410" w:lineRule="exact" w:before="0" w:after="0"/>
        <w:ind w:left="1133" w:right="0" w:hanging="354"/>
        <w:jc w:val="left"/>
      </w:pPr>
      <w:r>
        <w:rPr/>
        <w:t>园艺作物发育与采后生物学</w:t>
      </w:r>
    </w:p>
    <w:p>
      <w:pPr>
        <w:pStyle w:val="ListParagraph"/>
        <w:numPr>
          <w:ilvl w:val="2"/>
          <w:numId w:val="14"/>
        </w:numPr>
        <w:tabs>
          <w:tab w:pos="1342" w:val="left" w:leader="none"/>
        </w:tabs>
        <w:spacing w:line="240" w:lineRule="auto" w:before="202" w:after="0"/>
        <w:ind w:left="1341" w:right="0" w:hanging="562"/>
        <w:jc w:val="left"/>
        <w:rPr>
          <w:rFonts w:ascii="等线" w:eastAsia="等线" w:hint="eastAsia"/>
          <w:b/>
          <w:sz w:val="28"/>
        </w:rPr>
      </w:pPr>
      <w:r>
        <w:rPr>
          <w:rFonts w:ascii="等线" w:eastAsia="等线" w:hint="eastAsia"/>
          <w:b/>
          <w:sz w:val="28"/>
        </w:rPr>
        <w:t>园艺作物发育生物学</w:t>
      </w:r>
    </w:p>
    <w:p>
      <w:pPr>
        <w:pStyle w:val="BodyText"/>
        <w:spacing w:line="417" w:lineRule="auto" w:before="215"/>
        <w:ind w:left="780" w:right="1235" w:firstLine="419"/>
      </w:pPr>
      <w:r>
        <w:rPr>
          <w:spacing w:val="-3"/>
        </w:rPr>
        <w:t>园艺作物性状表现随发育阶段而发生变化，研究其规律及内在机</w:t>
      </w:r>
      <w:r>
        <w:rPr>
          <w:spacing w:val="-10"/>
        </w:rPr>
        <w:t>制是园艺作物发育生物学的核心内容。园艺作物既有与其它植物共有</w:t>
      </w:r>
      <w:r>
        <w:rPr>
          <w:spacing w:val="-3"/>
        </w:rPr>
        <w:t>的科学问题，如自交不亲和，也有不同于模式植物或大田作物的特</w:t>
      </w:r>
      <w:r>
        <w:rPr>
          <w:spacing w:val="-7"/>
        </w:rPr>
        <w:t>性，如不少蔬菜作物的植株形态构成的基本器官</w:t>
      </w:r>
      <w:r>
        <w:rPr/>
        <w:t>（</w:t>
      </w:r>
      <w:r>
        <w:rPr>
          <w:spacing w:val="-7"/>
        </w:rPr>
        <w:t>根、茎或叶</w:t>
      </w:r>
      <w:r>
        <w:rPr>
          <w:spacing w:val="-24"/>
        </w:rPr>
        <w:t>）</w:t>
      </w:r>
      <w:r>
        <w:rPr>
          <w:spacing w:val="-2"/>
        </w:rPr>
        <w:t>变态</w:t>
      </w:r>
      <w:r>
        <w:rPr>
          <w:spacing w:val="-11"/>
        </w:rPr>
        <w:t>为营养贮藏器官，以及花卉的花期和花器官形成调控在很大程度上影</w:t>
      </w:r>
      <w:r>
        <w:rPr>
          <w:spacing w:val="-7"/>
        </w:rPr>
        <w:t>响了花卉的观赏性。</w:t>
      </w:r>
    </w:p>
    <w:p>
      <w:pPr>
        <w:pStyle w:val="BodyText"/>
        <w:spacing w:line="417" w:lineRule="auto"/>
        <w:ind w:left="780" w:right="1235" w:firstLine="479"/>
      </w:pPr>
      <w:r>
        <w:rPr>
          <w:spacing w:val="-3"/>
        </w:rPr>
        <w:t>自交不亲和性是植物界普遍现象，大约</w:t>
      </w:r>
      <w:r>
        <w:rPr>
          <w:rFonts w:ascii="Times New Roman" w:eastAsia="Times New Roman"/>
          <w:spacing w:val="-2"/>
        </w:rPr>
        <w:t>50%</w:t>
      </w:r>
      <w:r>
        <w:rPr>
          <w:spacing w:val="-1"/>
        </w:rPr>
        <w:t>的显花植物有此特 </w:t>
      </w:r>
      <w:r>
        <w:rPr>
          <w:spacing w:val="-11"/>
        </w:rPr>
        <w:t>性，同时远缘物种杂交又存在生殖障碍，这些在保证物种的遗传稳定</w:t>
      </w:r>
      <w:r>
        <w:rPr>
          <w:spacing w:val="-23"/>
        </w:rPr>
        <w:t>性、多样性和适应性方面发挥了重要作用，但也对农业生产的制种</w:t>
      </w:r>
      <w:r>
        <w:rPr>
          <w:spacing w:val="-3"/>
        </w:rPr>
        <w:t>（</w:t>
      </w:r>
      <w:r>
        <w:rPr/>
        <w:t>如</w:t>
      </w:r>
      <w:r>
        <w:rPr>
          <w:spacing w:val="-2"/>
        </w:rPr>
        <w:t>远缘杂交育种等</w:t>
      </w:r>
      <w:r>
        <w:rPr>
          <w:spacing w:val="-34"/>
        </w:rPr>
        <w:t>）</w:t>
      </w:r>
      <w:r>
        <w:rPr>
          <w:spacing w:val="-11"/>
        </w:rPr>
        <w:t>和栽培</w:t>
      </w:r>
      <w:r>
        <w:rPr>
          <w:spacing w:val="-3"/>
        </w:rPr>
        <w:t>（如需要异花授粉不便于省力化栽培</w:t>
      </w:r>
      <w:r>
        <w:rPr>
          <w:spacing w:val="-34"/>
        </w:rPr>
        <w:t>）</w:t>
      </w:r>
      <w:r>
        <w:rPr/>
        <w:t>等环</w:t>
      </w:r>
      <w:r>
        <w:rPr>
          <w:spacing w:val="-10"/>
        </w:rPr>
        <w:t>节带来不便。近来，在植物自交不亲和与生殖隔离机制及其调控方面</w:t>
      </w:r>
      <w:r>
        <w:rPr>
          <w:spacing w:val="-13"/>
        </w:rPr>
        <w:t>取得了较大进展，也展现了农业生产应用的良好前景。在番茄上，基于茄族物种间生殖隔离障碍规律与机制的阐明，通过转化带有生殖障</w:t>
      </w:r>
      <w:r>
        <w:rPr>
          <w:spacing w:val="-1"/>
        </w:rPr>
        <w:t>碍因子</w:t>
      </w:r>
      <w:r>
        <w:rPr>
          <w:rFonts w:ascii="Times New Roman" w:eastAsia="Times New Roman"/>
          <w:i/>
          <w:spacing w:val="-1"/>
        </w:rPr>
        <w:t>ShSLF</w:t>
      </w:r>
      <w:r>
        <w:rPr/>
        <w:t>和</w:t>
      </w:r>
      <w:r>
        <w:rPr>
          <w:rFonts w:ascii="Times New Roman" w:eastAsia="Times New Roman"/>
          <w:i/>
        </w:rPr>
        <w:t>ShCUL1</w:t>
      </w:r>
      <w:r>
        <w:rPr>
          <w:spacing w:val="-13"/>
        </w:rPr>
        <w:t>基因的栽培番茄，中国科学院遗传与发育生物</w:t>
      </w:r>
    </w:p>
    <w:p>
      <w:pPr>
        <w:spacing w:after="0" w:line="417" w:lineRule="auto"/>
        <w:sectPr>
          <w:pgSz w:w="11910" w:h="16840"/>
          <w:pgMar w:header="0" w:footer="1035" w:top="1520" w:bottom="1300" w:left="1020" w:right="560"/>
        </w:sectPr>
      </w:pPr>
    </w:p>
    <w:p>
      <w:pPr>
        <w:pStyle w:val="BodyText"/>
        <w:spacing w:line="417" w:lineRule="auto" w:before="34"/>
        <w:ind w:left="780" w:right="1237"/>
      </w:pPr>
      <w:r>
        <w:rPr>
          <w:spacing w:val="-3"/>
        </w:rPr>
        <w:t>学研究所薛勇彪研究组成功克服栽培番茄与秘鲁番茄之间的杂交障</w:t>
      </w:r>
      <w:r>
        <w:rPr>
          <w:spacing w:val="-12"/>
        </w:rPr>
        <w:t>碍，使得远缘杂交育种成为可能；另一方面，英国科学家将虞美人的</w:t>
      </w:r>
      <w:r>
        <w:rPr>
          <w:spacing w:val="-10"/>
        </w:rPr>
        <w:t>自交不亲和相关基因导入拟南芥，使得原本自交亲和的拟南芥获得了</w:t>
      </w:r>
      <w:r>
        <w:rPr>
          <w:spacing w:val="-7"/>
        </w:rPr>
        <w:t>自交不亲和的特性</w:t>
      </w:r>
      <w:r>
        <w:rPr>
          <w:rFonts w:ascii="Times New Roman" w:eastAsia="Times New Roman"/>
          <w:spacing w:val="-15"/>
          <w:vertAlign w:val="superscript"/>
        </w:rPr>
        <w:t>[10]</w:t>
      </w:r>
      <w:r>
        <w:rPr>
          <w:spacing w:val="-10"/>
          <w:vertAlign w:val="baseline"/>
        </w:rPr>
        <w:t>。考虑到远缘杂交障碍的普遍性以及自交不亲和</w:t>
      </w:r>
      <w:r>
        <w:rPr>
          <w:spacing w:val="-7"/>
          <w:vertAlign w:val="baseline"/>
        </w:rPr>
        <w:t>性在园艺作物</w:t>
      </w:r>
      <w:r>
        <w:rPr>
          <w:spacing w:val="-3"/>
          <w:vertAlign w:val="baseline"/>
        </w:rPr>
        <w:t>（</w:t>
      </w:r>
      <w:r>
        <w:rPr>
          <w:spacing w:val="-6"/>
          <w:vertAlign w:val="baseline"/>
        </w:rPr>
        <w:t>蔷薇科、茄科和车前科中的不少植物是园艺作物</w:t>
      </w:r>
      <w:r>
        <w:rPr>
          <w:spacing w:val="-32"/>
          <w:vertAlign w:val="baseline"/>
        </w:rPr>
        <w:t>）</w:t>
      </w:r>
      <w:r>
        <w:rPr>
          <w:vertAlign w:val="baseline"/>
        </w:rPr>
        <w:t>上</w:t>
      </w:r>
      <w:r>
        <w:rPr>
          <w:spacing w:val="-11"/>
          <w:vertAlign w:val="baseline"/>
        </w:rPr>
        <w:t>的广泛性，这一领域的深入研究和突破将有望带动产业技术的巨大变</w:t>
      </w:r>
      <w:r>
        <w:rPr>
          <w:vertAlign w:val="baseline"/>
        </w:rPr>
        <w:t>革。</w:t>
      </w:r>
    </w:p>
    <w:p>
      <w:pPr>
        <w:pStyle w:val="BodyText"/>
        <w:spacing w:line="417" w:lineRule="auto"/>
        <w:ind w:left="780" w:right="1169" w:firstLine="479"/>
      </w:pPr>
      <w:r>
        <w:rPr>
          <w:spacing w:val="-5"/>
        </w:rPr>
        <w:t>园艺作物的根、茎、叶、花和果实除了发挥器官功能外，还是贮</w:t>
      </w:r>
      <w:r>
        <w:rPr>
          <w:spacing w:val="-10"/>
        </w:rPr>
        <w:t>存多种与人类健康营养成分有关的产品器官。它们在大小、形状、表</w:t>
      </w:r>
      <w:r>
        <w:rPr>
          <w:spacing w:val="-13"/>
        </w:rPr>
        <w:t>面特征和质地上的变化影响产量和品质。根、茎、叶、花和果实等基</w:t>
      </w:r>
      <w:r>
        <w:rPr>
          <w:spacing w:val="-8"/>
        </w:rPr>
        <w:t>本器官变态为营养贮藏器官是园艺作物有别于模式植物和大田作物 </w:t>
      </w:r>
      <w:r>
        <w:rPr>
          <w:spacing w:val="-11"/>
        </w:rPr>
        <w:t>的特色科学问题，对其开展研究不仅可以丰富发育生物学理论，对于</w:t>
      </w:r>
      <w:r>
        <w:rPr>
          <w:spacing w:val="-12"/>
        </w:rPr>
        <w:t>栽培调控园艺作物器官发育、产量和品质以及育种均具有重要意义。</w:t>
      </w:r>
      <w:r>
        <w:rPr>
          <w:spacing w:val="-10"/>
        </w:rPr>
        <w:t>近年来，就蔬菜叶片变态的基因调控机制取得了较好进展，研究表明小分子</w:t>
      </w:r>
      <w:r>
        <w:rPr>
          <w:rFonts w:ascii="Times New Roman" w:eastAsia="Times New Roman"/>
          <w:spacing w:val="-2"/>
        </w:rPr>
        <w:t>RNA</w:t>
      </w:r>
      <w:r>
        <w:rPr>
          <w:spacing w:val="-3"/>
        </w:rPr>
        <w:t>介导的表观遗传在大白菜叶球形成过程中有重要调控作用，其中</w:t>
      </w:r>
      <w:r>
        <w:rPr>
          <w:rFonts w:ascii="Times New Roman" w:eastAsia="Times New Roman"/>
          <w:spacing w:val="-3"/>
        </w:rPr>
        <w:t>mi319a</w:t>
      </w:r>
      <w:r>
        <w:rPr>
          <w:spacing w:val="-3"/>
        </w:rPr>
        <w:t>、</w:t>
      </w:r>
      <w:r>
        <w:rPr>
          <w:rFonts w:ascii="Times New Roman" w:eastAsia="Times New Roman"/>
        </w:rPr>
        <w:t>miR156</w:t>
      </w:r>
      <w:r>
        <w:rPr/>
        <w:t>和</w:t>
      </w:r>
      <w:r>
        <w:rPr>
          <w:rFonts w:ascii="Times New Roman" w:eastAsia="Times New Roman"/>
        </w:rPr>
        <w:t>miR165/6</w:t>
      </w:r>
      <w:r>
        <w:rPr>
          <w:spacing w:val="-3"/>
        </w:rPr>
        <w:t>分别调控叶球形状、形成时间和大小</w:t>
      </w:r>
      <w:r>
        <w:rPr>
          <w:rFonts w:ascii="Times New Roman" w:eastAsia="Times New Roman"/>
          <w:spacing w:val="-5"/>
          <w:vertAlign w:val="superscript"/>
        </w:rPr>
        <w:t>[11]</w:t>
      </w:r>
      <w:r>
        <w:rPr>
          <w:spacing w:val="-11"/>
          <w:vertAlign w:val="baseline"/>
        </w:rPr>
        <w:t>；控制羽衣甘蓝颜色、生菜颜色、株型、叶型、叶夹角、茎刺、叶缘卷曲、结球性等性状的相关基因已得到定位或分离。相对而</w:t>
      </w:r>
      <w:r>
        <w:rPr>
          <w:spacing w:val="-10"/>
          <w:vertAlign w:val="baseline"/>
        </w:rPr>
        <w:t>言，花、茎和根等器官变态的研究进展仍然较少，有待进一步开展。</w:t>
      </w:r>
    </w:p>
    <w:p>
      <w:pPr>
        <w:pStyle w:val="BodyText"/>
        <w:spacing w:line="417" w:lineRule="auto"/>
        <w:ind w:left="780" w:right="1169" w:firstLine="479"/>
        <w:jc w:val="both"/>
      </w:pPr>
      <w:r>
        <w:rPr>
          <w:spacing w:val="-5"/>
        </w:rPr>
        <w:t>开花是植物个体发育最重要的事件，花期调控是花卉等园艺作物</w:t>
      </w:r>
      <w:r>
        <w:rPr>
          <w:spacing w:val="-9"/>
        </w:rPr>
        <w:t>科学研究和产业发展的一个重要主题。一朵花的形成包括花芽诱导、</w:t>
      </w:r>
      <w:r>
        <w:rPr>
          <w:spacing w:val="-3"/>
        </w:rPr>
        <w:t>花原基形成和花器官发育等阶段，而每个阶段均受诸多内外因子影</w:t>
      </w:r>
    </w:p>
    <w:p>
      <w:pPr>
        <w:spacing w:after="0" w:line="417" w:lineRule="auto"/>
        <w:jc w:val="both"/>
        <w:sectPr>
          <w:pgSz w:w="11910" w:h="16840"/>
          <w:pgMar w:header="0" w:footer="1035" w:top="1520" w:bottom="1300" w:left="1020" w:right="560"/>
        </w:sectPr>
      </w:pPr>
    </w:p>
    <w:p>
      <w:pPr>
        <w:pStyle w:val="BodyText"/>
        <w:spacing w:line="417" w:lineRule="auto" w:before="34"/>
        <w:ind w:left="780" w:right="1235"/>
      </w:pPr>
      <w:r>
        <w:rPr>
          <w:spacing w:val="-12"/>
        </w:rPr>
        <w:t>响，由一系列相关基因发挥调控作用。近年来研究鉴别了参与光周期</w:t>
      </w:r>
      <w:r>
        <w:rPr>
          <w:spacing w:val="-3"/>
        </w:rPr>
        <w:t>调控植物开花的开关基因开花素以及对之起负调控作用的反开花</w:t>
      </w:r>
    </w:p>
    <w:p>
      <w:pPr>
        <w:pStyle w:val="BodyText"/>
        <w:spacing w:line="417" w:lineRule="auto"/>
        <w:ind w:left="780" w:right="1166"/>
      </w:pPr>
      <w:r>
        <w:rPr>
          <w:spacing w:val="-3"/>
        </w:rPr>
        <w:t>素，鉴别了营养顶端分化为生殖顶端以及后者向前者逆转的相关基 </w:t>
      </w:r>
      <w:r>
        <w:rPr>
          <w:spacing w:val="-10"/>
        </w:rPr>
        <w:t>因，解析了调控网络，鉴别了开花素受体蛋白以及下游作用元件</w:t>
      </w:r>
      <w:r>
        <w:rPr>
          <w:rFonts w:ascii="Times New Roman" w:eastAsia="Times New Roman"/>
          <w:vertAlign w:val="superscript"/>
        </w:rPr>
        <w:t>[12]</w:t>
      </w:r>
      <w:r>
        <w:rPr>
          <w:spacing w:val="-15"/>
          <w:vertAlign w:val="baseline"/>
        </w:rPr>
        <w:t>。</w:t>
      </w:r>
      <w:r>
        <w:rPr>
          <w:spacing w:val="-9"/>
          <w:vertAlign w:val="baseline"/>
        </w:rPr>
        <w:t>研究还揭示了不同植物，如菊花与拟南芥的光周期途径存在差异</w:t>
      </w:r>
      <w:r>
        <w:rPr>
          <w:rFonts w:ascii="Times New Roman" w:eastAsia="Times New Roman"/>
          <w:spacing w:val="-3"/>
          <w:vertAlign w:val="superscript"/>
        </w:rPr>
        <w:t>[13]</w:t>
      </w:r>
      <w:r>
        <w:rPr>
          <w:spacing w:val="-3"/>
          <w:vertAlign w:val="baseline"/>
        </w:rPr>
        <w:t>， 因而需要就具体园艺作物种类开展深入的研究。</w:t>
      </w:r>
    </w:p>
    <w:p>
      <w:pPr>
        <w:pStyle w:val="Heading8"/>
        <w:numPr>
          <w:ilvl w:val="2"/>
          <w:numId w:val="14"/>
        </w:numPr>
        <w:tabs>
          <w:tab w:pos="1342" w:val="left" w:leader="none"/>
        </w:tabs>
        <w:spacing w:line="410" w:lineRule="exact" w:before="0" w:after="0"/>
        <w:ind w:left="1341" w:right="0" w:hanging="562"/>
        <w:jc w:val="left"/>
      </w:pPr>
      <w:r>
        <w:rPr/>
        <w:t>园艺作物品质生物学</w:t>
      </w:r>
    </w:p>
    <w:p>
      <w:pPr>
        <w:pStyle w:val="BodyText"/>
        <w:spacing w:line="417" w:lineRule="auto" w:before="214"/>
        <w:ind w:left="780" w:right="1169" w:firstLine="479"/>
        <w:jc w:val="both"/>
      </w:pPr>
      <w:r>
        <w:rPr>
          <w:spacing w:val="-5"/>
        </w:rPr>
        <w:t>随着产业快速发展和园艺产品总产量的迅猛提高，发育期间的品</w:t>
      </w:r>
      <w:r>
        <w:rPr>
          <w:spacing w:val="-8"/>
        </w:rPr>
        <w:t>质性状变化及机制得到了越来越密切的关注。品质包括外观和内质， </w:t>
      </w:r>
      <w:r>
        <w:rPr>
          <w:spacing w:val="-9"/>
        </w:rPr>
        <w:t>其中色泽和风味分别是外观和内在品质的核心，风味包括由糖、有机</w:t>
      </w:r>
      <w:r>
        <w:rPr>
          <w:spacing w:val="-10"/>
        </w:rPr>
        <w:t>酸和苦味物质等影响的口感以及香气物质所产生的香味。因此，品质</w:t>
      </w:r>
      <w:r>
        <w:rPr>
          <w:spacing w:val="-13"/>
        </w:rPr>
        <w:t>生物学研究的核心是物质代谢及其调控，近年来随着组学等技术的应</w:t>
      </w:r>
      <w:r>
        <w:rPr>
          <w:spacing w:val="-8"/>
        </w:rPr>
        <w:t>用，取得了较大的进展。</w:t>
      </w:r>
    </w:p>
    <w:p>
      <w:pPr>
        <w:pStyle w:val="BodyText"/>
        <w:spacing w:line="417" w:lineRule="auto"/>
        <w:ind w:left="780" w:right="1235" w:firstLine="479"/>
        <w:rPr>
          <w:rFonts w:ascii="Times New Roman" w:eastAsia="Times New Roman"/>
        </w:rPr>
      </w:pPr>
      <w:r>
        <w:rPr>
          <w:spacing w:val="-5"/>
        </w:rPr>
        <w:t>园艺产品色泽主要由花色苷、类胡萝卜素、甜菜色素和叶绿素等</w:t>
      </w:r>
      <w:r>
        <w:rPr>
          <w:spacing w:val="-4"/>
        </w:rPr>
        <w:t>决定，其中尤以花色苷和类胡萝卜素是绝大多数园艺产品黄色、橙</w:t>
      </w:r>
      <w:r>
        <w:rPr>
          <w:spacing w:val="-11"/>
        </w:rPr>
        <w:t>色、红色和蓝紫色等鲜艳色彩的来源，相关研究较多。在花色苷研究</w:t>
      </w:r>
      <w:r>
        <w:rPr>
          <w:spacing w:val="-7"/>
        </w:rPr>
        <w:t>方面，负责花色苷代谢转录调控的</w:t>
      </w:r>
      <w:r>
        <w:rPr>
          <w:rFonts w:ascii="Times New Roman" w:eastAsia="Times New Roman"/>
          <w:spacing w:val="-2"/>
        </w:rPr>
        <w:t>MYB</w:t>
      </w:r>
      <w:r>
        <w:rPr>
          <w:spacing w:val="-2"/>
        </w:rPr>
        <w:t>等转录因子成员已在多种园</w:t>
      </w:r>
      <w:r>
        <w:rPr>
          <w:spacing w:val="-12"/>
        </w:rPr>
        <w:t>艺产品中得到分离；红叶桃、红叶李、红肉桃、血橙等突变体器官中</w:t>
      </w:r>
      <w:r>
        <w:rPr>
          <w:spacing w:val="-7"/>
        </w:rPr>
        <w:t>积累花色苷以及绿皮梨、水晶杨梅等缺乏花色苷的机制得到阐明</w:t>
      </w:r>
      <w:r>
        <w:rPr>
          <w:rFonts w:ascii="Times New Roman" w:eastAsia="Times New Roman"/>
          <w:vertAlign w:val="superscript"/>
        </w:rPr>
        <w:t>[14,</w:t>
      </w:r>
    </w:p>
    <w:p>
      <w:pPr>
        <w:pStyle w:val="BodyText"/>
        <w:spacing w:line="358" w:lineRule="exact"/>
        <w:ind w:left="780"/>
      </w:pPr>
      <w:r>
        <w:rPr>
          <w:rFonts w:ascii="Times New Roman" w:eastAsia="Times New Roman"/>
          <w:position w:val="13"/>
          <w:sz w:val="18"/>
        </w:rPr>
        <w:t>15]</w:t>
      </w:r>
      <w:r>
        <w:rPr/>
        <w:t>；光和温度等环境因子调控花色苷合成的机制研究也取得进展，光</w:t>
      </w:r>
    </w:p>
    <w:p>
      <w:pPr>
        <w:pStyle w:val="BodyText"/>
        <w:spacing w:line="417" w:lineRule="auto" w:before="264"/>
        <w:ind w:left="780" w:right="1235"/>
      </w:pPr>
      <w:r>
        <w:rPr/>
        <w:t>调控因子</w:t>
      </w:r>
      <w:r>
        <w:rPr>
          <w:rFonts w:ascii="Times New Roman" w:eastAsia="Times New Roman"/>
          <w:spacing w:val="-3"/>
        </w:rPr>
        <w:t>CRY</w:t>
      </w:r>
      <w:r>
        <w:rPr>
          <w:spacing w:val="3"/>
        </w:rPr>
        <w:t>和</w:t>
      </w:r>
      <w:r>
        <w:rPr>
          <w:rFonts w:ascii="Times New Roman" w:eastAsia="Times New Roman"/>
        </w:rPr>
        <w:t>COP</w:t>
      </w:r>
      <w:r>
        <w:rPr>
          <w:spacing w:val="-1"/>
        </w:rPr>
        <w:t>等得到鉴别</w:t>
      </w:r>
      <w:r>
        <w:rPr>
          <w:rFonts w:ascii="Times New Roman" w:eastAsia="Times New Roman"/>
          <w:spacing w:val="-13"/>
          <w:vertAlign w:val="superscript"/>
        </w:rPr>
        <w:t>[16]</w:t>
      </w:r>
      <w:r>
        <w:rPr>
          <w:spacing w:val="-11"/>
          <w:vertAlign w:val="baseline"/>
        </w:rPr>
        <w:t>；近来，花色素合成调控因子的启</w:t>
      </w:r>
      <w:r>
        <w:rPr>
          <w:spacing w:val="-3"/>
          <w:vertAlign w:val="baseline"/>
        </w:rPr>
        <w:t>动子的甲基化修饰和代谢产物糖基化和甲基化修饰以及液泡转运机</w:t>
      </w:r>
    </w:p>
    <w:p>
      <w:pPr>
        <w:spacing w:after="0" w:line="417" w:lineRule="auto"/>
        <w:sectPr>
          <w:pgSz w:w="11910" w:h="16840"/>
          <w:pgMar w:header="0" w:footer="1035" w:top="1520" w:bottom="1300" w:left="1020" w:right="560"/>
        </w:sectPr>
      </w:pPr>
    </w:p>
    <w:p>
      <w:pPr>
        <w:pStyle w:val="BodyText"/>
        <w:spacing w:line="417" w:lineRule="auto" w:before="94"/>
        <w:ind w:left="780" w:right="1234"/>
      </w:pPr>
      <w:r>
        <w:rPr>
          <w:spacing w:val="-1"/>
        </w:rPr>
        <w:t>制等引起关注</w:t>
      </w:r>
      <w:r>
        <w:rPr>
          <w:rFonts w:ascii="Times New Roman" w:eastAsia="Times New Roman"/>
          <w:spacing w:val="-13"/>
          <w:vertAlign w:val="superscript"/>
        </w:rPr>
        <w:t>[17]</w:t>
      </w:r>
      <w:r>
        <w:rPr>
          <w:spacing w:val="-9"/>
          <w:vertAlign w:val="baseline"/>
        </w:rPr>
        <w:t>，但更多的细节与成因有待深入。在类胡萝卜素研究</w:t>
      </w:r>
      <w:r>
        <w:rPr>
          <w:vertAlign w:val="baseline"/>
        </w:rPr>
        <w:t>方面，</w:t>
      </w:r>
      <w:r>
        <w:rPr>
          <w:rFonts w:ascii="Times New Roman" w:eastAsia="Times New Roman"/>
          <w:i/>
          <w:vertAlign w:val="baseline"/>
        </w:rPr>
        <w:t>CCD4</w:t>
      </w:r>
      <w:r>
        <w:rPr>
          <w:vertAlign w:val="baseline"/>
        </w:rPr>
        <w:t>和</w:t>
      </w:r>
      <w:r>
        <w:rPr>
          <w:rFonts w:ascii="Times New Roman" w:eastAsia="Times New Roman"/>
          <w:i/>
          <w:spacing w:val="-2"/>
          <w:vertAlign w:val="baseline"/>
        </w:rPr>
        <w:t>PSY</w:t>
      </w:r>
      <w:r>
        <w:rPr>
          <w:spacing w:val="-3"/>
          <w:vertAlign w:val="baseline"/>
        </w:rPr>
        <w:t>等关键基因及其功能得到进一步鉴别，如桃和枇杷等的果肉色泽变异分别与</w:t>
      </w:r>
      <w:r>
        <w:rPr>
          <w:rFonts w:ascii="Times New Roman" w:eastAsia="Times New Roman"/>
          <w:i/>
          <w:vertAlign w:val="baseline"/>
        </w:rPr>
        <w:t>CCD4</w:t>
      </w:r>
      <w:r>
        <w:rPr>
          <w:vertAlign w:val="baseline"/>
        </w:rPr>
        <w:t>和</w:t>
      </w:r>
      <w:r>
        <w:rPr>
          <w:rFonts w:ascii="Times New Roman" w:eastAsia="Times New Roman"/>
          <w:i/>
          <w:vertAlign w:val="baseline"/>
        </w:rPr>
        <w:t>PSY2A</w:t>
      </w:r>
      <w:r>
        <w:rPr>
          <w:vertAlign w:val="baseline"/>
        </w:rPr>
        <w:t>发生突变相关</w:t>
      </w:r>
      <w:r>
        <w:rPr>
          <w:rFonts w:ascii="Times New Roman" w:eastAsia="Times New Roman"/>
          <w:vertAlign w:val="superscript"/>
        </w:rPr>
        <w:t>[18]</w:t>
      </w:r>
      <w:r>
        <w:rPr>
          <w:vertAlign w:val="baseline"/>
        </w:rPr>
        <w:t>；有色体</w:t>
      </w:r>
      <w:r>
        <w:rPr>
          <w:spacing w:val="-11"/>
          <w:vertAlign w:val="baseline"/>
        </w:rPr>
        <w:t>发育，如红肉脐橙果肉新的有色体类型的形成以及白肉枇杷有色体发</w:t>
      </w:r>
      <w:r>
        <w:rPr>
          <w:spacing w:val="-7"/>
          <w:vertAlign w:val="baseline"/>
        </w:rPr>
        <w:t>育障碍也直接关系类胡萝卜素积累</w:t>
      </w:r>
      <w:r>
        <w:rPr>
          <w:rFonts w:ascii="Times New Roman" w:eastAsia="Times New Roman"/>
          <w:vertAlign w:val="superscript"/>
        </w:rPr>
        <w:t>[19</w:t>
      </w:r>
      <w:r>
        <w:rPr>
          <w:rFonts w:ascii="Times New Roman" w:eastAsia="Times New Roman"/>
          <w:spacing w:val="-4"/>
          <w:vertAlign w:val="superscript"/>
        </w:rPr>
        <w:t>, </w:t>
      </w:r>
      <w:r>
        <w:rPr>
          <w:rFonts w:ascii="Times New Roman" w:eastAsia="Times New Roman"/>
          <w:spacing w:val="-27"/>
          <w:vertAlign w:val="superscript"/>
        </w:rPr>
        <w:t>20]</w:t>
      </w:r>
      <w:r>
        <w:rPr>
          <w:spacing w:val="-8"/>
          <w:vertAlign w:val="baseline"/>
        </w:rPr>
        <w:t>，但其更深层次的调控机制有</w:t>
      </w:r>
      <w:r>
        <w:rPr>
          <w:spacing w:val="-11"/>
          <w:vertAlign w:val="baseline"/>
        </w:rPr>
        <w:t>待进一步研究。此外，与花色苷相比，类胡萝卜素的合成与代谢调控</w:t>
      </w:r>
      <w:r>
        <w:rPr>
          <w:spacing w:val="-7"/>
          <w:vertAlign w:val="baseline"/>
        </w:rPr>
        <w:t>机制研究较为滞后。</w:t>
      </w:r>
    </w:p>
    <w:p>
      <w:pPr>
        <w:pStyle w:val="BodyText"/>
        <w:spacing w:line="417" w:lineRule="auto"/>
        <w:ind w:left="780" w:right="1169" w:firstLine="479"/>
        <w:jc w:val="both"/>
      </w:pPr>
      <w:r>
        <w:rPr>
          <w:spacing w:val="-3"/>
        </w:rPr>
        <w:t>糖和有机酸是决定果蔬口味的关键，近年来，糖酸研究在番茄、</w:t>
      </w:r>
      <w:r>
        <w:rPr>
          <w:spacing w:val="-11"/>
        </w:rPr>
        <w:t>苹果、柑橘、梨等园艺作物中广泛开展，主要包括结合产业实际和代</w:t>
      </w:r>
      <w:r>
        <w:rPr>
          <w:spacing w:val="-13"/>
        </w:rPr>
        <w:t>谢组分析的不同栽培和采后贮藏过程、不同器官中物质组分及变化规</w:t>
      </w:r>
      <w:r>
        <w:rPr>
          <w:spacing w:val="-12"/>
        </w:rPr>
        <w:t>律研究；基于基因组、转录组的合成和降解相关基因的挖掘与分析； </w:t>
      </w:r>
      <w:r>
        <w:rPr>
          <w:spacing w:val="-9"/>
        </w:rPr>
        <w:t>少量研究开始涉及其他功能蛋白，包括行使运转功能的蛋白</w:t>
      </w:r>
      <w:r>
        <w:rPr/>
        <w:t>（</w:t>
      </w:r>
      <w:r>
        <w:rPr>
          <w:spacing w:val="-2"/>
        </w:rPr>
        <w:t>转运蛋</w:t>
      </w:r>
      <w:r>
        <w:rPr>
          <w:spacing w:val="-7"/>
        </w:rPr>
        <w:t>白、质子泵</w:t>
      </w:r>
      <w:r>
        <w:rPr>
          <w:spacing w:val="-24"/>
        </w:rPr>
        <w:t>）</w:t>
      </w:r>
      <w:r>
        <w:rPr>
          <w:spacing w:val="-5"/>
        </w:rPr>
        <w:t>和具有调控功能效应的蛋白</w:t>
      </w:r>
      <w:r>
        <w:rPr/>
        <w:t>（</w:t>
      </w:r>
      <w:r>
        <w:rPr>
          <w:spacing w:val="-6"/>
        </w:rPr>
        <w:t>转录因子、酸性转化酶抑制蛋白等</w:t>
      </w:r>
      <w:r>
        <w:rPr>
          <w:spacing w:val="-11"/>
        </w:rPr>
        <w:t>）</w:t>
      </w:r>
      <w:r>
        <w:rPr>
          <w:rFonts w:ascii="Times New Roman" w:eastAsia="Times New Roman"/>
          <w:spacing w:val="-11"/>
          <w:vertAlign w:val="superscript"/>
        </w:rPr>
        <w:t>[21]</w:t>
      </w:r>
      <w:r>
        <w:rPr>
          <w:spacing w:val="-10"/>
          <w:vertAlign w:val="baseline"/>
        </w:rPr>
        <w:t>。与此同时，近年来其它风味物质也逐渐受到重视，包</w:t>
      </w:r>
      <w:r>
        <w:rPr>
          <w:spacing w:val="-8"/>
          <w:vertAlign w:val="baseline"/>
        </w:rPr>
        <w:t>括苦味</w:t>
      </w:r>
      <w:r>
        <w:rPr>
          <w:vertAlign w:val="baseline"/>
        </w:rPr>
        <w:t>（</w:t>
      </w:r>
      <w:r>
        <w:rPr>
          <w:spacing w:val="-3"/>
          <w:vertAlign w:val="baseline"/>
        </w:rPr>
        <w:t>黄瓜、柑橘等</w:t>
      </w:r>
      <w:r>
        <w:rPr>
          <w:spacing w:val="-5"/>
          <w:vertAlign w:val="baseline"/>
        </w:rPr>
        <w:t>）</w:t>
      </w:r>
      <w:r>
        <w:rPr>
          <w:spacing w:val="-1"/>
          <w:vertAlign w:val="baseline"/>
        </w:rPr>
        <w:t>、涩味</w:t>
      </w:r>
      <w:r>
        <w:rPr>
          <w:spacing w:val="-3"/>
          <w:vertAlign w:val="baseline"/>
        </w:rPr>
        <w:t>（</w:t>
      </w:r>
      <w:r>
        <w:rPr>
          <w:spacing w:val="-2"/>
          <w:vertAlign w:val="baseline"/>
        </w:rPr>
        <w:t>柿、葡萄等</w:t>
      </w:r>
      <w:r>
        <w:rPr>
          <w:spacing w:val="-3"/>
          <w:vertAlign w:val="baseline"/>
        </w:rPr>
        <w:t>）</w:t>
      </w:r>
      <w:r>
        <w:rPr>
          <w:vertAlign w:val="baseline"/>
        </w:rPr>
        <w:t>等</w:t>
      </w:r>
      <w:r>
        <w:rPr>
          <w:rFonts w:ascii="Times New Roman" w:eastAsia="Times New Roman"/>
          <w:vertAlign w:val="superscript"/>
        </w:rPr>
        <w:t>[2</w:t>
      </w:r>
      <w:r>
        <w:rPr>
          <w:rFonts w:ascii="Times New Roman" w:eastAsia="Times New Roman"/>
          <w:spacing w:val="-10"/>
          <w:vertAlign w:val="superscript"/>
        </w:rPr>
        <w:t>, </w:t>
      </w:r>
      <w:r>
        <w:rPr>
          <w:rFonts w:ascii="Times New Roman" w:eastAsia="Times New Roman"/>
          <w:vertAlign w:val="superscript"/>
        </w:rPr>
        <w:t>22]</w:t>
      </w:r>
      <w:r>
        <w:rPr>
          <w:spacing w:val="-3"/>
          <w:vertAlign w:val="baseline"/>
        </w:rPr>
        <w:t>。利用色谱和</w:t>
      </w:r>
      <w:r>
        <w:rPr>
          <w:spacing w:val="-11"/>
          <w:vertAlign w:val="baseline"/>
        </w:rPr>
        <w:t>质谱技术，苦味和涩味物质在不同果蔬中的分布及变化规律已初步明</w:t>
      </w:r>
      <w:r>
        <w:rPr>
          <w:spacing w:val="-9"/>
          <w:vertAlign w:val="baseline"/>
        </w:rPr>
        <w:t>确；通过构建杂交群体、渐渗系等，结合</w:t>
      </w:r>
      <w:r>
        <w:rPr>
          <w:rFonts w:ascii="Times New Roman" w:eastAsia="Times New Roman"/>
          <w:spacing w:val="-5"/>
          <w:vertAlign w:val="baseline"/>
        </w:rPr>
        <w:t>GWAS</w:t>
      </w:r>
      <w:r>
        <w:rPr>
          <w:spacing w:val="-5"/>
          <w:vertAlign w:val="baseline"/>
        </w:rPr>
        <w:t>、转录组、分子标记</w:t>
      </w:r>
      <w:r>
        <w:rPr>
          <w:spacing w:val="-11"/>
          <w:vertAlign w:val="baseline"/>
        </w:rPr>
        <w:t>等技术，苦味和涩味形成与去除相关调控基因也有一些报道。上述研究结果进一步丰富了对果实风味品质形成的生物学机制的认识。但由</w:t>
      </w:r>
      <w:r>
        <w:rPr>
          <w:spacing w:val="-13"/>
          <w:vertAlign w:val="baseline"/>
        </w:rPr>
        <w:t>于园艺植物转基因，特别是多年生果树转基因体系的缺乏以及获得转</w:t>
      </w:r>
      <w:r>
        <w:rPr>
          <w:spacing w:val="-12"/>
          <w:vertAlign w:val="baseline"/>
        </w:rPr>
        <w:t>基因果实周期较长，果实糖酸相关基因鲜见功能验证的报道。同时， </w:t>
      </w:r>
      <w:r>
        <w:rPr>
          <w:spacing w:val="-7"/>
          <w:vertAlign w:val="baseline"/>
        </w:rPr>
        <w:t>风味物质合成与降解相关结构基因仍是目前研究热点，而上游相关调</w:t>
      </w:r>
    </w:p>
    <w:p>
      <w:pPr>
        <w:spacing w:after="0" w:line="417" w:lineRule="auto"/>
        <w:jc w:val="both"/>
        <w:sectPr>
          <w:pgSz w:w="11910" w:h="16840"/>
          <w:pgMar w:header="0" w:footer="1035" w:top="1460" w:bottom="1300" w:left="1020" w:right="560"/>
        </w:sectPr>
      </w:pPr>
    </w:p>
    <w:p>
      <w:pPr>
        <w:pStyle w:val="BodyText"/>
        <w:spacing w:before="34"/>
        <w:ind w:left="780"/>
      </w:pPr>
      <w:r>
        <w:rPr/>
        <w:t>控因子有待于深入探究。</w:t>
      </w:r>
    </w:p>
    <w:p>
      <w:pPr>
        <w:pStyle w:val="BodyText"/>
        <w:spacing w:before="9"/>
        <w:rPr>
          <w:sz w:val="20"/>
        </w:rPr>
      </w:pPr>
    </w:p>
    <w:p>
      <w:pPr>
        <w:pStyle w:val="BodyText"/>
        <w:spacing w:line="417" w:lineRule="auto" w:before="1"/>
        <w:ind w:left="780" w:right="1234" w:firstLine="479"/>
      </w:pPr>
      <w:r>
        <w:rPr>
          <w:spacing w:val="-6"/>
        </w:rPr>
        <w:t>由于技术手段不足以及研究的复杂性等原因，以往植物芳香物质</w:t>
      </w:r>
      <w:r>
        <w:rPr>
          <w:spacing w:val="-11"/>
        </w:rPr>
        <w:t>研究相对滞后。得益于各种组学技术的进步与应用，芳香品质的形成</w:t>
      </w:r>
      <w:r>
        <w:rPr>
          <w:spacing w:val="-7"/>
        </w:rPr>
        <w:t>及调控正成为园艺植物发育与品质生物学研究的又一重要领域。芳香</w:t>
      </w:r>
      <w:r>
        <w:rPr>
          <w:spacing w:val="-11"/>
        </w:rPr>
        <w:t>物质除了可使人产生愉悦的感觉，研究表明它还具有抑菌、抗氧化以</w:t>
      </w:r>
      <w:r>
        <w:rPr>
          <w:spacing w:val="-13"/>
        </w:rPr>
        <w:t>及抗癌等重要生物活性，在植物授粉受精、种子传播和环境响应等生</w:t>
      </w:r>
      <w:r>
        <w:rPr>
          <w:spacing w:val="-10"/>
        </w:rPr>
        <w:t>命活动中均起着重要作用。因此，就园艺植物芳香品质开展研究，一</w:t>
      </w:r>
      <w:r>
        <w:rPr>
          <w:spacing w:val="-11"/>
        </w:rPr>
        <w:t>方面可以阐明这些植物重要次生代谢物质的代谢调控机制，另一方面</w:t>
      </w:r>
      <w:r>
        <w:rPr>
          <w:spacing w:val="-7"/>
        </w:rPr>
        <w:t>也为全面提升园艺品质提供科学依据。现在已鉴别的芳香物质超过</w:t>
      </w:r>
      <w:r>
        <w:rPr>
          <w:rFonts w:ascii="Times New Roman" w:hAnsi="Times New Roman" w:eastAsia="Times New Roman"/>
          <w:spacing w:val="-7"/>
        </w:rPr>
        <w:t>1000</w:t>
      </w:r>
      <w:r>
        <w:rPr>
          <w:spacing w:val="-9"/>
        </w:rPr>
        <w:t>种，但不同园艺植物的特征芳香组分仍不清楚。简单地采用定量</w:t>
      </w:r>
      <w:r>
        <w:rPr>
          <w:spacing w:val="-13"/>
        </w:rPr>
        <w:t>的化学分析，并依据含量与阈值计算的香气数值并不能满足特征芳香</w:t>
      </w:r>
      <w:r>
        <w:rPr>
          <w:spacing w:val="-14"/>
        </w:rPr>
        <w:t>物质鉴别的要求，而且会导致不正确的判断。在国际上，现行的解决</w:t>
      </w:r>
      <w:r>
        <w:rPr>
          <w:spacing w:val="-12"/>
        </w:rPr>
        <w:t>方案大多采取在大规模开展代谢组学研究的基础上，结合消费者的感</w:t>
      </w:r>
      <w:r>
        <w:rPr>
          <w:spacing w:val="-9"/>
        </w:rPr>
        <w:t>官分析结果，建立芳香物质的</w:t>
      </w:r>
      <w:r>
        <w:rPr>
          <w:rFonts w:ascii="Times New Roman" w:hAnsi="Times New Roman" w:eastAsia="Times New Roman"/>
          <w:spacing w:val="-5"/>
        </w:rPr>
        <w:t>“</w:t>
      </w:r>
      <w:r>
        <w:rPr>
          <w:spacing w:val="-1"/>
        </w:rPr>
        <w:t>响应矩阵</w:t>
      </w:r>
      <w:r>
        <w:rPr>
          <w:rFonts w:ascii="Times New Roman" w:hAnsi="Times New Roman" w:eastAsia="Times New Roman"/>
          <w:spacing w:val="-17"/>
        </w:rPr>
        <w:t>”</w:t>
      </w:r>
      <w:r>
        <w:rPr>
          <w:spacing w:val="-5"/>
        </w:rPr>
        <w:t>，判别消费者对不同种类物</w:t>
      </w:r>
      <w:r>
        <w:rPr>
          <w:spacing w:val="-12"/>
        </w:rPr>
        <w:t>质的喜好，从而明确对于芳香品质形成具有重要作用的次生代谢物质</w:t>
      </w:r>
    </w:p>
    <w:p>
      <w:pPr>
        <w:pStyle w:val="BodyText"/>
        <w:spacing w:line="357" w:lineRule="exact"/>
        <w:ind w:left="780"/>
      </w:pPr>
      <w:r>
        <w:rPr>
          <w:rFonts w:ascii="Times New Roman" w:eastAsia="Times New Roman"/>
          <w:spacing w:val="-8"/>
          <w:position w:val="13"/>
          <w:sz w:val="18"/>
        </w:rPr>
        <w:t>[23]</w:t>
      </w:r>
      <w:r>
        <w:rPr>
          <w:spacing w:val="-9"/>
        </w:rPr>
        <w:t>。尽管芳香物质与品质以及人们生活密切相关，但芳香物质生物合</w:t>
      </w:r>
    </w:p>
    <w:p>
      <w:pPr>
        <w:pStyle w:val="BodyText"/>
        <w:spacing w:line="417" w:lineRule="auto" w:before="265"/>
        <w:ind w:left="780" w:right="1235"/>
        <w:jc w:val="both"/>
      </w:pPr>
      <w:r>
        <w:rPr>
          <w:spacing w:val="-10"/>
        </w:rPr>
        <w:t>成关键基因鉴别仍非常有限，诸多研究有待深入开展。已有芳香物质</w:t>
      </w:r>
      <w:r>
        <w:rPr>
          <w:spacing w:val="-9"/>
        </w:rPr>
        <w:t>生物合成关键基因鉴别的工作主要集中在番茄、草莓、牵牛花和玫瑰</w:t>
      </w:r>
      <w:r>
        <w:rPr>
          <w:spacing w:val="-7"/>
        </w:rPr>
        <w:t>等园艺植物</w:t>
      </w:r>
      <w:r>
        <w:rPr>
          <w:rFonts w:ascii="Times New Roman" w:eastAsia="Times New Roman"/>
          <w:spacing w:val="-6"/>
          <w:vertAlign w:val="superscript"/>
        </w:rPr>
        <w:t>[24-26]</w:t>
      </w:r>
      <w:r>
        <w:rPr>
          <w:spacing w:val="-8"/>
          <w:vertAlign w:val="baseline"/>
        </w:rPr>
        <w:t>。大多数园艺产品的芳香物质合成与成熟阶段密切有</w:t>
      </w:r>
      <w:r>
        <w:rPr>
          <w:spacing w:val="-3"/>
          <w:vertAlign w:val="baseline"/>
        </w:rPr>
        <w:t>关，因而受成熟相关的转录因子调控。利用</w:t>
      </w:r>
      <w:r>
        <w:rPr>
          <w:rFonts w:ascii="Times New Roman" w:eastAsia="Times New Roman"/>
          <w:i/>
          <w:spacing w:val="-2"/>
          <w:vertAlign w:val="baseline"/>
        </w:rPr>
        <w:t>rin</w:t>
      </w:r>
      <w:r>
        <w:rPr>
          <w:vertAlign w:val="baseline"/>
        </w:rPr>
        <w:t>和</w:t>
      </w:r>
      <w:r>
        <w:rPr>
          <w:rFonts w:ascii="Times New Roman" w:eastAsia="Times New Roman"/>
          <w:i/>
          <w:vertAlign w:val="baseline"/>
        </w:rPr>
        <w:t>nor</w:t>
      </w:r>
      <w:r>
        <w:rPr>
          <w:spacing w:val="-3"/>
          <w:vertAlign w:val="baseline"/>
        </w:rPr>
        <w:t>等突变体，已经从模式果实番茄中鉴别出了受乙烯转录调控的脂肪酸途径</w:t>
      </w:r>
      <w:r>
        <w:rPr>
          <w:rFonts w:ascii="Times New Roman" w:eastAsia="Times New Roman"/>
          <w:i/>
          <w:spacing w:val="-8"/>
          <w:vertAlign w:val="baseline"/>
        </w:rPr>
        <w:t>LOX</w:t>
      </w:r>
      <w:r>
        <w:rPr>
          <w:spacing w:val="-15"/>
          <w:vertAlign w:val="baseline"/>
        </w:rPr>
        <w:t>、</w:t>
      </w:r>
      <w:r>
        <w:rPr>
          <w:rFonts w:ascii="Times New Roman" w:eastAsia="Times New Roman"/>
          <w:i/>
          <w:spacing w:val="-2"/>
          <w:vertAlign w:val="baseline"/>
        </w:rPr>
        <w:t>HPL </w:t>
      </w:r>
      <w:r>
        <w:rPr>
          <w:vertAlign w:val="baseline"/>
        </w:rPr>
        <w:t>和</w:t>
      </w:r>
      <w:r>
        <w:rPr>
          <w:rFonts w:ascii="Times New Roman" w:eastAsia="Times New Roman"/>
          <w:i/>
          <w:spacing w:val="-3"/>
          <w:vertAlign w:val="baseline"/>
        </w:rPr>
        <w:t>ADH</w:t>
      </w:r>
      <w:r>
        <w:rPr>
          <w:vertAlign w:val="baseline"/>
        </w:rPr>
        <w:t>等基因</w:t>
      </w:r>
      <w:r>
        <w:rPr>
          <w:rFonts w:ascii="Times New Roman" w:eastAsia="Times New Roman"/>
          <w:spacing w:val="-5"/>
          <w:vertAlign w:val="superscript"/>
        </w:rPr>
        <w:t>[27]</w:t>
      </w:r>
      <w:r>
        <w:rPr>
          <w:spacing w:val="-9"/>
          <w:vertAlign w:val="baseline"/>
        </w:rPr>
        <w:t>。基于成熟相关激素</w:t>
      </w:r>
      <w:r>
        <w:rPr>
          <w:vertAlign w:val="baseline"/>
        </w:rPr>
        <w:t>（</w:t>
      </w:r>
      <w:r>
        <w:rPr>
          <w:spacing w:val="-3"/>
          <w:vertAlign w:val="baseline"/>
        </w:rPr>
        <w:t>如乙烯等</w:t>
      </w:r>
      <w:r>
        <w:rPr>
          <w:spacing w:val="-32"/>
          <w:vertAlign w:val="baseline"/>
        </w:rPr>
        <w:t>）</w:t>
      </w:r>
      <w:r>
        <w:rPr>
          <w:spacing w:val="-9"/>
          <w:vertAlign w:val="baseline"/>
        </w:rPr>
        <w:t>信号转导途径，开</w:t>
      </w:r>
    </w:p>
    <w:p>
      <w:pPr>
        <w:spacing w:after="0" w:line="417" w:lineRule="auto"/>
        <w:jc w:val="both"/>
        <w:sectPr>
          <w:pgSz w:w="11910" w:h="16840"/>
          <w:pgMar w:header="0" w:footer="1035" w:top="1520" w:bottom="1300" w:left="1020" w:right="560"/>
        </w:sectPr>
      </w:pPr>
    </w:p>
    <w:p>
      <w:pPr>
        <w:pStyle w:val="BodyText"/>
        <w:spacing w:line="417" w:lineRule="auto" w:before="34"/>
        <w:ind w:left="780" w:right="1427"/>
      </w:pPr>
      <w:r>
        <w:rPr/>
        <w:t>展转录因子对园艺植物芳香物质生物合成的调控研究正处于起步阶段。</w:t>
      </w:r>
    </w:p>
    <w:p>
      <w:pPr>
        <w:pStyle w:val="Heading8"/>
        <w:numPr>
          <w:ilvl w:val="2"/>
          <w:numId w:val="14"/>
        </w:numPr>
        <w:tabs>
          <w:tab w:pos="1342" w:val="left" w:leader="none"/>
        </w:tabs>
        <w:spacing w:line="410" w:lineRule="exact" w:before="0" w:after="0"/>
        <w:ind w:left="1341" w:right="0" w:hanging="562"/>
        <w:jc w:val="left"/>
      </w:pPr>
      <w:r>
        <w:rPr/>
        <w:t>园艺产品成熟衰老规律与调控</w:t>
      </w:r>
    </w:p>
    <w:p>
      <w:pPr>
        <w:pStyle w:val="BodyText"/>
        <w:spacing w:line="417" w:lineRule="auto" w:before="214"/>
        <w:ind w:left="780" w:right="1096" w:firstLine="479"/>
      </w:pPr>
      <w:r>
        <w:rPr>
          <w:spacing w:val="-5"/>
        </w:rPr>
        <w:t>品质劣变是园艺产品采后的核心问题，由此导致巨大的采后损失</w:t>
      </w:r>
      <w:r>
        <w:rPr>
          <w:spacing w:val="-13"/>
        </w:rPr>
        <w:t>和安全问题。引起园艺产品采后品质</w:t>
      </w:r>
      <w:r>
        <w:rPr/>
        <w:t>（</w:t>
      </w:r>
      <w:r>
        <w:rPr>
          <w:spacing w:val="-13"/>
        </w:rPr>
        <w:t>主要包括色、香、味和质地等</w:t>
      </w:r>
      <w:r>
        <w:rPr/>
        <w:t>） </w:t>
      </w:r>
      <w:r>
        <w:rPr>
          <w:spacing w:val="-3"/>
        </w:rPr>
        <w:t>下降的因素主要有自身衰老造成的营养组分损耗和病原菌侵染引起 </w:t>
      </w:r>
      <w:r>
        <w:rPr>
          <w:spacing w:val="-10"/>
        </w:rPr>
        <w:t>的病害腐烂，且采后品质下降是一不可逆的生物学过程，已经成为采</w:t>
      </w:r>
      <w:r>
        <w:rPr>
          <w:spacing w:val="-7"/>
        </w:rPr>
        <w:t>后损耗的主要因素。</w:t>
      </w:r>
    </w:p>
    <w:p>
      <w:pPr>
        <w:pStyle w:val="BodyText"/>
        <w:spacing w:line="417" w:lineRule="auto"/>
        <w:ind w:left="780" w:right="1169" w:firstLine="479"/>
      </w:pPr>
      <w:r>
        <w:rPr>
          <w:spacing w:val="-5"/>
        </w:rPr>
        <w:t>近年来，园艺产品采后研究已由传统的保鲜规律分析与相应技术</w:t>
      </w:r>
      <w:r>
        <w:rPr>
          <w:spacing w:val="-20"/>
        </w:rPr>
        <w:t>研发，转向涉及乙烯、质地、能量代谢、细胞程序性死亡、生物胁迫、</w:t>
      </w:r>
      <w:r>
        <w:rPr>
          <w:spacing w:val="-16"/>
        </w:rPr>
        <w:t>温度胁迫、失水胁迫</w:t>
      </w:r>
      <w:r>
        <w:rPr/>
        <w:t>（</w:t>
      </w:r>
      <w:r>
        <w:rPr>
          <w:spacing w:val="-3"/>
        </w:rPr>
        <w:t>主要是鲜切花和蔬菜</w:t>
      </w:r>
      <w:r>
        <w:rPr>
          <w:spacing w:val="-34"/>
        </w:rPr>
        <w:t>）</w:t>
      </w:r>
      <w:r>
        <w:rPr>
          <w:spacing w:val="-3"/>
        </w:rPr>
        <w:t>等较广泛的分子生物学</w:t>
      </w:r>
      <w:r>
        <w:rPr>
          <w:spacing w:val="-11"/>
        </w:rPr>
        <w:t>机制解析。以园艺产品采后乙烯生物学研究为例，借鉴了模式植物的</w:t>
      </w:r>
      <w:r>
        <w:rPr>
          <w:spacing w:val="-15"/>
        </w:rPr>
        <w:t>研究进展</w:t>
      </w:r>
      <w:r>
        <w:rPr>
          <w:spacing w:val="-3"/>
        </w:rPr>
        <w:t>（</w:t>
      </w:r>
      <w:r>
        <w:rPr>
          <w:spacing w:val="-5"/>
        </w:rPr>
        <w:t>乙烯信号转导、乙烯与其他激素互作等</w:t>
      </w:r>
      <w:r>
        <w:rPr>
          <w:spacing w:val="-26"/>
        </w:rPr>
        <w:t>）</w:t>
      </w:r>
      <w:r>
        <w:rPr>
          <w:spacing w:val="-6"/>
        </w:rPr>
        <w:t>，是深入诠释园</w:t>
      </w:r>
      <w:r>
        <w:rPr>
          <w:spacing w:val="-5"/>
        </w:rPr>
        <w:t>艺产品采后成熟衰老机制的重要路径；乙烯相关的</w:t>
      </w:r>
      <w:r>
        <w:rPr>
          <w:rFonts w:ascii="Times New Roman" w:eastAsia="Times New Roman"/>
          <w:spacing w:val="-2"/>
        </w:rPr>
        <w:t>RIN</w:t>
      </w:r>
      <w:r>
        <w:rPr/>
        <w:t>、</w:t>
      </w:r>
      <w:r>
        <w:rPr>
          <w:rFonts w:ascii="Times New Roman" w:eastAsia="Times New Roman"/>
        </w:rPr>
        <w:t>AP2/ERF</w:t>
      </w:r>
      <w:r>
        <w:rPr/>
        <w:t>等</w:t>
      </w:r>
      <w:r>
        <w:rPr>
          <w:spacing w:val="-11"/>
        </w:rPr>
        <w:t>一系列转录因子在番茄、香蕉、猕猴桃、苹果等重要果蔬中被陆续分</w:t>
      </w:r>
      <w:r>
        <w:rPr>
          <w:spacing w:val="-8"/>
        </w:rPr>
        <w:t>离，且参与了采后后熟衰老调控</w:t>
      </w:r>
      <w:r>
        <w:rPr>
          <w:rFonts w:ascii="Times New Roman" w:eastAsia="Times New Roman"/>
          <w:vertAlign w:val="superscript"/>
        </w:rPr>
        <w:t>[28</w:t>
      </w:r>
      <w:r>
        <w:rPr>
          <w:rFonts w:ascii="Times New Roman" w:eastAsia="Times New Roman"/>
          <w:spacing w:val="-8"/>
          <w:vertAlign w:val="superscript"/>
        </w:rPr>
        <w:t>, </w:t>
      </w:r>
      <w:r>
        <w:rPr>
          <w:rFonts w:ascii="Times New Roman" w:eastAsia="Times New Roman"/>
          <w:spacing w:val="-14"/>
          <w:vertAlign w:val="superscript"/>
        </w:rPr>
        <w:t>29]</w:t>
      </w:r>
      <w:r>
        <w:rPr>
          <w:spacing w:val="-4"/>
          <w:vertAlign w:val="baseline"/>
        </w:rPr>
        <w:t>；基于乙烯及与其具有互作效应</w:t>
      </w:r>
      <w:r>
        <w:rPr>
          <w:spacing w:val="-9"/>
          <w:vertAlign w:val="baseline"/>
        </w:rPr>
        <w:t>的其他植物激素的研究，鲜切花</w:t>
      </w:r>
      <w:r>
        <w:rPr>
          <w:spacing w:val="-3"/>
          <w:vertAlign w:val="baseline"/>
        </w:rPr>
        <w:t>（月季和矮牵牛花等</w:t>
      </w:r>
      <w:r>
        <w:rPr>
          <w:spacing w:val="-34"/>
          <w:vertAlign w:val="baseline"/>
        </w:rPr>
        <w:t>）</w:t>
      </w:r>
      <w:r>
        <w:rPr>
          <w:spacing w:val="-1"/>
          <w:vertAlign w:val="baseline"/>
        </w:rPr>
        <w:t>花朵衰老的调</w:t>
      </w:r>
      <w:r>
        <w:rPr>
          <w:spacing w:val="-10"/>
          <w:vertAlign w:val="baseline"/>
        </w:rPr>
        <w:t>节机制也初步得到明确。除乙烯相关转录因子外，还有大量的其他转</w:t>
      </w:r>
      <w:r>
        <w:rPr>
          <w:spacing w:val="-15"/>
          <w:vertAlign w:val="baseline"/>
        </w:rPr>
        <w:t>录因子</w:t>
      </w:r>
      <w:r>
        <w:rPr>
          <w:spacing w:val="-5"/>
          <w:vertAlign w:val="baseline"/>
        </w:rPr>
        <w:t>（</w:t>
      </w:r>
      <w:r>
        <w:rPr>
          <w:rFonts w:ascii="Times New Roman" w:eastAsia="Times New Roman"/>
          <w:spacing w:val="-5"/>
          <w:vertAlign w:val="baseline"/>
        </w:rPr>
        <w:t>NAC</w:t>
      </w:r>
      <w:r>
        <w:rPr>
          <w:spacing w:val="-9"/>
          <w:vertAlign w:val="baseline"/>
        </w:rPr>
        <w:t>、</w:t>
      </w:r>
      <w:r>
        <w:rPr>
          <w:rFonts w:ascii="Times New Roman" w:eastAsia="Times New Roman"/>
          <w:vertAlign w:val="baseline"/>
        </w:rPr>
        <w:t>SBP</w:t>
      </w:r>
      <w:r>
        <w:rPr>
          <w:vertAlign w:val="baseline"/>
        </w:rPr>
        <w:t>等</w:t>
      </w:r>
      <w:r>
        <w:rPr>
          <w:spacing w:val="-22"/>
          <w:vertAlign w:val="baseline"/>
        </w:rPr>
        <w:t>）</w:t>
      </w:r>
      <w:r>
        <w:rPr>
          <w:spacing w:val="-3"/>
          <w:vertAlign w:val="baseline"/>
        </w:rPr>
        <w:t>也在不同的园艺产品中被报道参与了成熟衰老调控</w:t>
      </w:r>
      <w:r>
        <w:rPr>
          <w:rFonts w:ascii="Times New Roman" w:eastAsia="Times New Roman"/>
          <w:spacing w:val="-3"/>
          <w:vertAlign w:val="superscript"/>
        </w:rPr>
        <w:t>[30]</w:t>
      </w:r>
      <w:r>
        <w:rPr>
          <w:spacing w:val="-3"/>
          <w:vertAlign w:val="baseline"/>
        </w:rPr>
        <w:t>。同时，模式植物中研究较为成熟的长链非编码</w:t>
      </w:r>
      <w:r>
        <w:rPr>
          <w:rFonts w:ascii="Times New Roman" w:eastAsia="Times New Roman"/>
          <w:vertAlign w:val="baseline"/>
        </w:rPr>
        <w:t>RNA</w:t>
      </w:r>
      <w:r>
        <w:rPr>
          <w:vertAlign w:val="baseline"/>
        </w:rPr>
        <w:t>、染</w:t>
      </w:r>
      <w:r>
        <w:rPr>
          <w:spacing w:val="-1"/>
          <w:vertAlign w:val="baseline"/>
        </w:rPr>
        <w:t>色质空间结构、</w:t>
      </w:r>
      <w:r>
        <w:rPr>
          <w:rFonts w:ascii="Times New Roman" w:eastAsia="Times New Roman"/>
          <w:spacing w:val="-3"/>
          <w:vertAlign w:val="baseline"/>
        </w:rPr>
        <w:t>DNA</w:t>
      </w:r>
      <w:r>
        <w:rPr>
          <w:spacing w:val="-3"/>
          <w:vertAlign w:val="baseline"/>
        </w:rPr>
        <w:t>甲基化、组蛋白修饰、蛋白磷酸化</w:t>
      </w:r>
      <w:r>
        <w:rPr>
          <w:rFonts w:ascii="Times New Roman" w:eastAsia="Times New Roman"/>
          <w:vertAlign w:val="baseline"/>
        </w:rPr>
        <w:t>/</w:t>
      </w:r>
      <w:r>
        <w:rPr>
          <w:spacing w:val="-2"/>
          <w:vertAlign w:val="baseline"/>
        </w:rPr>
        <w:t>去磷酸化、</w:t>
      </w:r>
      <w:r>
        <w:rPr>
          <w:rFonts w:ascii="Times New Roman" w:eastAsia="Times New Roman"/>
          <w:spacing w:val="-2"/>
          <w:vertAlign w:val="baseline"/>
        </w:rPr>
        <w:t>RNA</w:t>
      </w:r>
      <w:r>
        <w:rPr>
          <w:spacing w:val="-12"/>
          <w:vertAlign w:val="baseline"/>
        </w:rPr>
        <w:t>加工、基因沉默等，也在少量园艺产品有报道，为园艺产品衰老</w:t>
      </w:r>
    </w:p>
    <w:p>
      <w:pPr>
        <w:spacing w:after="0" w:line="417" w:lineRule="auto"/>
        <w:sectPr>
          <w:pgSz w:w="11910" w:h="16840"/>
          <w:pgMar w:header="0" w:footer="1035" w:top="1520" w:bottom="1300" w:left="1020" w:right="560"/>
        </w:sectPr>
      </w:pPr>
    </w:p>
    <w:p>
      <w:pPr>
        <w:pStyle w:val="BodyText"/>
        <w:spacing w:before="34"/>
        <w:ind w:left="780"/>
      </w:pPr>
      <w:r>
        <w:rPr/>
        <w:t>生物学相关机制研究提供了新方向。</w:t>
      </w:r>
    </w:p>
    <w:p>
      <w:pPr>
        <w:pStyle w:val="BodyText"/>
        <w:spacing w:before="9"/>
        <w:rPr>
          <w:sz w:val="20"/>
        </w:rPr>
      </w:pPr>
    </w:p>
    <w:p>
      <w:pPr>
        <w:pStyle w:val="BodyText"/>
        <w:spacing w:line="417" w:lineRule="auto" w:before="1"/>
        <w:ind w:left="780" w:right="1169" w:firstLine="479"/>
        <w:jc w:val="both"/>
      </w:pPr>
      <w:r>
        <w:rPr>
          <w:spacing w:val="-5"/>
        </w:rPr>
        <w:t>在理论研究的基础上，园艺产品成熟衰老调控相关技术手段得到</w:t>
      </w:r>
      <w:r>
        <w:rPr>
          <w:spacing w:val="-4"/>
        </w:rPr>
        <w:t>也进一步的改进，并开展了产业示范推广应用。过去两个</w:t>
      </w:r>
      <w:r>
        <w:rPr>
          <w:rFonts w:ascii="Times New Roman" w:hAnsi="Times New Roman" w:eastAsia="Times New Roman"/>
        </w:rPr>
        <w:t>5</w:t>
      </w:r>
      <w:r>
        <w:rPr/>
        <w:t>年计划中</w:t>
      </w:r>
      <w:r>
        <w:rPr>
          <w:spacing w:val="-8"/>
        </w:rPr>
        <w:t>园艺产品采后研究进一步接轨国际，并从园艺产品的采后</w:t>
      </w:r>
      <w:r>
        <w:rPr>
          <w:rFonts w:ascii="Times New Roman" w:hAnsi="Times New Roman" w:eastAsia="Times New Roman"/>
          <w:spacing w:val="-5"/>
        </w:rPr>
        <w:t>“</w:t>
      </w:r>
      <w:r>
        <w:rPr/>
        <w:t>静态贮藏</w:t>
      </w:r>
      <w:r>
        <w:rPr>
          <w:rFonts w:ascii="Times New Roman" w:hAnsi="Times New Roman" w:eastAsia="Times New Roman"/>
        </w:rPr>
        <w:t>” </w:t>
      </w:r>
      <w:r>
        <w:rPr/>
        <w:t>转向</w:t>
      </w:r>
      <w:r>
        <w:rPr>
          <w:rFonts w:ascii="Times New Roman" w:hAnsi="Times New Roman" w:eastAsia="Times New Roman"/>
          <w:spacing w:val="-5"/>
        </w:rPr>
        <w:t>“</w:t>
      </w:r>
      <w:r>
        <w:rPr/>
        <w:t>动态物流</w:t>
      </w:r>
      <w:r>
        <w:rPr>
          <w:rFonts w:ascii="Times New Roman" w:hAnsi="Times New Roman" w:eastAsia="Times New Roman"/>
          <w:spacing w:val="-33"/>
        </w:rPr>
        <w:t>”</w:t>
      </w:r>
      <w:r>
        <w:rPr>
          <w:spacing w:val="-7"/>
        </w:rPr>
        <w:t>，进一步明确了园艺产品从田间到餐桌的全产业链科</w:t>
      </w:r>
      <w:r>
        <w:rPr>
          <w:spacing w:val="-11"/>
        </w:rPr>
        <w:t>技需求，使产后的研究内容进一步扩展。园艺产品采后研究过程中， </w:t>
      </w:r>
      <w:r>
        <w:rPr>
          <w:spacing w:val="-9"/>
        </w:rPr>
        <w:t>不仅需要传统的物料特性与生物学机制研究，同时拓展了园艺学与理</w:t>
      </w:r>
    </w:p>
    <w:p>
      <w:pPr>
        <w:pStyle w:val="BodyText"/>
        <w:spacing w:line="358" w:lineRule="exact"/>
        <w:ind w:left="780"/>
      </w:pPr>
      <w:r>
        <w:rPr/>
        <w:t>（</w:t>
      </w:r>
      <w:r>
        <w:rPr>
          <w:spacing w:val="-4"/>
        </w:rPr>
        <w:t>化学、数学等</w:t>
      </w:r>
      <w:r>
        <w:rPr>
          <w:spacing w:val="-17"/>
        </w:rPr>
        <w:t>）</w:t>
      </w:r>
      <w:r>
        <w:rPr>
          <w:spacing w:val="-9"/>
        </w:rPr>
        <w:t>、工</w:t>
      </w:r>
      <w:r>
        <w:rPr/>
        <w:t>（</w:t>
      </w:r>
      <w:r>
        <w:rPr>
          <w:spacing w:val="-7"/>
        </w:rPr>
        <w:t>计算机、自动化、制冷、机械制造等</w:t>
      </w:r>
      <w:r>
        <w:rPr>
          <w:spacing w:val="-15"/>
        </w:rPr>
        <w:t>）</w:t>
      </w:r>
      <w:r>
        <w:rPr>
          <w:spacing w:val="-4"/>
        </w:rPr>
        <w:t>、医</w:t>
      </w:r>
    </w:p>
    <w:p>
      <w:pPr>
        <w:pStyle w:val="BodyText"/>
        <w:spacing w:before="8"/>
        <w:rPr>
          <w:sz w:val="20"/>
        </w:rPr>
      </w:pPr>
    </w:p>
    <w:p>
      <w:pPr>
        <w:pStyle w:val="BodyText"/>
        <w:spacing w:line="417" w:lineRule="auto" w:before="1"/>
        <w:ind w:left="780" w:right="1238"/>
      </w:pPr>
      <w:r>
        <w:rPr/>
        <w:t>（</w:t>
      </w:r>
      <w:r>
        <w:rPr>
          <w:spacing w:val="-1"/>
        </w:rPr>
        <w:t>产品安全</w:t>
      </w:r>
      <w:r>
        <w:rPr>
          <w:spacing w:val="-32"/>
        </w:rPr>
        <w:t>）</w:t>
      </w:r>
      <w:r>
        <w:rPr>
          <w:spacing w:val="-9"/>
        </w:rPr>
        <w:t>等不同门类、不同学科的交叉，探索适宜于园艺产品采</w:t>
      </w:r>
      <w:r>
        <w:rPr>
          <w:spacing w:val="-3"/>
        </w:rPr>
        <w:t>后物流的工艺、装备和规范，有效丰富了园艺产业的产业链内涵。</w:t>
      </w:r>
    </w:p>
    <w:p>
      <w:pPr>
        <w:pStyle w:val="BodyText"/>
        <w:spacing w:line="417" w:lineRule="auto"/>
        <w:ind w:left="780" w:right="1235" w:firstLine="479"/>
      </w:pPr>
      <w:r>
        <w:rPr>
          <w:spacing w:val="-5"/>
        </w:rPr>
        <w:t>同时，园艺产品采后生物学研究中也存在一些问题，有待于进一</w:t>
      </w:r>
      <w:r>
        <w:rPr>
          <w:spacing w:val="-4"/>
        </w:rPr>
        <w:t>步解决，其中有一些与其他园艺学方向的共性问题，如一些园艺作</w:t>
      </w:r>
      <w:r>
        <w:rPr>
          <w:spacing w:val="-11"/>
        </w:rPr>
        <w:t>物，特别是如果树等多年生园艺作物，由于是高度杂合作物，品质性</w:t>
      </w:r>
      <w:r>
        <w:rPr>
          <w:spacing w:val="-7"/>
        </w:rPr>
        <w:t>状复杂，且存在品种间</w:t>
      </w:r>
      <w:r>
        <w:rPr>
          <w:rFonts w:ascii="Times New Roman" w:eastAsia="Times New Roman"/>
        </w:rPr>
        <w:t>/</w:t>
      </w:r>
      <w:r>
        <w:rPr>
          <w:spacing w:val="-3"/>
        </w:rPr>
        <w:t>单果间的遗传背景差异，因此难以直接套用</w:t>
      </w:r>
      <w:r>
        <w:rPr>
          <w:spacing w:val="-11"/>
        </w:rPr>
        <w:t>模式植物的生物学技术手段，需要创建相适应技术体系和对原有技术</w:t>
      </w:r>
      <w:r>
        <w:rPr>
          <w:spacing w:val="-12"/>
        </w:rPr>
        <w:t>的改进；也有部分问题与其他园艺学方向关联，如以采后研究结果反</w:t>
      </w:r>
      <w:r>
        <w:rPr>
          <w:spacing w:val="-10"/>
        </w:rPr>
        <w:t>向支撑育种，进而利用育种体系获得贮藏性提升的新品种；加强采前</w:t>
      </w:r>
      <w:r>
        <w:rPr>
          <w:spacing w:val="-12"/>
        </w:rPr>
        <w:t>管理，提升现有品种的采后贮藏性。同时，采后生物学具有更多的特</w:t>
      </w:r>
      <w:r>
        <w:rPr>
          <w:spacing w:val="-13"/>
        </w:rPr>
        <w:t>异性科学问题，如品质劣变机制、后熟衰老启动与加速因子等，也需</w:t>
      </w:r>
      <w:r>
        <w:rPr>
          <w:spacing w:val="-1"/>
        </w:rPr>
        <w:t>加以重点关注。</w:t>
      </w:r>
    </w:p>
    <w:p>
      <w:pPr>
        <w:pStyle w:val="Heading8"/>
        <w:numPr>
          <w:ilvl w:val="0"/>
          <w:numId w:val="15"/>
        </w:numPr>
        <w:tabs>
          <w:tab w:pos="1059" w:val="left" w:leader="none"/>
        </w:tabs>
        <w:spacing w:line="358" w:lineRule="exact" w:before="0" w:after="0"/>
        <w:ind w:left="1058" w:right="0" w:hanging="279"/>
        <w:jc w:val="left"/>
        <w:rPr>
          <w:rFonts w:ascii="黑体" w:eastAsia="黑体" w:hint="eastAsia"/>
        </w:rPr>
      </w:pPr>
      <w:r>
        <w:rPr>
          <w:rFonts w:ascii="黑体" w:eastAsia="黑体" w:hint="eastAsia"/>
        </w:rPr>
        <w:t>未来</w:t>
      </w:r>
      <w:r>
        <w:rPr>
          <w:rFonts w:ascii="Times New Roman" w:eastAsia="Times New Roman"/>
        </w:rPr>
        <w:t>5-10</w:t>
      </w:r>
      <w:r>
        <w:rPr>
          <w:rFonts w:ascii="黑体" w:eastAsia="黑体" w:hint="eastAsia"/>
        </w:rPr>
        <w:t>年园艺学多学科交叉发展目标及资助重点</w:t>
      </w:r>
    </w:p>
    <w:p>
      <w:pPr>
        <w:pStyle w:val="ListParagraph"/>
        <w:numPr>
          <w:ilvl w:val="1"/>
          <w:numId w:val="15"/>
        </w:numPr>
        <w:tabs>
          <w:tab w:pos="1270" w:val="left" w:leader="none"/>
        </w:tabs>
        <w:spacing w:line="240" w:lineRule="auto" w:before="252" w:after="0"/>
        <w:ind w:left="1270" w:right="0" w:hanging="490"/>
        <w:jc w:val="left"/>
        <w:rPr>
          <w:rFonts w:ascii="等线" w:eastAsia="等线" w:hint="eastAsia"/>
          <w:b/>
          <w:sz w:val="28"/>
        </w:rPr>
      </w:pPr>
      <w:r>
        <w:rPr>
          <w:rFonts w:ascii="等线" w:eastAsia="等线" w:hint="eastAsia"/>
          <w:b/>
          <w:sz w:val="28"/>
        </w:rPr>
        <w:t>发展目标</w:t>
      </w:r>
    </w:p>
    <w:p>
      <w:pPr>
        <w:spacing w:after="0" w:line="240" w:lineRule="auto"/>
        <w:jc w:val="left"/>
        <w:rPr>
          <w:rFonts w:ascii="等线" w:eastAsia="等线" w:hint="eastAsia"/>
          <w:sz w:val="28"/>
        </w:rPr>
        <w:sectPr>
          <w:pgSz w:w="11910" w:h="16840"/>
          <w:pgMar w:header="0" w:footer="1035" w:top="1520" w:bottom="1300" w:left="1020" w:right="560"/>
        </w:sectPr>
      </w:pPr>
    </w:p>
    <w:p>
      <w:pPr>
        <w:pStyle w:val="BodyText"/>
        <w:spacing w:line="417" w:lineRule="auto" w:before="34"/>
        <w:ind w:left="780" w:right="1169" w:firstLine="479"/>
        <w:jc w:val="both"/>
      </w:pPr>
      <w:r>
        <w:rPr>
          <w:spacing w:val="-4"/>
        </w:rPr>
        <w:t>如前所述，得益于生物学研究日新月异的发展，来自遗传学、分</w:t>
      </w:r>
      <w:r>
        <w:rPr>
          <w:spacing w:val="-10"/>
        </w:rPr>
        <w:t>子生物学和生物信息学、植物化学等基础生物学及组学</w:t>
      </w:r>
      <w:r>
        <w:rPr/>
        <w:t>（</w:t>
      </w:r>
      <w:r>
        <w:rPr>
          <w:spacing w:val="-1"/>
        </w:rPr>
        <w:t>特别是基因</w:t>
      </w:r>
      <w:r>
        <w:rPr>
          <w:spacing w:val="-9"/>
        </w:rPr>
        <w:t>组学、转录组学、代谢组学和蛋白质组学</w:t>
      </w:r>
      <w:r>
        <w:rPr>
          <w:spacing w:val="-32"/>
        </w:rPr>
        <w:t>）</w:t>
      </w:r>
      <w:r>
        <w:rPr>
          <w:spacing w:val="-3"/>
        </w:rPr>
        <w:t>等研究策略和技术手段在</w:t>
      </w:r>
      <w:r>
        <w:rPr>
          <w:spacing w:val="-8"/>
        </w:rPr>
        <w:t>园艺作物生物学研究中开始得到应用，并已在园艺作物基因组测序、</w:t>
      </w:r>
      <w:r>
        <w:rPr>
          <w:spacing w:val="-16"/>
        </w:rPr>
        <w:t>发育</w:t>
      </w:r>
      <w:r>
        <w:rPr/>
        <w:t>（</w:t>
      </w:r>
      <w:r>
        <w:rPr>
          <w:spacing w:val="-3"/>
        </w:rPr>
        <w:t>含成熟衰老</w:t>
      </w:r>
      <w:r>
        <w:rPr>
          <w:spacing w:val="-32"/>
        </w:rPr>
        <w:t>）</w:t>
      </w:r>
      <w:r>
        <w:rPr>
          <w:spacing w:val="-6"/>
        </w:rPr>
        <w:t>与环境响应的分子基础解析、次生代谢及其调控</w:t>
      </w:r>
      <w:r>
        <w:rPr>
          <w:spacing w:val="-10"/>
        </w:rPr>
        <w:t>的分子机制诠释等方面取得初步结果。但不可忽视的是，由于园艺作</w:t>
      </w:r>
      <w:r>
        <w:rPr>
          <w:spacing w:val="-12"/>
        </w:rPr>
        <w:t>物的特殊性和复杂性，园艺学和基础生物学研究的差距仍然存在。因</w:t>
      </w:r>
      <w:r>
        <w:rPr>
          <w:spacing w:val="-8"/>
        </w:rPr>
        <w:t>此，在未来</w:t>
      </w:r>
      <w:r>
        <w:rPr>
          <w:rFonts w:ascii="Times New Roman" w:eastAsia="Times New Roman"/>
        </w:rPr>
        <w:t>5-10</w:t>
      </w:r>
      <w:r>
        <w:rPr>
          <w:spacing w:val="-3"/>
        </w:rPr>
        <w:t>年，需针对园艺作物特殊性状和园艺产业重大问题， </w:t>
      </w:r>
      <w:r>
        <w:rPr>
          <w:spacing w:val="-9"/>
        </w:rPr>
        <w:t>全面深入与基础生物学相关学科的交叉，提升园艺学研究水平，推动</w:t>
      </w:r>
      <w:r>
        <w:rPr>
          <w:spacing w:val="-6"/>
        </w:rPr>
        <w:t>园艺产业发展。</w:t>
      </w:r>
    </w:p>
    <w:p>
      <w:pPr>
        <w:pStyle w:val="Heading8"/>
        <w:numPr>
          <w:ilvl w:val="1"/>
          <w:numId w:val="15"/>
        </w:numPr>
        <w:tabs>
          <w:tab w:pos="1270" w:val="left" w:leader="none"/>
        </w:tabs>
        <w:spacing w:line="409" w:lineRule="exact" w:before="0" w:after="0"/>
        <w:ind w:left="1270" w:right="0" w:hanging="490"/>
        <w:jc w:val="left"/>
      </w:pPr>
      <w:r>
        <w:rPr/>
        <w:t>资助重点</w:t>
      </w:r>
    </w:p>
    <w:p>
      <w:pPr>
        <w:pStyle w:val="BodyText"/>
        <w:spacing w:before="202"/>
        <w:ind w:left="1260"/>
      </w:pPr>
      <w:r>
        <w:rPr>
          <w:rFonts w:ascii="等线" w:eastAsia="等线" w:hint="eastAsia"/>
          <w:b/>
        </w:rPr>
        <w:t>本次</w:t>
      </w:r>
      <w:r>
        <w:rPr/>
        <w:t>双清论坛与会专家经过深入研讨，凝练了园艺学科重大关键</w:t>
      </w:r>
    </w:p>
    <w:p>
      <w:pPr>
        <w:pStyle w:val="BodyText"/>
        <w:spacing w:line="417" w:lineRule="auto" w:before="215"/>
        <w:ind w:left="780" w:right="1327"/>
      </w:pPr>
      <w:r>
        <w:rPr/>
        <w:t>科学问题，并建议未来</w:t>
      </w:r>
      <w:r>
        <w:rPr>
          <w:rFonts w:ascii="Times New Roman" w:eastAsia="Times New Roman"/>
        </w:rPr>
        <w:t>5-10</w:t>
      </w:r>
      <w:r>
        <w:rPr/>
        <w:t>年园艺学科应着重围绕以下</w:t>
      </w:r>
      <w:r>
        <w:rPr>
          <w:rFonts w:ascii="Times New Roman" w:eastAsia="Times New Roman"/>
        </w:rPr>
        <w:t>7</w:t>
      </w:r>
      <w:r>
        <w:rPr/>
        <w:t>个领域，通过多学科交叉开展原创性研究。</w:t>
      </w:r>
    </w:p>
    <w:p>
      <w:pPr>
        <w:pStyle w:val="Heading8"/>
        <w:numPr>
          <w:ilvl w:val="2"/>
          <w:numId w:val="15"/>
        </w:numPr>
        <w:tabs>
          <w:tab w:pos="1479" w:val="left" w:leader="none"/>
        </w:tabs>
        <w:spacing w:line="409" w:lineRule="exact" w:before="0" w:after="0"/>
        <w:ind w:left="1478" w:right="0" w:hanging="699"/>
        <w:jc w:val="left"/>
      </w:pPr>
      <w:r>
        <w:rPr/>
        <w:t>基于组学等新方法的园艺作物优异种质发掘与创制</w:t>
      </w:r>
    </w:p>
    <w:p>
      <w:pPr>
        <w:pStyle w:val="BodyText"/>
        <w:spacing w:line="417" w:lineRule="auto" w:before="264"/>
        <w:ind w:left="780" w:right="1223" w:firstLine="479"/>
        <w:jc w:val="both"/>
      </w:pPr>
      <w:r>
        <w:rPr>
          <w:spacing w:val="9"/>
        </w:rPr>
        <w:t>园艺作物起源与进化的基因组学基础以及不同群体结构和基因</w:t>
      </w:r>
      <w:r>
        <w:rPr>
          <w:spacing w:val="-10"/>
        </w:rPr>
        <w:t>组特点的全基因组关联技术分析；基于组学的功能基因挖掘以及园艺</w:t>
      </w:r>
      <w:r>
        <w:rPr>
          <w:spacing w:val="-12"/>
        </w:rPr>
        <w:t>作物重要与特殊性状的遗传与表观遗传解析；园艺作物种质资源评价</w:t>
      </w:r>
      <w:r>
        <w:rPr>
          <w:spacing w:val="-13"/>
        </w:rPr>
        <w:t>与优异种质发掘与利用；园艺作物种质创新与分子辅助育种新理论与方法。</w:t>
      </w:r>
    </w:p>
    <w:p>
      <w:pPr>
        <w:pStyle w:val="Heading8"/>
        <w:numPr>
          <w:ilvl w:val="2"/>
          <w:numId w:val="15"/>
        </w:numPr>
        <w:tabs>
          <w:tab w:pos="1479" w:val="left" w:leader="none"/>
        </w:tabs>
        <w:spacing w:line="409" w:lineRule="exact" w:before="0" w:after="0"/>
        <w:ind w:left="1478" w:right="0" w:hanging="699"/>
        <w:jc w:val="left"/>
      </w:pPr>
      <w:r>
        <w:rPr/>
        <w:t>园艺作物轻简化生产的生物学基础</w:t>
      </w:r>
    </w:p>
    <w:p>
      <w:pPr>
        <w:pStyle w:val="BodyText"/>
        <w:spacing w:before="265"/>
        <w:ind w:left="1260"/>
      </w:pPr>
      <w:r>
        <w:rPr/>
        <w:t>园艺作物适于轻简化生产的农艺性状（株型</w:t>
      </w:r>
      <w:r>
        <w:rPr>
          <w:rFonts w:ascii="Times New Roman" w:eastAsia="Times New Roman"/>
        </w:rPr>
        <w:t>/</w:t>
      </w:r>
      <w:r>
        <w:rPr/>
        <w:t>树型、生长发育进程</w:t>
      </w:r>
    </w:p>
    <w:p>
      <w:pPr>
        <w:spacing w:after="0"/>
        <w:sectPr>
          <w:pgSz w:w="11910" w:h="16840"/>
          <w:pgMar w:header="0" w:footer="1035" w:top="1520" w:bottom="1300" w:left="1020" w:right="560"/>
        </w:sectPr>
      </w:pPr>
    </w:p>
    <w:p>
      <w:pPr>
        <w:pStyle w:val="BodyText"/>
        <w:spacing w:line="417" w:lineRule="auto" w:before="34"/>
        <w:ind w:left="780" w:right="1233"/>
        <w:jc w:val="both"/>
      </w:pPr>
      <w:r>
        <w:rPr/>
        <w:t>一致性等</w:t>
      </w:r>
      <w:r>
        <w:rPr>
          <w:spacing w:val="-51"/>
        </w:rPr>
        <w:t>）</w:t>
      </w:r>
      <w:r>
        <w:rPr>
          <w:spacing w:val="-8"/>
        </w:rPr>
        <w:t>相关功能基因挖掘及性状形成机制解析；适于轻简化生产</w:t>
      </w:r>
      <w:r>
        <w:rPr/>
        <w:t>的资源筛选评价与新品种选育；园艺作物轻简栽培技术</w:t>
      </w:r>
      <w:r>
        <w:rPr>
          <w:rFonts w:ascii="Times New Roman" w:eastAsia="Times New Roman"/>
        </w:rPr>
        <w:t>(</w:t>
      </w:r>
      <w:r>
        <w:rPr/>
        <w:t>修剪、采收等</w:t>
      </w:r>
      <w:r>
        <w:rPr>
          <w:rFonts w:ascii="Times New Roman" w:eastAsia="Times New Roman"/>
          <w:spacing w:val="-3"/>
        </w:rPr>
        <w:t>)</w:t>
      </w:r>
      <w:r>
        <w:rPr>
          <w:spacing w:val="-2"/>
        </w:rPr>
        <w:t>的生物学基础。</w:t>
      </w:r>
    </w:p>
    <w:p>
      <w:pPr>
        <w:pStyle w:val="Heading8"/>
        <w:numPr>
          <w:ilvl w:val="2"/>
          <w:numId w:val="15"/>
        </w:numPr>
        <w:tabs>
          <w:tab w:pos="1479" w:val="left" w:leader="none"/>
        </w:tabs>
        <w:spacing w:line="410" w:lineRule="exact" w:before="0" w:after="0"/>
        <w:ind w:left="1478" w:right="0" w:hanging="699"/>
        <w:jc w:val="left"/>
      </w:pPr>
      <w:r>
        <w:rPr/>
        <w:t>设施条件下园艺作物可持续生产的生物学基础</w:t>
      </w:r>
    </w:p>
    <w:p>
      <w:pPr>
        <w:pStyle w:val="BodyText"/>
        <w:spacing w:line="417" w:lineRule="auto" w:before="265"/>
        <w:ind w:left="780" w:right="1236" w:firstLine="479"/>
        <w:jc w:val="both"/>
      </w:pPr>
      <w:r>
        <w:rPr>
          <w:spacing w:val="-3"/>
        </w:rPr>
        <w:t>园艺作物对设施特殊胁迫</w:t>
      </w:r>
      <w:r>
        <w:rPr/>
        <w:t>（</w:t>
      </w:r>
      <w:r>
        <w:rPr>
          <w:spacing w:val="-8"/>
        </w:rPr>
        <w:t>如低温、弱光、高湿、高低 </w:t>
      </w:r>
      <w:r>
        <w:rPr>
          <w:rFonts w:ascii="Times New Roman" w:eastAsia="Times New Roman"/>
        </w:rPr>
        <w:t>CO</w:t>
      </w:r>
      <w:r>
        <w:rPr>
          <w:rFonts w:ascii="Times New Roman" w:eastAsia="Times New Roman"/>
          <w:vertAlign w:val="subscript"/>
        </w:rPr>
        <w:t>2</w:t>
      </w:r>
      <w:r>
        <w:rPr>
          <w:spacing w:val="-6"/>
          <w:vertAlign w:val="baseline"/>
        </w:rPr>
        <w:t>、土</w:t>
      </w:r>
      <w:r>
        <w:rPr>
          <w:spacing w:val="-3"/>
          <w:vertAlign w:val="baseline"/>
        </w:rPr>
        <w:t>壤酸化和次生盐渍化等</w:t>
      </w:r>
      <w:r>
        <w:rPr>
          <w:spacing w:val="-49"/>
          <w:vertAlign w:val="baseline"/>
        </w:rPr>
        <w:t>）</w:t>
      </w:r>
      <w:r>
        <w:rPr>
          <w:spacing w:val="-8"/>
          <w:vertAlign w:val="baseline"/>
        </w:rPr>
        <w:t>响应与调控的生理与分子机制；设施园艺作</w:t>
      </w:r>
      <w:r>
        <w:rPr>
          <w:spacing w:val="-9"/>
          <w:vertAlign w:val="baseline"/>
        </w:rPr>
        <w:t>物养分高效利用的生物学基础与调控机制；连作障碍形成中作物与土</w:t>
      </w:r>
      <w:r>
        <w:rPr>
          <w:spacing w:val="3"/>
          <w:vertAlign w:val="baseline"/>
        </w:rPr>
        <w:t>壤间的反馈调控机制；根域限制调控园艺作物生长发育的生物学原理。</w:t>
      </w:r>
    </w:p>
    <w:p>
      <w:pPr>
        <w:pStyle w:val="Heading8"/>
        <w:numPr>
          <w:ilvl w:val="2"/>
          <w:numId w:val="15"/>
        </w:numPr>
        <w:tabs>
          <w:tab w:pos="1479" w:val="left" w:leader="none"/>
        </w:tabs>
        <w:spacing w:line="409" w:lineRule="exact" w:before="0" w:after="0"/>
        <w:ind w:left="1478" w:right="0" w:hanging="699"/>
        <w:jc w:val="left"/>
      </w:pPr>
      <w:r>
        <w:rPr/>
        <w:t>园艺作物绿色生产的关键基础研究</w:t>
      </w:r>
    </w:p>
    <w:p>
      <w:pPr>
        <w:pStyle w:val="BodyText"/>
        <w:spacing w:line="417" w:lineRule="auto" w:before="264"/>
        <w:ind w:left="780" w:right="1235" w:firstLine="479"/>
      </w:pPr>
      <w:r>
        <w:rPr>
          <w:spacing w:val="-3"/>
        </w:rPr>
        <w:t>园艺作物抗逆重要基因</w:t>
      </w:r>
      <w:r>
        <w:rPr>
          <w:rFonts w:ascii="Times New Roman" w:hAnsi="Times New Roman" w:eastAsia="Times New Roman"/>
        </w:rPr>
        <w:t>/QTLs </w:t>
      </w:r>
      <w:r>
        <w:rPr>
          <w:spacing w:val="-3"/>
        </w:rPr>
        <w:t>的挖掘与抗逆改良应用；园艺作物</w:t>
      </w:r>
      <w:r>
        <w:rPr>
          <w:spacing w:val="-9"/>
        </w:rPr>
        <w:t>生长发育对多种胁迫的响应及其调控网络；园艺作物</w:t>
      </w:r>
      <w:r>
        <w:rPr>
          <w:rFonts w:ascii="Times New Roman" w:hAnsi="Times New Roman" w:eastAsia="Times New Roman"/>
          <w:spacing w:val="-3"/>
        </w:rPr>
        <w:t>—</w:t>
      </w:r>
      <w:r>
        <w:rPr>
          <w:spacing w:val="-3"/>
        </w:rPr>
        <w:t>有益有害生物</w:t>
      </w:r>
    </w:p>
    <w:p>
      <w:pPr>
        <w:pStyle w:val="BodyText"/>
        <w:spacing w:line="417" w:lineRule="auto"/>
        <w:ind w:left="780" w:right="1238"/>
      </w:pPr>
      <w:r>
        <w:rPr>
          <w:rFonts w:ascii="Times New Roman" w:hAnsi="Times New Roman" w:eastAsia="Times New Roman"/>
          <w:spacing w:val="-3"/>
        </w:rPr>
        <w:t>—</w:t>
      </w:r>
      <w:r>
        <w:rPr>
          <w:spacing w:val="-11"/>
        </w:rPr>
        <w:t>环境间的互作及其生态防控机制；园艺产品采后腐烂损耗发生的病</w:t>
      </w:r>
      <w:r>
        <w:rPr>
          <w:spacing w:val="-3"/>
        </w:rPr>
        <w:t>理与生理基础及其控制途径。</w:t>
      </w:r>
    </w:p>
    <w:p>
      <w:pPr>
        <w:pStyle w:val="Heading8"/>
        <w:numPr>
          <w:ilvl w:val="2"/>
          <w:numId w:val="15"/>
        </w:numPr>
        <w:tabs>
          <w:tab w:pos="1479" w:val="left" w:leader="none"/>
        </w:tabs>
        <w:spacing w:line="409" w:lineRule="exact" w:before="0" w:after="0"/>
        <w:ind w:left="1478" w:right="0" w:hanging="699"/>
        <w:jc w:val="left"/>
      </w:pPr>
      <w:r>
        <w:rPr/>
        <w:t>园艺产品品质形成机制与调控</w:t>
      </w:r>
    </w:p>
    <w:p>
      <w:pPr>
        <w:pStyle w:val="BodyText"/>
        <w:spacing w:line="417" w:lineRule="auto" w:before="265"/>
        <w:ind w:left="780" w:right="1235" w:firstLine="479"/>
        <w:jc w:val="both"/>
      </w:pPr>
      <w:r>
        <w:rPr>
          <w:spacing w:val="-3"/>
        </w:rPr>
        <w:t>品质构成的主要物质</w:t>
      </w:r>
      <w:r>
        <w:rPr/>
        <w:t>（</w:t>
      </w:r>
      <w:r>
        <w:rPr>
          <w:spacing w:val="-3"/>
        </w:rPr>
        <w:t>色素、糖、有机酸、芳香物质等）</w:t>
      </w:r>
      <w:r>
        <w:rPr/>
        <w:t>代谢途</w:t>
      </w:r>
      <w:r>
        <w:rPr>
          <w:spacing w:val="-10"/>
        </w:rPr>
        <w:t>径及其关键位点和关键基因鉴别；物质代谢的转录及表观遗传调控关</w:t>
      </w:r>
      <w:r>
        <w:rPr>
          <w:spacing w:val="-13"/>
        </w:rPr>
        <w:t>键基因鉴别以及品质形成机制解析；物质转运、贮存和修饰的分子与</w:t>
      </w:r>
      <w:r>
        <w:rPr>
          <w:spacing w:val="-11"/>
        </w:rPr>
        <w:t>细胞生物学机制；多种代谢的交互作用及调控机制；内部信号和环境</w:t>
      </w:r>
      <w:r>
        <w:rPr>
          <w:spacing w:val="-3"/>
        </w:rPr>
        <w:t>因子对园艺作物品质形成的调控机制。</w:t>
      </w:r>
    </w:p>
    <w:p>
      <w:pPr>
        <w:pStyle w:val="Heading8"/>
        <w:numPr>
          <w:ilvl w:val="2"/>
          <w:numId w:val="15"/>
        </w:numPr>
        <w:tabs>
          <w:tab w:pos="1479" w:val="left" w:leader="none"/>
        </w:tabs>
        <w:spacing w:line="407" w:lineRule="exact" w:before="0" w:after="0"/>
        <w:ind w:left="1478" w:right="0" w:hanging="699"/>
        <w:jc w:val="left"/>
      </w:pPr>
      <w:r>
        <w:rPr/>
        <w:t>园艺产品器官建成机制与调控</w:t>
      </w:r>
    </w:p>
    <w:p>
      <w:pPr>
        <w:pStyle w:val="BodyText"/>
        <w:spacing w:before="264"/>
        <w:ind w:left="1129" w:right="1040"/>
        <w:jc w:val="center"/>
      </w:pPr>
      <w:r>
        <w:rPr/>
        <w:t>叶、花、茎和根形态发生、建成和变态的遗传与发育生物学基础；</w:t>
      </w:r>
    </w:p>
    <w:p>
      <w:pPr>
        <w:spacing w:after="0"/>
        <w:jc w:val="center"/>
        <w:sectPr>
          <w:pgSz w:w="11910" w:h="16840"/>
          <w:pgMar w:header="0" w:footer="1035" w:top="1520" w:bottom="1300" w:left="1020" w:right="560"/>
        </w:sectPr>
      </w:pPr>
    </w:p>
    <w:p>
      <w:pPr>
        <w:pStyle w:val="BodyText"/>
        <w:spacing w:line="417" w:lineRule="auto" w:before="34"/>
        <w:ind w:left="780" w:right="1238"/>
      </w:pPr>
      <w:r>
        <w:rPr>
          <w:spacing w:val="-9"/>
        </w:rPr>
        <w:t>果实大小和形状多样性的分子与细胞生物学基础；园艺产品器官发育</w:t>
      </w:r>
      <w:r>
        <w:rPr>
          <w:spacing w:val="-3"/>
        </w:rPr>
        <w:t>与产量形成的调控途径及其生物学机制。</w:t>
      </w:r>
    </w:p>
    <w:p>
      <w:pPr>
        <w:pStyle w:val="Heading8"/>
        <w:numPr>
          <w:ilvl w:val="2"/>
          <w:numId w:val="15"/>
        </w:numPr>
        <w:tabs>
          <w:tab w:pos="1479" w:val="left" w:leader="none"/>
        </w:tabs>
        <w:spacing w:line="410" w:lineRule="exact" w:before="0" w:after="0"/>
        <w:ind w:left="1478" w:right="0" w:hanging="699"/>
        <w:jc w:val="left"/>
      </w:pPr>
      <w:r>
        <w:rPr/>
        <w:t>园艺产品成熟衰老生物学机制</w:t>
      </w:r>
    </w:p>
    <w:p>
      <w:pPr>
        <w:pStyle w:val="BodyText"/>
        <w:spacing w:line="417" w:lineRule="auto" w:before="265"/>
        <w:ind w:left="780" w:right="1236" w:firstLine="479"/>
        <w:jc w:val="both"/>
      </w:pPr>
      <w:r>
        <w:rPr>
          <w:spacing w:val="-5"/>
        </w:rPr>
        <w:t>园艺产品成熟衰老关键基因的鉴别以及成熟衰老机制解析；园艺</w:t>
      </w:r>
      <w:r>
        <w:rPr>
          <w:spacing w:val="-11"/>
        </w:rPr>
        <w:t>产品采后质地等品质变化机制与调控路径；物流微环境调控园艺产品成熟衰老的生物学基础；基于植物激素的园艺产品成熟衰老的调控机</w:t>
      </w:r>
      <w:r>
        <w:rPr>
          <w:spacing w:val="-7"/>
        </w:rPr>
        <w:t>制；园艺产品采后冷害等生理失调的发生机制与调控。</w:t>
      </w:r>
    </w:p>
    <w:p>
      <w:pPr>
        <w:pStyle w:val="BodyText"/>
      </w:pPr>
    </w:p>
    <w:p>
      <w:pPr>
        <w:pStyle w:val="BodyText"/>
        <w:spacing w:before="6"/>
      </w:pPr>
    </w:p>
    <w:p>
      <w:pPr>
        <w:pStyle w:val="Heading8"/>
        <w:numPr>
          <w:ilvl w:val="0"/>
          <w:numId w:val="15"/>
        </w:numPr>
        <w:tabs>
          <w:tab w:pos="1059" w:val="left" w:leader="none"/>
        </w:tabs>
        <w:spacing w:line="240" w:lineRule="auto" w:before="1" w:after="0"/>
        <w:ind w:left="1058" w:right="0" w:hanging="279"/>
        <w:jc w:val="left"/>
        <w:rPr>
          <w:rFonts w:ascii="黑体" w:eastAsia="黑体" w:hint="eastAsia"/>
        </w:rPr>
      </w:pPr>
      <w:r>
        <w:rPr>
          <w:rFonts w:ascii="黑体" w:eastAsia="黑体" w:hint="eastAsia"/>
        </w:rPr>
        <w:t>结 语</w:t>
      </w:r>
    </w:p>
    <w:p>
      <w:pPr>
        <w:pStyle w:val="BodyText"/>
        <w:spacing w:before="5"/>
        <w:rPr>
          <w:rFonts w:ascii="黑体"/>
          <w:b/>
          <w:sz w:val="24"/>
        </w:rPr>
      </w:pPr>
    </w:p>
    <w:p>
      <w:pPr>
        <w:pStyle w:val="BodyText"/>
        <w:spacing w:line="417" w:lineRule="auto"/>
        <w:ind w:left="780" w:right="1169" w:firstLine="479"/>
        <w:jc w:val="both"/>
      </w:pPr>
      <w:r>
        <w:rPr>
          <w:spacing w:val="-5"/>
        </w:rPr>
        <w:t>园艺学是我国农业的重要组成部分，在发展农业经济和改善国民</w:t>
      </w:r>
      <w:r>
        <w:rPr>
          <w:spacing w:val="-12"/>
        </w:rPr>
        <w:t>生活水平方面起着重要作用。我国园艺产业面临着种质资源开发利用不足、新品种培育落后于需求、产品品质有待提高、生产环境调控技术有待发展、贮运损耗较大等瓶颈问题，而这些问题的解决依赖园艺</w:t>
      </w:r>
      <w:r>
        <w:rPr>
          <w:spacing w:val="-10"/>
        </w:rPr>
        <w:t>科技进步。同时，园艺作物具有类型多样、多年生、无性繁殖、产品</w:t>
      </w:r>
      <w:r>
        <w:rPr>
          <w:spacing w:val="-13"/>
        </w:rPr>
        <w:t>鲜活易腐烂等特点，赋予了园艺学独特的研究内容。近年来，得益于与基础生物学各相关学科的密切交叉，已在园艺作物种质创新、基因</w:t>
      </w:r>
      <w:r>
        <w:rPr>
          <w:spacing w:val="-12"/>
        </w:rPr>
        <w:t>组研究、环境生物学、发育与采后生物学等方面取得了突破性进展。</w:t>
      </w:r>
      <w:r>
        <w:rPr>
          <w:spacing w:val="-9"/>
        </w:rPr>
        <w:t>今后需进一步加强多学科交叉开展研究，以推动园艺科技进步，促进</w:t>
      </w:r>
      <w:r>
        <w:rPr>
          <w:spacing w:val="-11"/>
        </w:rPr>
        <w:t>园艺产业发展。针对园艺作物特殊性状和园艺产业重大问题，提出了</w:t>
      </w:r>
      <w:r>
        <w:rPr>
          <w:spacing w:val="-31"/>
        </w:rPr>
        <w:t>未来 </w:t>
      </w:r>
      <w:r>
        <w:rPr>
          <w:rFonts w:ascii="Times New Roman" w:eastAsia="Times New Roman"/>
        </w:rPr>
        <w:t>5-10 </w:t>
      </w:r>
      <w:r>
        <w:rPr>
          <w:spacing w:val="-3"/>
        </w:rPr>
        <w:t>年园艺学多学科交叉发展目标及资助重点。</w:t>
      </w:r>
    </w:p>
    <w:p>
      <w:pPr>
        <w:pStyle w:val="BodyText"/>
        <w:spacing w:before="4"/>
        <w:rPr>
          <w:sz w:val="44"/>
        </w:rPr>
      </w:pPr>
    </w:p>
    <w:p>
      <w:pPr>
        <w:pStyle w:val="Heading8"/>
        <w:rPr>
          <w:rFonts w:ascii="宋体" w:eastAsia="宋体" w:hint="eastAsia"/>
        </w:rPr>
      </w:pPr>
      <w:r>
        <w:rPr>
          <w:rFonts w:ascii="宋体" w:eastAsia="宋体" w:hint="eastAsia"/>
        </w:rPr>
        <w:t>参考文献</w:t>
      </w:r>
    </w:p>
    <w:p>
      <w:pPr>
        <w:spacing w:after="0"/>
        <w:rPr>
          <w:rFonts w:ascii="宋体" w:eastAsia="宋体" w:hint="eastAsia"/>
        </w:rPr>
        <w:sectPr>
          <w:pgSz w:w="11910" w:h="16840"/>
          <w:pgMar w:header="0" w:footer="1035" w:top="1520" w:bottom="1300" w:left="1020" w:right="560"/>
        </w:sectPr>
      </w:pPr>
    </w:p>
    <w:p>
      <w:pPr>
        <w:pStyle w:val="ListParagraph"/>
        <w:numPr>
          <w:ilvl w:val="0"/>
          <w:numId w:val="16"/>
        </w:numPr>
        <w:tabs>
          <w:tab w:pos="1258" w:val="left" w:leader="none"/>
        </w:tabs>
        <w:spacing w:line="417" w:lineRule="auto" w:before="54" w:after="0"/>
        <w:ind w:left="780" w:right="1235" w:firstLine="0"/>
        <w:jc w:val="both"/>
        <w:rPr>
          <w:sz w:val="28"/>
        </w:rPr>
      </w:pPr>
      <w:r>
        <w:rPr>
          <w:rFonts w:ascii="宋体" w:eastAsia="宋体" w:hint="eastAsia"/>
          <w:spacing w:val="12"/>
          <w:sz w:val="28"/>
        </w:rPr>
        <w:t>刘彬</w:t>
      </w:r>
      <w:r>
        <w:rPr>
          <w:spacing w:val="9"/>
          <w:sz w:val="28"/>
        </w:rPr>
        <w:t>, </w:t>
      </w:r>
      <w:r>
        <w:rPr>
          <w:rFonts w:ascii="宋体" w:eastAsia="宋体" w:hint="eastAsia"/>
          <w:spacing w:val="12"/>
          <w:sz w:val="28"/>
        </w:rPr>
        <w:t>邓秀新</w:t>
      </w:r>
      <w:r>
        <w:rPr>
          <w:spacing w:val="11"/>
          <w:sz w:val="28"/>
        </w:rPr>
        <w:t>. </w:t>
      </w:r>
      <w:r>
        <w:rPr>
          <w:rFonts w:ascii="宋体" w:eastAsia="宋体" w:hint="eastAsia"/>
          <w:spacing w:val="10"/>
          <w:sz w:val="28"/>
        </w:rPr>
        <w:t>基于文献计量的园艺学基础研究发展状况分析</w:t>
      </w:r>
      <w:r>
        <w:rPr>
          <w:spacing w:val="-14"/>
          <w:sz w:val="28"/>
        </w:rPr>
        <w:t>. </w:t>
      </w:r>
      <w:r>
        <w:rPr>
          <w:rFonts w:ascii="宋体" w:eastAsia="宋体" w:hint="eastAsia"/>
          <w:spacing w:val="-1"/>
          <w:sz w:val="28"/>
        </w:rPr>
        <w:t>中国农业科学</w:t>
      </w:r>
      <w:r>
        <w:rPr>
          <w:spacing w:val="-1"/>
          <w:sz w:val="28"/>
        </w:rPr>
        <w:t>, </w:t>
      </w:r>
      <w:r>
        <w:rPr>
          <w:sz w:val="28"/>
        </w:rPr>
        <w:t>2015,</w:t>
      </w:r>
      <w:r>
        <w:rPr>
          <w:spacing w:val="-3"/>
          <w:sz w:val="28"/>
        </w:rPr>
        <w:t> </w:t>
      </w:r>
      <w:r>
        <w:rPr>
          <w:sz w:val="28"/>
        </w:rPr>
        <w:t>48(17):</w:t>
      </w:r>
      <w:r>
        <w:rPr>
          <w:spacing w:val="-1"/>
          <w:sz w:val="28"/>
        </w:rPr>
        <w:t> </w:t>
      </w:r>
      <w:r>
        <w:rPr>
          <w:sz w:val="28"/>
        </w:rPr>
        <w:t>3504-3514.</w:t>
      </w:r>
    </w:p>
    <w:p>
      <w:pPr>
        <w:pStyle w:val="ListParagraph"/>
        <w:numPr>
          <w:ilvl w:val="0"/>
          <w:numId w:val="16"/>
        </w:numPr>
        <w:tabs>
          <w:tab w:pos="1273" w:val="left" w:leader="none"/>
        </w:tabs>
        <w:spacing w:line="465" w:lineRule="auto" w:before="64" w:after="0"/>
        <w:ind w:left="780" w:right="1234" w:firstLine="0"/>
        <w:jc w:val="both"/>
        <w:rPr>
          <w:sz w:val="28"/>
        </w:rPr>
      </w:pPr>
      <w:r>
        <w:rPr>
          <w:sz w:val="28"/>
        </w:rPr>
        <w:t>Shang </w:t>
      </w:r>
      <w:r>
        <w:rPr>
          <w:spacing w:val="-19"/>
          <w:sz w:val="28"/>
        </w:rPr>
        <w:t>Y, </w:t>
      </w:r>
      <w:r>
        <w:rPr>
          <w:sz w:val="28"/>
        </w:rPr>
        <w:t>Ma YS, Zhou </w:t>
      </w:r>
      <w:r>
        <w:rPr>
          <w:spacing w:val="-19"/>
          <w:sz w:val="28"/>
        </w:rPr>
        <w:t>Y, </w:t>
      </w:r>
      <w:r>
        <w:rPr>
          <w:sz w:val="28"/>
        </w:rPr>
        <w:t>et al. Biosynthesis, regulation, and domestication of bitterness in </w:t>
      </w:r>
      <w:r>
        <w:rPr>
          <w:spacing w:val="-3"/>
          <w:sz w:val="28"/>
        </w:rPr>
        <w:t>cucumber. </w:t>
      </w:r>
      <w:r>
        <w:rPr>
          <w:sz w:val="28"/>
        </w:rPr>
        <w:t>Science, 2014, 346:</w:t>
      </w:r>
      <w:r>
        <w:rPr>
          <w:spacing w:val="-17"/>
          <w:sz w:val="28"/>
        </w:rPr>
        <w:t> </w:t>
      </w:r>
      <w:r>
        <w:rPr>
          <w:sz w:val="28"/>
        </w:rPr>
        <w:t>1084-1088.</w:t>
      </w:r>
    </w:p>
    <w:p>
      <w:pPr>
        <w:pStyle w:val="ListParagraph"/>
        <w:numPr>
          <w:ilvl w:val="0"/>
          <w:numId w:val="16"/>
        </w:numPr>
        <w:tabs>
          <w:tab w:pos="1203" w:val="left" w:leader="none"/>
        </w:tabs>
        <w:spacing w:line="465" w:lineRule="auto" w:before="49" w:after="0"/>
        <w:ind w:left="780" w:right="1234" w:firstLine="0"/>
        <w:jc w:val="both"/>
        <w:rPr>
          <w:sz w:val="28"/>
        </w:rPr>
      </w:pPr>
      <w:r>
        <w:rPr>
          <w:sz w:val="28"/>
        </w:rPr>
        <w:t>Xu Q, Chen LL, Ruan XA, et al. The draft genome of sweet orange (</w:t>
      </w:r>
      <w:r>
        <w:rPr>
          <w:i/>
          <w:sz w:val="28"/>
        </w:rPr>
        <w:t>Citrus sinensis</w:t>
      </w:r>
      <w:r>
        <w:rPr>
          <w:sz w:val="28"/>
        </w:rPr>
        <w:t>). Nature Genetics, 45:</w:t>
      </w:r>
      <w:r>
        <w:rPr>
          <w:spacing w:val="-8"/>
          <w:sz w:val="28"/>
        </w:rPr>
        <w:t> </w:t>
      </w:r>
      <w:r>
        <w:rPr>
          <w:sz w:val="28"/>
        </w:rPr>
        <w:t>59-66.</w:t>
      </w:r>
    </w:p>
    <w:p>
      <w:pPr>
        <w:pStyle w:val="ListParagraph"/>
        <w:numPr>
          <w:ilvl w:val="0"/>
          <w:numId w:val="16"/>
        </w:numPr>
        <w:tabs>
          <w:tab w:pos="1203" w:val="left" w:leader="none"/>
        </w:tabs>
        <w:spacing w:line="463" w:lineRule="auto" w:before="50" w:after="0"/>
        <w:ind w:left="780" w:right="1234" w:firstLine="0"/>
        <w:jc w:val="both"/>
        <w:rPr>
          <w:sz w:val="28"/>
        </w:rPr>
      </w:pPr>
      <w:r>
        <w:rPr>
          <w:sz w:val="28"/>
        </w:rPr>
        <w:t>Khan MA, Korban SS. Association mapping in forest trees and fruit crops. Journal of Experimental </w:t>
      </w:r>
      <w:r>
        <w:rPr>
          <w:spacing w:val="-5"/>
          <w:sz w:val="28"/>
        </w:rPr>
        <w:t>Botany, </w:t>
      </w:r>
      <w:r>
        <w:rPr>
          <w:sz w:val="28"/>
        </w:rPr>
        <w:t>2012, 63: 4045-4060.</w:t>
      </w:r>
    </w:p>
    <w:p>
      <w:pPr>
        <w:pStyle w:val="ListParagraph"/>
        <w:numPr>
          <w:ilvl w:val="0"/>
          <w:numId w:val="16"/>
        </w:numPr>
        <w:tabs>
          <w:tab w:pos="1225" w:val="left" w:leader="none"/>
        </w:tabs>
        <w:spacing w:line="465" w:lineRule="auto" w:before="53" w:after="0"/>
        <w:ind w:left="780" w:right="1233" w:firstLine="0"/>
        <w:jc w:val="both"/>
        <w:rPr>
          <w:sz w:val="28"/>
        </w:rPr>
      </w:pPr>
      <w:r>
        <w:rPr>
          <w:sz w:val="28"/>
        </w:rPr>
        <w:t>Kumar S, Garrick DJ, Bink MC, et al. Novel genomic approaches unravel genetic architecture of complex traits in apple. BMC Genomics, 2013, 14:</w:t>
      </w:r>
      <w:r>
        <w:rPr>
          <w:spacing w:val="-4"/>
          <w:sz w:val="28"/>
        </w:rPr>
        <w:t> </w:t>
      </w:r>
      <w:r>
        <w:rPr>
          <w:sz w:val="28"/>
        </w:rPr>
        <w:t>393.</w:t>
      </w:r>
    </w:p>
    <w:p>
      <w:pPr>
        <w:pStyle w:val="ListParagraph"/>
        <w:numPr>
          <w:ilvl w:val="0"/>
          <w:numId w:val="16"/>
        </w:numPr>
        <w:tabs>
          <w:tab w:pos="1201" w:val="left" w:leader="none"/>
        </w:tabs>
        <w:spacing w:line="465" w:lineRule="auto" w:before="49" w:after="0"/>
        <w:ind w:left="780" w:right="1235" w:firstLine="0"/>
        <w:jc w:val="both"/>
        <w:rPr>
          <w:sz w:val="28"/>
        </w:rPr>
      </w:pPr>
      <w:r>
        <w:rPr>
          <w:sz w:val="28"/>
        </w:rPr>
        <w:t>Ding YD, Chang </w:t>
      </w:r>
      <w:r>
        <w:rPr>
          <w:spacing w:val="-10"/>
          <w:sz w:val="28"/>
        </w:rPr>
        <w:t>JW, </w:t>
      </w:r>
      <w:r>
        <w:rPr>
          <w:sz w:val="28"/>
        </w:rPr>
        <w:t>Ma QL, et al. Network analysis of postharvest senescence process in citrus fruits revealed by transcriptomic and metabolomic profiling. Plant </w:t>
      </w:r>
      <w:r>
        <w:rPr>
          <w:spacing w:val="-4"/>
          <w:sz w:val="28"/>
        </w:rPr>
        <w:t>Physiology, </w:t>
      </w:r>
      <w:r>
        <w:rPr>
          <w:sz w:val="28"/>
        </w:rPr>
        <w:t>2015, 168:</w:t>
      </w:r>
      <w:r>
        <w:rPr>
          <w:spacing w:val="2"/>
          <w:sz w:val="28"/>
        </w:rPr>
        <w:t> </w:t>
      </w:r>
      <w:r>
        <w:rPr>
          <w:sz w:val="28"/>
        </w:rPr>
        <w:t>357-376.</w:t>
      </w:r>
    </w:p>
    <w:p>
      <w:pPr>
        <w:pStyle w:val="ListParagraph"/>
        <w:numPr>
          <w:ilvl w:val="0"/>
          <w:numId w:val="16"/>
        </w:numPr>
        <w:tabs>
          <w:tab w:pos="1275" w:val="left" w:leader="none"/>
        </w:tabs>
        <w:spacing w:line="465" w:lineRule="auto" w:before="49" w:after="0"/>
        <w:ind w:left="780" w:right="1234" w:firstLine="0"/>
        <w:jc w:val="both"/>
        <w:rPr>
          <w:sz w:val="28"/>
        </w:rPr>
      </w:pPr>
      <w:r>
        <w:rPr>
          <w:sz w:val="28"/>
        </w:rPr>
        <w:t>Guo </w:t>
      </w:r>
      <w:r>
        <w:rPr>
          <w:spacing w:val="-11"/>
          <w:sz w:val="28"/>
        </w:rPr>
        <w:t>WW, </w:t>
      </w:r>
      <w:r>
        <w:rPr>
          <w:sz w:val="28"/>
        </w:rPr>
        <w:t>Xiao SX, Deng XX. Somatic cybrid production via protoplast fusion for citrus improvement. Scientia Horticulturae, 2013, 163:</w:t>
      </w:r>
      <w:r>
        <w:rPr>
          <w:spacing w:val="-1"/>
          <w:sz w:val="28"/>
        </w:rPr>
        <w:t> </w:t>
      </w:r>
      <w:r>
        <w:rPr>
          <w:sz w:val="28"/>
        </w:rPr>
        <w:t>20-26.</w:t>
      </w:r>
    </w:p>
    <w:p>
      <w:pPr>
        <w:pStyle w:val="ListParagraph"/>
        <w:numPr>
          <w:ilvl w:val="0"/>
          <w:numId w:val="16"/>
        </w:numPr>
        <w:tabs>
          <w:tab w:pos="1254" w:val="left" w:leader="none"/>
        </w:tabs>
        <w:spacing w:line="417" w:lineRule="auto" w:before="34" w:after="0"/>
        <w:ind w:left="780" w:right="1231" w:firstLine="0"/>
        <w:jc w:val="both"/>
        <w:rPr>
          <w:sz w:val="28"/>
        </w:rPr>
      </w:pPr>
      <w:r>
        <w:rPr>
          <w:rFonts w:ascii="宋体" w:hAnsi="宋体" w:eastAsia="宋体" w:hint="eastAsia"/>
          <w:spacing w:val="4"/>
          <w:sz w:val="28"/>
        </w:rPr>
        <w:t>喻景权</w:t>
      </w:r>
      <w:r>
        <w:rPr>
          <w:spacing w:val="6"/>
          <w:sz w:val="28"/>
        </w:rPr>
        <w:t>. “</w:t>
      </w:r>
      <w:r>
        <w:rPr>
          <w:rFonts w:ascii="宋体" w:hAnsi="宋体" w:eastAsia="宋体" w:hint="eastAsia"/>
          <w:spacing w:val="5"/>
          <w:sz w:val="28"/>
        </w:rPr>
        <w:t>十一五</w:t>
      </w:r>
      <w:r>
        <w:rPr>
          <w:spacing w:val="4"/>
          <w:sz w:val="28"/>
        </w:rPr>
        <w:t>”</w:t>
      </w:r>
      <w:r>
        <w:rPr>
          <w:rFonts w:ascii="宋体" w:hAnsi="宋体" w:eastAsia="宋体" w:hint="eastAsia"/>
          <w:spacing w:val="4"/>
          <w:sz w:val="28"/>
        </w:rPr>
        <w:t>我国设施蔬菜生产和科技进展及其展望</w:t>
      </w:r>
      <w:r>
        <w:rPr>
          <w:spacing w:val="8"/>
          <w:sz w:val="28"/>
        </w:rPr>
        <w:t>. </w:t>
      </w:r>
      <w:r>
        <w:rPr>
          <w:rFonts w:ascii="宋体" w:hAnsi="宋体" w:eastAsia="宋体" w:hint="eastAsia"/>
          <w:spacing w:val="4"/>
          <w:sz w:val="28"/>
        </w:rPr>
        <w:t>中国</w:t>
      </w:r>
      <w:r>
        <w:rPr>
          <w:rFonts w:ascii="宋体" w:hAnsi="宋体" w:eastAsia="宋体" w:hint="eastAsia"/>
          <w:sz w:val="28"/>
        </w:rPr>
        <w:t>蔬菜</w:t>
      </w:r>
      <w:r>
        <w:rPr>
          <w:spacing w:val="-1"/>
          <w:sz w:val="28"/>
        </w:rPr>
        <w:t>, </w:t>
      </w:r>
      <w:r>
        <w:rPr>
          <w:spacing w:val="-3"/>
          <w:sz w:val="28"/>
        </w:rPr>
        <w:t>2011,</w:t>
      </w:r>
      <w:r>
        <w:rPr>
          <w:spacing w:val="-1"/>
          <w:sz w:val="28"/>
        </w:rPr>
        <w:t> (</w:t>
      </w:r>
      <w:r>
        <w:rPr>
          <w:sz w:val="28"/>
        </w:rPr>
        <w:t>2):</w:t>
      </w:r>
      <w:r>
        <w:rPr>
          <w:spacing w:val="-2"/>
          <w:sz w:val="28"/>
        </w:rPr>
        <w:t> </w:t>
      </w:r>
      <w:r>
        <w:rPr>
          <w:spacing w:val="-3"/>
          <w:sz w:val="28"/>
        </w:rPr>
        <w:t>11-23.</w:t>
      </w:r>
    </w:p>
    <w:p>
      <w:pPr>
        <w:pStyle w:val="ListParagraph"/>
        <w:numPr>
          <w:ilvl w:val="0"/>
          <w:numId w:val="16"/>
        </w:numPr>
        <w:tabs>
          <w:tab w:pos="1220" w:val="left" w:leader="none"/>
        </w:tabs>
        <w:spacing w:line="465" w:lineRule="auto" w:before="65" w:after="0"/>
        <w:ind w:left="780" w:right="1234" w:firstLine="0"/>
        <w:jc w:val="both"/>
        <w:rPr>
          <w:sz w:val="28"/>
        </w:rPr>
      </w:pPr>
      <w:r>
        <w:rPr>
          <w:sz w:val="28"/>
        </w:rPr>
        <w:t>Zhou S, Li M, Guan Q, et al. Physiological and proteome analysis suggest critical roles for the photosynthetic system for high</w:t>
      </w:r>
      <w:r>
        <w:rPr>
          <w:spacing w:val="-18"/>
          <w:sz w:val="28"/>
        </w:rPr>
        <w:t> </w:t>
      </w:r>
      <w:r>
        <w:rPr>
          <w:sz w:val="28"/>
        </w:rPr>
        <w:t>water-use</w:t>
      </w:r>
    </w:p>
    <w:p>
      <w:pPr>
        <w:spacing w:after="0" w:line="465" w:lineRule="auto"/>
        <w:jc w:val="both"/>
        <w:rPr>
          <w:sz w:val="28"/>
        </w:rPr>
        <w:sectPr>
          <w:pgSz w:w="11910" w:h="16840"/>
          <w:pgMar w:header="0" w:footer="1035" w:top="1500" w:bottom="1300" w:left="1020" w:right="560"/>
        </w:sectPr>
      </w:pPr>
    </w:p>
    <w:p>
      <w:pPr>
        <w:pStyle w:val="BodyText"/>
        <w:spacing w:before="68"/>
        <w:ind w:left="780"/>
        <w:rPr>
          <w:rFonts w:ascii="Times New Roman"/>
        </w:rPr>
      </w:pPr>
      <w:r>
        <w:rPr>
          <w:rFonts w:ascii="Times New Roman"/>
        </w:rPr>
        <w:t>efficiency under drought stress in </w:t>
      </w:r>
      <w:r>
        <w:rPr>
          <w:rFonts w:ascii="Times New Roman"/>
          <w:i/>
        </w:rPr>
        <w:t>Malus</w:t>
      </w:r>
      <w:r>
        <w:rPr>
          <w:rFonts w:ascii="Times New Roman"/>
        </w:rPr>
        <w:t>. Plant Science, 2015, 236: 44-60.</w:t>
      </w:r>
    </w:p>
    <w:p>
      <w:pPr>
        <w:pStyle w:val="BodyText"/>
        <w:spacing w:before="8"/>
        <w:rPr>
          <w:rFonts w:ascii="Times New Roman"/>
          <w:sz w:val="30"/>
        </w:rPr>
      </w:pPr>
    </w:p>
    <w:p>
      <w:pPr>
        <w:pStyle w:val="ListParagraph"/>
        <w:numPr>
          <w:ilvl w:val="0"/>
          <w:numId w:val="16"/>
        </w:numPr>
        <w:tabs>
          <w:tab w:pos="1350" w:val="left" w:leader="none"/>
        </w:tabs>
        <w:spacing w:line="240" w:lineRule="auto" w:before="0" w:after="0"/>
        <w:ind w:left="1349" w:right="0" w:hanging="570"/>
        <w:jc w:val="both"/>
        <w:rPr>
          <w:i/>
          <w:sz w:val="28"/>
        </w:rPr>
      </w:pPr>
      <w:r>
        <w:rPr>
          <w:sz w:val="28"/>
        </w:rPr>
        <w:t>Lin</w:t>
      </w:r>
      <w:r>
        <w:rPr>
          <w:spacing w:val="29"/>
          <w:sz w:val="28"/>
        </w:rPr>
        <w:t> </w:t>
      </w:r>
      <w:r>
        <w:rPr>
          <w:sz w:val="28"/>
        </w:rPr>
        <w:t>ZC,</w:t>
      </w:r>
      <w:r>
        <w:rPr>
          <w:spacing w:val="29"/>
          <w:sz w:val="28"/>
        </w:rPr>
        <w:t> </w:t>
      </w:r>
      <w:r>
        <w:rPr>
          <w:sz w:val="28"/>
        </w:rPr>
        <w:t>Eaves</w:t>
      </w:r>
      <w:r>
        <w:rPr>
          <w:spacing w:val="29"/>
          <w:sz w:val="28"/>
        </w:rPr>
        <w:t> </w:t>
      </w:r>
      <w:r>
        <w:rPr>
          <w:sz w:val="28"/>
        </w:rPr>
        <w:t>DJ,</w:t>
      </w:r>
      <w:r>
        <w:rPr>
          <w:spacing w:val="28"/>
          <w:sz w:val="28"/>
        </w:rPr>
        <w:t> </w:t>
      </w:r>
      <w:r>
        <w:rPr>
          <w:sz w:val="28"/>
        </w:rPr>
        <w:t>Sanchez-Moran</w:t>
      </w:r>
      <w:r>
        <w:rPr>
          <w:spacing w:val="29"/>
          <w:sz w:val="28"/>
        </w:rPr>
        <w:t> </w:t>
      </w:r>
      <w:r>
        <w:rPr>
          <w:sz w:val="28"/>
        </w:rPr>
        <w:t>E,</w:t>
      </w:r>
      <w:r>
        <w:rPr>
          <w:spacing w:val="29"/>
          <w:sz w:val="28"/>
        </w:rPr>
        <w:t> </w:t>
      </w:r>
      <w:r>
        <w:rPr>
          <w:sz w:val="28"/>
        </w:rPr>
        <w:t>et</w:t>
      </w:r>
      <w:r>
        <w:rPr>
          <w:spacing w:val="30"/>
          <w:sz w:val="28"/>
        </w:rPr>
        <w:t> </w:t>
      </w:r>
      <w:r>
        <w:rPr>
          <w:sz w:val="28"/>
        </w:rPr>
        <w:t>al.</w:t>
      </w:r>
      <w:r>
        <w:rPr>
          <w:spacing w:val="29"/>
          <w:sz w:val="28"/>
        </w:rPr>
        <w:t> </w:t>
      </w:r>
      <w:r>
        <w:rPr>
          <w:sz w:val="28"/>
        </w:rPr>
        <w:t>The</w:t>
      </w:r>
      <w:r>
        <w:rPr>
          <w:spacing w:val="30"/>
          <w:sz w:val="28"/>
        </w:rPr>
        <w:t> </w:t>
      </w:r>
      <w:r>
        <w:rPr>
          <w:i/>
          <w:sz w:val="28"/>
        </w:rPr>
        <w:t>Papaver</w:t>
      </w:r>
      <w:r>
        <w:rPr>
          <w:i/>
          <w:spacing w:val="32"/>
          <w:sz w:val="28"/>
        </w:rPr>
        <w:t> </w:t>
      </w:r>
      <w:r>
        <w:rPr>
          <w:i/>
          <w:sz w:val="28"/>
        </w:rPr>
        <w:t>rhoeas</w:t>
      </w:r>
      <w:r>
        <w:rPr>
          <w:i/>
          <w:spacing w:val="25"/>
          <w:sz w:val="28"/>
        </w:rPr>
        <w:t> </w:t>
      </w:r>
      <w:r>
        <w:rPr>
          <w:i/>
          <w:sz w:val="28"/>
        </w:rPr>
        <w:t>S</w:t>
      </w:r>
    </w:p>
    <w:p>
      <w:pPr>
        <w:pStyle w:val="BodyText"/>
        <w:spacing w:before="3"/>
        <w:rPr>
          <w:rFonts w:ascii="Times New Roman"/>
          <w:i/>
          <w:sz w:val="26"/>
        </w:rPr>
      </w:pPr>
    </w:p>
    <w:p>
      <w:pPr>
        <w:pStyle w:val="BodyText"/>
        <w:ind w:left="780"/>
        <w:rPr>
          <w:rFonts w:ascii="Times New Roman"/>
        </w:rPr>
      </w:pPr>
      <w:r>
        <w:rPr>
          <w:rFonts w:ascii="Times New Roman"/>
        </w:rPr>
        <w:t>determinants</w:t>
      </w:r>
    </w:p>
    <w:p>
      <w:pPr>
        <w:pStyle w:val="BodyText"/>
        <w:spacing w:before="7"/>
        <w:rPr>
          <w:rFonts w:ascii="Times New Roman"/>
          <w:sz w:val="30"/>
        </w:rPr>
      </w:pPr>
    </w:p>
    <w:p>
      <w:pPr>
        <w:spacing w:line="465" w:lineRule="auto" w:before="0"/>
        <w:ind w:left="780" w:right="1233" w:firstLine="0"/>
        <w:jc w:val="both"/>
        <w:rPr>
          <w:rFonts w:ascii="Times New Roman"/>
          <w:sz w:val="28"/>
        </w:rPr>
      </w:pPr>
      <w:r>
        <w:rPr>
          <w:rFonts w:ascii="Times New Roman"/>
          <w:sz w:val="28"/>
        </w:rPr>
        <w:t>confer self-incompatibility to </w:t>
      </w:r>
      <w:r>
        <w:rPr>
          <w:rFonts w:ascii="Times New Roman"/>
          <w:i/>
          <w:sz w:val="28"/>
        </w:rPr>
        <w:t>Arabidopsis thaliana </w:t>
      </w:r>
      <w:r>
        <w:rPr>
          <w:rFonts w:ascii="Times New Roman"/>
          <w:sz w:val="28"/>
        </w:rPr>
        <w:t>in planta. Science, 2015, 350: 684-687.</w:t>
      </w:r>
    </w:p>
    <w:p>
      <w:pPr>
        <w:pStyle w:val="ListParagraph"/>
        <w:numPr>
          <w:ilvl w:val="0"/>
          <w:numId w:val="16"/>
        </w:numPr>
        <w:tabs>
          <w:tab w:pos="1314" w:val="left" w:leader="none"/>
        </w:tabs>
        <w:spacing w:line="465" w:lineRule="auto" w:before="49" w:after="0"/>
        <w:ind w:left="780" w:right="1231" w:firstLine="0"/>
        <w:jc w:val="both"/>
        <w:rPr>
          <w:sz w:val="28"/>
        </w:rPr>
      </w:pPr>
      <w:r>
        <w:rPr>
          <w:sz w:val="28"/>
        </w:rPr>
        <w:t>Mao </w:t>
      </w:r>
      <w:r>
        <w:rPr>
          <w:spacing w:val="-8"/>
          <w:sz w:val="28"/>
        </w:rPr>
        <w:t>YF, Wu </w:t>
      </w:r>
      <w:r>
        <w:rPr>
          <w:sz w:val="28"/>
        </w:rPr>
        <w:t>FJ, </w:t>
      </w:r>
      <w:r>
        <w:rPr>
          <w:spacing w:val="-17"/>
          <w:sz w:val="28"/>
        </w:rPr>
        <w:t>Yu </w:t>
      </w:r>
      <w:r>
        <w:rPr>
          <w:sz w:val="28"/>
        </w:rPr>
        <w:t>X, et al. microRNA319a-targeted </w:t>
      </w:r>
      <w:r>
        <w:rPr>
          <w:i/>
          <w:sz w:val="28"/>
        </w:rPr>
        <w:t>Brassica rapa </w:t>
      </w:r>
      <w:r>
        <w:rPr>
          <w:sz w:val="28"/>
        </w:rPr>
        <w:t>ssp. </w:t>
      </w:r>
      <w:r>
        <w:rPr>
          <w:i/>
          <w:sz w:val="28"/>
        </w:rPr>
        <w:t>pekinensisTCP </w:t>
      </w:r>
      <w:r>
        <w:rPr>
          <w:sz w:val="28"/>
        </w:rPr>
        <w:t>genes modulate head shape in Chinese cabbage by differential cell division arrest in leaf regions. Plant </w:t>
      </w:r>
      <w:r>
        <w:rPr>
          <w:spacing w:val="-3"/>
          <w:sz w:val="28"/>
        </w:rPr>
        <w:t>Physiology, </w:t>
      </w:r>
      <w:r>
        <w:rPr>
          <w:sz w:val="28"/>
        </w:rPr>
        <w:t>2014, 164:</w:t>
      </w:r>
      <w:r>
        <w:rPr>
          <w:spacing w:val="-1"/>
          <w:sz w:val="28"/>
        </w:rPr>
        <w:t> </w:t>
      </w:r>
      <w:r>
        <w:rPr>
          <w:sz w:val="28"/>
        </w:rPr>
        <w:t>710-720.</w:t>
      </w:r>
    </w:p>
    <w:p>
      <w:pPr>
        <w:pStyle w:val="ListParagraph"/>
        <w:numPr>
          <w:ilvl w:val="0"/>
          <w:numId w:val="16"/>
        </w:numPr>
        <w:tabs>
          <w:tab w:pos="1398" w:val="left" w:leader="none"/>
        </w:tabs>
        <w:spacing w:line="465" w:lineRule="auto" w:before="46" w:after="0"/>
        <w:ind w:left="780" w:right="1235" w:firstLine="0"/>
        <w:jc w:val="both"/>
        <w:rPr>
          <w:sz w:val="28"/>
        </w:rPr>
      </w:pPr>
      <w:r>
        <w:rPr>
          <w:sz w:val="28"/>
        </w:rPr>
        <w:t>Liu L, Zhu </w:t>
      </w:r>
      <w:r>
        <w:rPr>
          <w:spacing w:val="-19"/>
          <w:sz w:val="28"/>
        </w:rPr>
        <w:t>Y, </w:t>
      </w:r>
      <w:r>
        <w:rPr>
          <w:sz w:val="28"/>
        </w:rPr>
        <w:t>Shen LS, et al. Emerging insights into florigen transport. Current Opinion in Plant </w:t>
      </w:r>
      <w:r>
        <w:rPr>
          <w:spacing w:val="-4"/>
          <w:sz w:val="28"/>
        </w:rPr>
        <w:t>Biology, </w:t>
      </w:r>
      <w:r>
        <w:rPr>
          <w:sz w:val="28"/>
        </w:rPr>
        <w:t>2013, 16:</w:t>
      </w:r>
      <w:r>
        <w:rPr>
          <w:spacing w:val="-5"/>
          <w:sz w:val="28"/>
        </w:rPr>
        <w:t> </w:t>
      </w:r>
      <w:r>
        <w:rPr>
          <w:sz w:val="28"/>
        </w:rPr>
        <w:t>607-613.</w:t>
      </w:r>
    </w:p>
    <w:p>
      <w:pPr>
        <w:pStyle w:val="ListParagraph"/>
        <w:numPr>
          <w:ilvl w:val="0"/>
          <w:numId w:val="16"/>
        </w:numPr>
        <w:tabs>
          <w:tab w:pos="1398" w:val="left" w:leader="none"/>
        </w:tabs>
        <w:spacing w:line="465" w:lineRule="auto" w:before="50" w:after="0"/>
        <w:ind w:left="780" w:right="1231" w:firstLine="0"/>
        <w:jc w:val="both"/>
        <w:rPr>
          <w:sz w:val="28"/>
        </w:rPr>
      </w:pPr>
      <w:r>
        <w:rPr>
          <w:spacing w:val="-9"/>
          <w:sz w:val="28"/>
        </w:rPr>
        <w:t>Yang</w:t>
      </w:r>
      <w:r>
        <w:rPr>
          <w:spacing w:val="52"/>
          <w:sz w:val="28"/>
        </w:rPr>
        <w:t> </w:t>
      </w:r>
      <w:r>
        <w:rPr>
          <w:sz w:val="28"/>
        </w:rPr>
        <w:t>YJ, Ma C, Xu YJ, et al. A zinc finger protein regulates flowering time and abiotic stress tolerance in chrysanthemum </w:t>
      </w:r>
      <w:r>
        <w:rPr>
          <w:spacing w:val="3"/>
          <w:sz w:val="28"/>
        </w:rPr>
        <w:t>by </w:t>
      </w:r>
      <w:r>
        <w:rPr>
          <w:sz w:val="28"/>
        </w:rPr>
        <w:t>modulating gibberellin biosynthesis. The Plant Cell, 2014,  </w:t>
      </w:r>
      <w:r>
        <w:rPr>
          <w:spacing w:val="-2"/>
          <w:sz w:val="28"/>
        </w:rPr>
        <w:t>26: </w:t>
      </w:r>
      <w:r>
        <w:rPr>
          <w:sz w:val="28"/>
        </w:rPr>
        <w:t>2038-2054.</w:t>
      </w:r>
    </w:p>
    <w:p>
      <w:pPr>
        <w:pStyle w:val="ListParagraph"/>
        <w:numPr>
          <w:ilvl w:val="0"/>
          <w:numId w:val="16"/>
        </w:numPr>
        <w:tabs>
          <w:tab w:pos="1388" w:val="left" w:leader="none"/>
        </w:tabs>
        <w:spacing w:line="417" w:lineRule="auto" w:before="34" w:after="0"/>
        <w:ind w:left="780" w:right="1233" w:firstLine="0"/>
        <w:jc w:val="both"/>
        <w:rPr>
          <w:sz w:val="28"/>
        </w:rPr>
      </w:pPr>
      <w:r>
        <w:rPr>
          <w:rFonts w:ascii="宋体" w:eastAsia="宋体" w:hint="eastAsia"/>
          <w:spacing w:val="-2"/>
          <w:sz w:val="28"/>
        </w:rPr>
        <w:t>刘晓芬，李 方，殷学仁等</w:t>
      </w:r>
      <w:r>
        <w:rPr>
          <w:spacing w:val="4"/>
          <w:sz w:val="28"/>
        </w:rPr>
        <w:t>. </w:t>
      </w:r>
      <w:r>
        <w:rPr>
          <w:rFonts w:ascii="宋体" w:eastAsia="宋体" w:hint="eastAsia"/>
          <w:spacing w:val="-3"/>
          <w:sz w:val="28"/>
        </w:rPr>
        <w:t>花青苷生物合成转录调控研究进展</w:t>
      </w:r>
      <w:r>
        <w:rPr>
          <w:spacing w:val="-11"/>
          <w:sz w:val="28"/>
        </w:rPr>
        <w:t>. </w:t>
      </w:r>
      <w:r>
        <w:rPr>
          <w:rFonts w:ascii="宋体" w:eastAsia="宋体" w:hint="eastAsia"/>
          <w:sz w:val="28"/>
        </w:rPr>
        <w:t>园艺学报</w:t>
      </w:r>
      <w:r>
        <w:rPr>
          <w:spacing w:val="-3"/>
          <w:sz w:val="28"/>
        </w:rPr>
        <w:t>, </w:t>
      </w:r>
      <w:r>
        <w:rPr>
          <w:sz w:val="28"/>
        </w:rPr>
        <w:t>2013, 40:</w:t>
      </w:r>
      <w:r>
        <w:rPr>
          <w:spacing w:val="-2"/>
          <w:sz w:val="28"/>
        </w:rPr>
        <w:t> </w:t>
      </w:r>
      <w:r>
        <w:rPr>
          <w:sz w:val="28"/>
        </w:rPr>
        <w:t>2295-2306.</w:t>
      </w:r>
    </w:p>
    <w:p>
      <w:pPr>
        <w:pStyle w:val="ListParagraph"/>
        <w:numPr>
          <w:ilvl w:val="0"/>
          <w:numId w:val="16"/>
        </w:numPr>
        <w:tabs>
          <w:tab w:pos="1405" w:val="left" w:leader="none"/>
        </w:tabs>
        <w:spacing w:line="465" w:lineRule="auto" w:before="64" w:after="0"/>
        <w:ind w:left="780" w:right="1233" w:firstLine="0"/>
        <w:jc w:val="both"/>
        <w:rPr>
          <w:sz w:val="28"/>
        </w:rPr>
      </w:pPr>
      <w:r>
        <w:rPr>
          <w:sz w:val="28"/>
        </w:rPr>
        <w:t>Zhou H, </w:t>
      </w:r>
      <w:r>
        <w:rPr>
          <w:spacing w:val="-4"/>
          <w:sz w:val="28"/>
        </w:rPr>
        <w:t>Lin-Wang</w:t>
      </w:r>
      <w:r>
        <w:rPr>
          <w:spacing w:val="62"/>
          <w:sz w:val="28"/>
        </w:rPr>
        <w:t> </w:t>
      </w:r>
      <w:r>
        <w:rPr>
          <w:sz w:val="28"/>
        </w:rPr>
        <w:t>K, </w:t>
      </w:r>
      <w:r>
        <w:rPr>
          <w:spacing w:val="-6"/>
          <w:sz w:val="28"/>
        </w:rPr>
        <w:t>Wang </w:t>
      </w:r>
      <w:r>
        <w:rPr>
          <w:sz w:val="28"/>
        </w:rPr>
        <w:t>HL, et al. Molecular genetics of blood-fleshed peach reveals activation of anthocyanin biosynthesis by NAC transcription factors. The Plant Journal, 2015, 82:</w:t>
      </w:r>
      <w:r>
        <w:rPr>
          <w:spacing w:val="-19"/>
          <w:sz w:val="28"/>
        </w:rPr>
        <w:t> </w:t>
      </w:r>
      <w:r>
        <w:rPr>
          <w:sz w:val="28"/>
        </w:rPr>
        <w:t>105-121.</w:t>
      </w:r>
    </w:p>
    <w:p>
      <w:pPr>
        <w:pStyle w:val="ListParagraph"/>
        <w:numPr>
          <w:ilvl w:val="0"/>
          <w:numId w:val="16"/>
        </w:numPr>
        <w:tabs>
          <w:tab w:pos="1330" w:val="left" w:leader="none"/>
        </w:tabs>
        <w:spacing w:line="240" w:lineRule="auto" w:before="49" w:after="0"/>
        <w:ind w:left="1330" w:right="0" w:hanging="550"/>
        <w:jc w:val="both"/>
        <w:rPr>
          <w:sz w:val="28"/>
        </w:rPr>
      </w:pPr>
      <w:r>
        <w:rPr>
          <w:sz w:val="28"/>
        </w:rPr>
        <w:t>Li </w:t>
      </w:r>
      <w:r>
        <w:rPr>
          <w:spacing w:val="-14"/>
          <w:sz w:val="28"/>
        </w:rPr>
        <w:t>YY, </w:t>
      </w:r>
      <w:r>
        <w:rPr>
          <w:sz w:val="28"/>
        </w:rPr>
        <w:t>Mao K, Zhao C, et al. MdCOP1 ubiquitin E3 ligases</w:t>
      </w:r>
      <w:r>
        <w:rPr>
          <w:spacing w:val="18"/>
          <w:sz w:val="28"/>
        </w:rPr>
        <w:t> </w:t>
      </w:r>
      <w:r>
        <w:rPr>
          <w:sz w:val="28"/>
        </w:rPr>
        <w:t>interact</w:t>
      </w:r>
    </w:p>
    <w:p>
      <w:pPr>
        <w:spacing w:after="0" w:line="240" w:lineRule="auto"/>
        <w:jc w:val="both"/>
        <w:rPr>
          <w:sz w:val="28"/>
        </w:rPr>
        <w:sectPr>
          <w:pgSz w:w="11910" w:h="16840"/>
          <w:pgMar w:header="0" w:footer="1035" w:top="1500" w:bottom="1300" w:left="1020" w:right="560"/>
        </w:sectPr>
      </w:pPr>
    </w:p>
    <w:p>
      <w:pPr>
        <w:pStyle w:val="BodyText"/>
        <w:spacing w:line="465" w:lineRule="auto" w:before="68"/>
        <w:ind w:left="780" w:right="1234"/>
        <w:jc w:val="both"/>
        <w:rPr>
          <w:rFonts w:ascii="Times New Roman"/>
        </w:rPr>
      </w:pPr>
      <w:r>
        <w:rPr>
          <w:rFonts w:ascii="Times New Roman"/>
        </w:rPr>
        <w:t>with MdMYB1 to regulate light-induced anthocyanin biosynthesis and red fruit coloration in apple. Plant </w:t>
      </w:r>
      <w:r>
        <w:rPr>
          <w:rFonts w:ascii="Times New Roman"/>
          <w:spacing w:val="-4"/>
        </w:rPr>
        <w:t>Physiology, </w:t>
      </w:r>
      <w:r>
        <w:rPr>
          <w:rFonts w:ascii="Times New Roman"/>
        </w:rPr>
        <w:t>2012, 160:</w:t>
      </w:r>
      <w:r>
        <w:rPr>
          <w:rFonts w:ascii="Times New Roman"/>
          <w:spacing w:val="-7"/>
        </w:rPr>
        <w:t> </w:t>
      </w:r>
      <w:r>
        <w:rPr>
          <w:rFonts w:ascii="Times New Roman"/>
        </w:rPr>
        <w:t>1011-1022.</w:t>
      </w:r>
    </w:p>
    <w:p>
      <w:pPr>
        <w:pStyle w:val="ListParagraph"/>
        <w:numPr>
          <w:ilvl w:val="0"/>
          <w:numId w:val="16"/>
        </w:numPr>
        <w:tabs>
          <w:tab w:pos="1412" w:val="left" w:leader="none"/>
        </w:tabs>
        <w:spacing w:line="465" w:lineRule="auto" w:before="49" w:after="0"/>
        <w:ind w:left="780" w:right="1232" w:firstLine="0"/>
        <w:jc w:val="both"/>
        <w:rPr>
          <w:sz w:val="28"/>
        </w:rPr>
      </w:pPr>
      <w:r>
        <w:rPr>
          <w:sz w:val="28"/>
        </w:rPr>
        <w:t>Cheng J, </w:t>
      </w:r>
      <w:r>
        <w:rPr>
          <w:spacing w:val="-9"/>
          <w:sz w:val="28"/>
        </w:rPr>
        <w:t>Wei</w:t>
      </w:r>
      <w:r>
        <w:rPr>
          <w:spacing w:val="52"/>
          <w:sz w:val="28"/>
        </w:rPr>
        <w:t> </w:t>
      </w:r>
      <w:r>
        <w:rPr>
          <w:sz w:val="28"/>
        </w:rPr>
        <w:t>GC, Zhou H, et al. Unraveling the mechanism underlying the glycosylation and methylation of anthocyanins in peach. Plant </w:t>
      </w:r>
      <w:r>
        <w:rPr>
          <w:spacing w:val="-4"/>
          <w:sz w:val="28"/>
        </w:rPr>
        <w:t>Physiology, </w:t>
      </w:r>
      <w:r>
        <w:rPr>
          <w:sz w:val="28"/>
        </w:rPr>
        <w:t>2014, 166:</w:t>
      </w:r>
      <w:r>
        <w:rPr>
          <w:spacing w:val="6"/>
          <w:sz w:val="28"/>
        </w:rPr>
        <w:t> </w:t>
      </w:r>
      <w:r>
        <w:rPr>
          <w:sz w:val="28"/>
        </w:rPr>
        <w:t>1044-1058.</w:t>
      </w:r>
    </w:p>
    <w:p>
      <w:pPr>
        <w:pStyle w:val="ListParagraph"/>
        <w:numPr>
          <w:ilvl w:val="0"/>
          <w:numId w:val="16"/>
        </w:numPr>
        <w:tabs>
          <w:tab w:pos="1323" w:val="left" w:leader="none"/>
        </w:tabs>
        <w:spacing w:line="465" w:lineRule="auto" w:before="49" w:after="0"/>
        <w:ind w:left="780" w:right="1233" w:firstLine="0"/>
        <w:jc w:val="both"/>
        <w:rPr>
          <w:sz w:val="28"/>
        </w:rPr>
      </w:pPr>
      <w:r>
        <w:rPr>
          <w:sz w:val="28"/>
        </w:rPr>
        <w:t>Fu XM, Kong WB, Peng </w:t>
      </w:r>
      <w:r>
        <w:rPr>
          <w:spacing w:val="-18"/>
          <w:sz w:val="28"/>
        </w:rPr>
        <w:t>G, </w:t>
      </w:r>
      <w:r>
        <w:rPr>
          <w:sz w:val="28"/>
        </w:rPr>
        <w:t>et al. Plastid structure and carotenogenic gene expression in red- and white-fleshed loquat (</w:t>
      </w:r>
      <w:r>
        <w:rPr>
          <w:i/>
          <w:sz w:val="28"/>
        </w:rPr>
        <w:t>Eriobotrya japonica</w:t>
      </w:r>
      <w:r>
        <w:rPr>
          <w:sz w:val="28"/>
        </w:rPr>
        <w:t>) fruits. Journal of Experimental </w:t>
      </w:r>
      <w:r>
        <w:rPr>
          <w:spacing w:val="-5"/>
          <w:sz w:val="28"/>
        </w:rPr>
        <w:t>Botany, </w:t>
      </w:r>
      <w:r>
        <w:rPr>
          <w:sz w:val="28"/>
        </w:rPr>
        <w:t>2012, 63:</w:t>
      </w:r>
      <w:r>
        <w:rPr>
          <w:spacing w:val="3"/>
          <w:sz w:val="28"/>
        </w:rPr>
        <w:t> </w:t>
      </w:r>
      <w:r>
        <w:rPr>
          <w:sz w:val="28"/>
        </w:rPr>
        <w:t>341-354.</w:t>
      </w:r>
    </w:p>
    <w:p>
      <w:pPr>
        <w:pStyle w:val="ListParagraph"/>
        <w:numPr>
          <w:ilvl w:val="0"/>
          <w:numId w:val="16"/>
        </w:numPr>
        <w:tabs>
          <w:tab w:pos="1393" w:val="left" w:leader="none"/>
        </w:tabs>
        <w:spacing w:line="465" w:lineRule="auto" w:before="49" w:after="0"/>
        <w:ind w:left="780" w:right="1232" w:firstLine="0"/>
        <w:jc w:val="both"/>
        <w:rPr>
          <w:sz w:val="28"/>
        </w:rPr>
      </w:pPr>
      <w:r>
        <w:rPr>
          <w:sz w:val="28"/>
        </w:rPr>
        <w:t>Zeng YL, Du JB, </w:t>
      </w:r>
      <w:r>
        <w:rPr>
          <w:spacing w:val="-6"/>
          <w:sz w:val="28"/>
        </w:rPr>
        <w:t>Wang </w:t>
      </w:r>
      <w:r>
        <w:rPr>
          <w:sz w:val="28"/>
        </w:rPr>
        <w:t>L, et al. A comprehensive analysis of chromoplast differentiation reveals complex protein changes associated with plastoglobule biogenesis and remodeling of protein systems in sweet orange flesh. Plant </w:t>
      </w:r>
      <w:r>
        <w:rPr>
          <w:spacing w:val="-4"/>
          <w:sz w:val="28"/>
        </w:rPr>
        <w:t>Physiology, </w:t>
      </w:r>
      <w:r>
        <w:rPr>
          <w:sz w:val="28"/>
        </w:rPr>
        <w:t>2015, 168:</w:t>
      </w:r>
      <w:r>
        <w:rPr>
          <w:spacing w:val="2"/>
          <w:sz w:val="28"/>
        </w:rPr>
        <w:t> </w:t>
      </w:r>
      <w:r>
        <w:rPr>
          <w:sz w:val="28"/>
        </w:rPr>
        <w:t>1648-1665.</w:t>
      </w:r>
    </w:p>
    <w:p>
      <w:pPr>
        <w:pStyle w:val="ListParagraph"/>
        <w:numPr>
          <w:ilvl w:val="0"/>
          <w:numId w:val="16"/>
        </w:numPr>
        <w:tabs>
          <w:tab w:pos="1335" w:val="left" w:leader="none"/>
        </w:tabs>
        <w:spacing w:line="465" w:lineRule="auto" w:before="46" w:after="0"/>
        <w:ind w:left="780" w:right="1232" w:firstLine="0"/>
        <w:jc w:val="both"/>
        <w:rPr>
          <w:sz w:val="28"/>
        </w:rPr>
      </w:pPr>
      <w:r>
        <w:rPr>
          <w:sz w:val="28"/>
        </w:rPr>
        <w:t>Fu XM, Feng C, </w:t>
      </w:r>
      <w:r>
        <w:rPr>
          <w:spacing w:val="-6"/>
          <w:sz w:val="28"/>
        </w:rPr>
        <w:t>Wang </w:t>
      </w:r>
      <w:r>
        <w:rPr>
          <w:spacing w:val="-13"/>
          <w:sz w:val="28"/>
        </w:rPr>
        <w:t>CY, </w:t>
      </w:r>
      <w:r>
        <w:rPr>
          <w:sz w:val="28"/>
        </w:rPr>
        <w:t>et al. Involvement of multiple phytoene synthase genes in tissue- and cultivar-specific accumulation of carotenoids in loquat. Journal of Experimental </w:t>
      </w:r>
      <w:r>
        <w:rPr>
          <w:spacing w:val="-4"/>
          <w:sz w:val="28"/>
        </w:rPr>
        <w:t>Botany,</w:t>
      </w:r>
      <w:r>
        <w:rPr>
          <w:spacing w:val="62"/>
          <w:sz w:val="28"/>
        </w:rPr>
        <w:t> </w:t>
      </w:r>
      <w:r>
        <w:rPr>
          <w:sz w:val="28"/>
        </w:rPr>
        <w:t>2014, 65: 4679-4689.</w:t>
      </w:r>
    </w:p>
    <w:p>
      <w:pPr>
        <w:pStyle w:val="ListParagraph"/>
        <w:numPr>
          <w:ilvl w:val="0"/>
          <w:numId w:val="16"/>
        </w:numPr>
        <w:tabs>
          <w:tab w:pos="1400" w:val="left" w:leader="none"/>
        </w:tabs>
        <w:spacing w:line="465" w:lineRule="auto" w:before="48" w:after="0"/>
        <w:ind w:left="780" w:right="1233" w:firstLine="0"/>
        <w:jc w:val="both"/>
        <w:rPr>
          <w:sz w:val="28"/>
        </w:rPr>
      </w:pPr>
      <w:r>
        <w:rPr>
          <w:sz w:val="28"/>
        </w:rPr>
        <w:t>Li SJ, </w:t>
      </w:r>
      <w:r>
        <w:rPr>
          <w:spacing w:val="-6"/>
          <w:sz w:val="28"/>
        </w:rPr>
        <w:t>Yin </w:t>
      </w:r>
      <w:r>
        <w:rPr>
          <w:sz w:val="28"/>
        </w:rPr>
        <w:t>XR, Xie XL, et al. The </w:t>
      </w:r>
      <w:r>
        <w:rPr>
          <w:i/>
          <w:sz w:val="28"/>
        </w:rPr>
        <w:t>Citrus </w:t>
      </w:r>
      <w:r>
        <w:rPr>
          <w:sz w:val="28"/>
        </w:rPr>
        <w:t>transcription factor, CitERF13, regulates citric acid accumulation </w:t>
      </w:r>
      <w:r>
        <w:rPr>
          <w:i/>
          <w:sz w:val="28"/>
        </w:rPr>
        <w:t>via </w:t>
      </w:r>
      <w:r>
        <w:rPr>
          <w:sz w:val="28"/>
        </w:rPr>
        <w:t>a protein-protein interaction with the vacuolar proton pump, CitVHA-c4. Scientific Reports, 2016, 6:</w:t>
      </w:r>
      <w:r>
        <w:rPr>
          <w:spacing w:val="-7"/>
          <w:sz w:val="28"/>
        </w:rPr>
        <w:t> </w:t>
      </w:r>
      <w:r>
        <w:rPr>
          <w:sz w:val="28"/>
        </w:rPr>
        <w:t>20151.</w:t>
      </w:r>
    </w:p>
    <w:p>
      <w:pPr>
        <w:pStyle w:val="ListParagraph"/>
        <w:numPr>
          <w:ilvl w:val="0"/>
          <w:numId w:val="16"/>
        </w:numPr>
        <w:tabs>
          <w:tab w:pos="1376" w:val="left" w:leader="none"/>
        </w:tabs>
        <w:spacing w:line="240" w:lineRule="auto" w:before="48" w:after="0"/>
        <w:ind w:left="1375" w:right="0" w:hanging="596"/>
        <w:jc w:val="both"/>
        <w:rPr>
          <w:sz w:val="28"/>
        </w:rPr>
      </w:pPr>
      <w:r>
        <w:rPr>
          <w:sz w:val="28"/>
        </w:rPr>
        <w:t>Min </w:t>
      </w:r>
      <w:r>
        <w:rPr>
          <w:spacing w:val="-12"/>
          <w:sz w:val="28"/>
        </w:rPr>
        <w:t>T, </w:t>
      </w:r>
      <w:r>
        <w:rPr>
          <w:spacing w:val="-6"/>
          <w:sz w:val="28"/>
        </w:rPr>
        <w:t>Yin </w:t>
      </w:r>
      <w:r>
        <w:rPr>
          <w:sz w:val="28"/>
        </w:rPr>
        <w:t>XR, Shi YN, et al. Ethylene-responsive</w:t>
      </w:r>
      <w:r>
        <w:rPr>
          <w:spacing w:val="-29"/>
          <w:sz w:val="28"/>
        </w:rPr>
        <w:t> </w:t>
      </w:r>
      <w:r>
        <w:rPr>
          <w:sz w:val="28"/>
        </w:rPr>
        <w:t>transcription</w:t>
      </w:r>
    </w:p>
    <w:p>
      <w:pPr>
        <w:pStyle w:val="BodyText"/>
        <w:spacing w:before="3"/>
        <w:rPr>
          <w:rFonts w:ascii="Times New Roman"/>
          <w:sz w:val="26"/>
        </w:rPr>
      </w:pPr>
    </w:p>
    <w:p>
      <w:pPr>
        <w:pStyle w:val="BodyText"/>
        <w:ind w:left="780"/>
        <w:jc w:val="both"/>
        <w:rPr>
          <w:rFonts w:ascii="Times New Roman"/>
        </w:rPr>
      </w:pPr>
      <w:r>
        <w:rPr>
          <w:rFonts w:ascii="Times New Roman"/>
        </w:rPr>
        <w:t>factors interact with promoters of </w:t>
      </w:r>
      <w:r>
        <w:rPr>
          <w:rFonts w:ascii="Times New Roman"/>
          <w:i/>
        </w:rPr>
        <w:t>ADH </w:t>
      </w:r>
      <w:r>
        <w:rPr>
          <w:rFonts w:ascii="Times New Roman"/>
        </w:rPr>
        <w:t>and </w:t>
      </w:r>
      <w:r>
        <w:rPr>
          <w:rFonts w:ascii="Times New Roman"/>
          <w:i/>
        </w:rPr>
        <w:t>PDC </w:t>
      </w:r>
      <w:r>
        <w:rPr>
          <w:rFonts w:ascii="Times New Roman"/>
        </w:rPr>
        <w:t>involved in persimmon</w:t>
      </w:r>
    </w:p>
    <w:p>
      <w:pPr>
        <w:spacing w:after="0"/>
        <w:jc w:val="both"/>
        <w:rPr>
          <w:rFonts w:ascii="Times New Roman"/>
        </w:rPr>
        <w:sectPr>
          <w:pgSz w:w="11910" w:h="16840"/>
          <w:pgMar w:header="0" w:footer="1035" w:top="1500" w:bottom="1300" w:left="1020" w:right="560"/>
        </w:sectPr>
      </w:pPr>
    </w:p>
    <w:p>
      <w:pPr>
        <w:pStyle w:val="BodyText"/>
        <w:spacing w:line="465" w:lineRule="auto" w:before="68"/>
        <w:ind w:left="780" w:right="1238"/>
        <w:jc w:val="both"/>
        <w:rPr>
          <w:rFonts w:ascii="Times New Roman"/>
        </w:rPr>
      </w:pPr>
      <w:r>
        <w:rPr>
          <w:rFonts w:ascii="Times New Roman"/>
        </w:rPr>
        <w:t>(</w:t>
      </w:r>
      <w:r>
        <w:rPr>
          <w:rFonts w:ascii="Times New Roman"/>
          <w:i/>
        </w:rPr>
        <w:t>Diospyroskaki</w:t>
      </w:r>
      <w:r>
        <w:rPr>
          <w:rFonts w:ascii="Times New Roman"/>
        </w:rPr>
        <w:t>) fruit de-astringency. Journal of Experimental Botany, 2012, 63: 6393-6405.</w:t>
      </w:r>
    </w:p>
    <w:p>
      <w:pPr>
        <w:pStyle w:val="ListParagraph"/>
        <w:numPr>
          <w:ilvl w:val="0"/>
          <w:numId w:val="16"/>
        </w:numPr>
        <w:tabs>
          <w:tab w:pos="1381" w:val="left" w:leader="none"/>
        </w:tabs>
        <w:spacing w:line="465" w:lineRule="auto" w:before="49" w:after="0"/>
        <w:ind w:left="780" w:right="1235" w:firstLine="0"/>
        <w:jc w:val="both"/>
        <w:rPr>
          <w:sz w:val="28"/>
        </w:rPr>
      </w:pPr>
      <w:r>
        <w:rPr>
          <w:spacing w:val="-3"/>
          <w:sz w:val="28"/>
        </w:rPr>
        <w:t>Tieman </w:t>
      </w:r>
      <w:r>
        <w:rPr>
          <w:sz w:val="28"/>
        </w:rPr>
        <w:t>D, Bliss </w:t>
      </w:r>
      <w:r>
        <w:rPr>
          <w:spacing w:val="-16"/>
          <w:sz w:val="28"/>
        </w:rPr>
        <w:t>P, </w:t>
      </w:r>
      <w:r>
        <w:rPr>
          <w:sz w:val="28"/>
        </w:rPr>
        <w:t>McIntyre L, et al. The chemical interactions underlying tomato flavor preferences. Current </w:t>
      </w:r>
      <w:r>
        <w:rPr>
          <w:spacing w:val="-4"/>
          <w:sz w:val="28"/>
        </w:rPr>
        <w:t>Biology,</w:t>
      </w:r>
      <w:r>
        <w:rPr>
          <w:spacing w:val="62"/>
          <w:sz w:val="28"/>
        </w:rPr>
        <w:t> </w:t>
      </w:r>
      <w:r>
        <w:rPr>
          <w:sz w:val="28"/>
        </w:rPr>
        <w:t>2012, </w:t>
      </w:r>
      <w:r>
        <w:rPr>
          <w:spacing w:val="-2"/>
          <w:sz w:val="28"/>
        </w:rPr>
        <w:t>22: </w:t>
      </w:r>
      <w:r>
        <w:rPr>
          <w:sz w:val="28"/>
        </w:rPr>
        <w:t>1035-1039.</w:t>
      </w:r>
    </w:p>
    <w:p>
      <w:pPr>
        <w:pStyle w:val="ListParagraph"/>
        <w:numPr>
          <w:ilvl w:val="0"/>
          <w:numId w:val="16"/>
        </w:numPr>
        <w:tabs>
          <w:tab w:pos="1369" w:val="left" w:leader="none"/>
        </w:tabs>
        <w:spacing w:line="465" w:lineRule="auto" w:before="49" w:after="0"/>
        <w:ind w:left="780" w:right="1235" w:firstLine="0"/>
        <w:jc w:val="both"/>
        <w:rPr>
          <w:sz w:val="28"/>
        </w:rPr>
      </w:pPr>
      <w:r>
        <w:rPr>
          <w:sz w:val="28"/>
        </w:rPr>
        <w:t>Scalliet </w:t>
      </w:r>
      <w:r>
        <w:rPr>
          <w:spacing w:val="-18"/>
          <w:sz w:val="28"/>
        </w:rPr>
        <w:t>G, </w:t>
      </w:r>
      <w:r>
        <w:rPr>
          <w:sz w:val="28"/>
        </w:rPr>
        <w:t>Piola </w:t>
      </w:r>
      <w:r>
        <w:rPr>
          <w:spacing w:val="-11"/>
          <w:sz w:val="28"/>
        </w:rPr>
        <w:t>F, </w:t>
      </w:r>
      <w:r>
        <w:rPr>
          <w:sz w:val="28"/>
        </w:rPr>
        <w:t>Douady CJ, et al. Scent evolution in Chinese roses. Proceedings of the National Academy of Sciences, USA, 2008, 105:</w:t>
      </w:r>
      <w:r>
        <w:rPr>
          <w:spacing w:val="-1"/>
          <w:sz w:val="28"/>
        </w:rPr>
        <w:t> </w:t>
      </w:r>
      <w:r>
        <w:rPr>
          <w:sz w:val="28"/>
        </w:rPr>
        <w:t>5927-5932.</w:t>
      </w:r>
    </w:p>
    <w:p>
      <w:pPr>
        <w:pStyle w:val="ListParagraph"/>
        <w:numPr>
          <w:ilvl w:val="0"/>
          <w:numId w:val="16"/>
        </w:numPr>
        <w:tabs>
          <w:tab w:pos="1381" w:val="left" w:leader="none"/>
        </w:tabs>
        <w:spacing w:line="463" w:lineRule="auto" w:before="49" w:after="0"/>
        <w:ind w:left="780" w:right="1234" w:firstLine="0"/>
        <w:jc w:val="both"/>
        <w:rPr>
          <w:sz w:val="28"/>
        </w:rPr>
      </w:pPr>
      <w:r>
        <w:rPr>
          <w:sz w:val="28"/>
        </w:rPr>
        <w:t>Goulet C, Mageroy MH, Lam NB, et al. Role of an esterase in flavour volatile variation within the tomato clade. Proceedings of the National Academy of Sciences, USA, 2012, 109:</w:t>
      </w:r>
      <w:r>
        <w:rPr>
          <w:spacing w:val="-29"/>
          <w:sz w:val="28"/>
        </w:rPr>
        <w:t> </w:t>
      </w:r>
      <w:r>
        <w:rPr>
          <w:sz w:val="28"/>
        </w:rPr>
        <w:t>19009-19014.</w:t>
      </w:r>
    </w:p>
    <w:p>
      <w:pPr>
        <w:pStyle w:val="ListParagraph"/>
        <w:numPr>
          <w:ilvl w:val="0"/>
          <w:numId w:val="16"/>
        </w:numPr>
        <w:tabs>
          <w:tab w:pos="1350" w:val="left" w:leader="none"/>
        </w:tabs>
        <w:spacing w:line="465" w:lineRule="auto" w:before="56" w:after="0"/>
        <w:ind w:left="780" w:right="1234" w:firstLine="0"/>
        <w:jc w:val="both"/>
        <w:rPr>
          <w:sz w:val="28"/>
        </w:rPr>
      </w:pPr>
      <w:r>
        <w:rPr>
          <w:sz w:val="28"/>
        </w:rPr>
        <w:t>Aharoni A, Giri </w:t>
      </w:r>
      <w:r>
        <w:rPr>
          <w:spacing w:val="-12"/>
          <w:sz w:val="28"/>
        </w:rPr>
        <w:t>AP, </w:t>
      </w:r>
      <w:r>
        <w:rPr>
          <w:spacing w:val="-4"/>
          <w:sz w:val="28"/>
        </w:rPr>
        <w:t>Verstappen </w:t>
      </w:r>
      <w:r>
        <w:rPr>
          <w:spacing w:val="-10"/>
          <w:sz w:val="28"/>
        </w:rPr>
        <w:t>FWA, </w:t>
      </w:r>
      <w:r>
        <w:rPr>
          <w:sz w:val="28"/>
        </w:rPr>
        <w:t>et al. Gain and loss of fruit flavor compounds produced by wild and cultivated strawberry species. The Plant Cell, 2004, 16:</w:t>
      </w:r>
      <w:r>
        <w:rPr>
          <w:spacing w:val="-5"/>
          <w:sz w:val="28"/>
        </w:rPr>
        <w:t> </w:t>
      </w:r>
      <w:r>
        <w:rPr>
          <w:sz w:val="28"/>
        </w:rPr>
        <w:t>3110-3131.</w:t>
      </w:r>
    </w:p>
    <w:p>
      <w:pPr>
        <w:pStyle w:val="ListParagraph"/>
        <w:numPr>
          <w:ilvl w:val="0"/>
          <w:numId w:val="16"/>
        </w:numPr>
        <w:tabs>
          <w:tab w:pos="1318" w:val="left" w:leader="none"/>
        </w:tabs>
        <w:spacing w:line="465" w:lineRule="auto" w:before="49" w:after="0"/>
        <w:ind w:left="780" w:right="1234" w:firstLine="0"/>
        <w:jc w:val="both"/>
        <w:rPr>
          <w:sz w:val="28"/>
        </w:rPr>
      </w:pPr>
      <w:r>
        <w:rPr>
          <w:sz w:val="28"/>
        </w:rPr>
        <w:t>Qin GZ, </w:t>
      </w:r>
      <w:r>
        <w:rPr>
          <w:spacing w:val="-6"/>
          <w:sz w:val="28"/>
        </w:rPr>
        <w:t>Wang </w:t>
      </w:r>
      <w:r>
        <w:rPr>
          <w:spacing w:val="-14"/>
          <w:sz w:val="28"/>
        </w:rPr>
        <w:t>YY, </w:t>
      </w:r>
      <w:r>
        <w:rPr>
          <w:sz w:val="28"/>
        </w:rPr>
        <w:t>Cao BH, et al. Unraveling the regulatory network of the MADS box transcription factor RIN in fruit ripening. The Plant Journal, 2012, 70:</w:t>
      </w:r>
      <w:r>
        <w:rPr>
          <w:spacing w:val="-3"/>
          <w:sz w:val="28"/>
        </w:rPr>
        <w:t> </w:t>
      </w:r>
      <w:r>
        <w:rPr>
          <w:sz w:val="28"/>
        </w:rPr>
        <w:t>243-255.</w:t>
      </w:r>
    </w:p>
    <w:p>
      <w:pPr>
        <w:pStyle w:val="ListParagraph"/>
        <w:numPr>
          <w:ilvl w:val="0"/>
          <w:numId w:val="16"/>
        </w:numPr>
        <w:tabs>
          <w:tab w:pos="1393" w:val="left" w:leader="none"/>
        </w:tabs>
        <w:spacing w:line="465" w:lineRule="auto" w:before="48" w:after="0"/>
        <w:ind w:left="780" w:right="1233" w:firstLine="0"/>
        <w:jc w:val="both"/>
        <w:rPr>
          <w:sz w:val="28"/>
        </w:rPr>
      </w:pPr>
      <w:r>
        <w:rPr>
          <w:sz w:val="28"/>
        </w:rPr>
        <w:t>Liu MC, Gomes BL, Mila I, et al. Comprehensive profiling of ethylene response factor expression identifies ripening-associated ERF genes and their link to key regulators of fruit ripening in tomato. Plant </w:t>
      </w:r>
      <w:r>
        <w:rPr>
          <w:spacing w:val="-3"/>
          <w:sz w:val="28"/>
        </w:rPr>
        <w:t>Physiology, </w:t>
      </w:r>
      <w:r>
        <w:rPr>
          <w:sz w:val="28"/>
        </w:rPr>
        <w:t>2016, 170: 1732-1744.</w:t>
      </w:r>
    </w:p>
    <w:p>
      <w:pPr>
        <w:pStyle w:val="ListParagraph"/>
        <w:numPr>
          <w:ilvl w:val="0"/>
          <w:numId w:val="16"/>
        </w:numPr>
        <w:tabs>
          <w:tab w:pos="1354" w:val="left" w:leader="none"/>
        </w:tabs>
        <w:spacing w:line="240" w:lineRule="auto" w:before="49" w:after="0"/>
        <w:ind w:left="1354" w:right="0" w:hanging="574"/>
        <w:jc w:val="both"/>
        <w:rPr>
          <w:sz w:val="28"/>
        </w:rPr>
      </w:pPr>
      <w:r>
        <w:rPr>
          <w:spacing w:val="-6"/>
          <w:sz w:val="28"/>
        </w:rPr>
        <w:t>Yin </w:t>
      </w:r>
      <w:r>
        <w:rPr>
          <w:sz w:val="28"/>
        </w:rPr>
        <w:t>XR, Allan AC, Chen KS, et al. Kiwifruit EIL and ERF</w:t>
      </w:r>
      <w:r>
        <w:rPr>
          <w:spacing w:val="68"/>
          <w:sz w:val="28"/>
        </w:rPr>
        <w:t> </w:t>
      </w:r>
      <w:r>
        <w:rPr>
          <w:sz w:val="28"/>
        </w:rPr>
        <w:t>genes</w:t>
      </w:r>
    </w:p>
    <w:p>
      <w:pPr>
        <w:spacing w:after="0" w:line="240" w:lineRule="auto"/>
        <w:jc w:val="both"/>
        <w:rPr>
          <w:sz w:val="28"/>
        </w:rPr>
        <w:sectPr>
          <w:pgSz w:w="11910" w:h="16840"/>
          <w:pgMar w:header="0" w:footer="1035" w:top="1500" w:bottom="1300" w:left="1020" w:right="560"/>
        </w:sectPr>
      </w:pPr>
    </w:p>
    <w:p>
      <w:pPr>
        <w:pStyle w:val="BodyText"/>
        <w:spacing w:line="465" w:lineRule="auto" w:before="68"/>
        <w:ind w:left="780" w:right="1234"/>
        <w:rPr>
          <w:rFonts w:ascii="Times New Roman"/>
        </w:rPr>
      </w:pPr>
      <w:r>
        <w:rPr>
          <w:rFonts w:ascii="Times New Roman"/>
        </w:rPr>
        <w:t>involved in regulating fruit ripening. Plant Physiology, 2010, 153: 1280-1292.</w:t>
      </w:r>
    </w:p>
    <w:p>
      <w:pPr>
        <w:pStyle w:val="ListParagraph"/>
        <w:numPr>
          <w:ilvl w:val="0"/>
          <w:numId w:val="16"/>
        </w:numPr>
        <w:tabs>
          <w:tab w:pos="1419" w:val="left" w:leader="none"/>
        </w:tabs>
        <w:spacing w:line="465" w:lineRule="auto" w:before="49" w:after="0"/>
        <w:ind w:left="780" w:right="1235" w:firstLine="0"/>
        <w:jc w:val="left"/>
        <w:rPr>
          <w:sz w:val="28"/>
        </w:rPr>
      </w:pPr>
      <w:r>
        <w:rPr>
          <w:sz w:val="28"/>
        </w:rPr>
        <w:t>Fischer AM. The Complex Regulation of Senescence. Critical Reviews in Plant Sciences, 2012, 31:</w:t>
      </w:r>
      <w:r>
        <w:rPr>
          <w:spacing w:val="-4"/>
          <w:sz w:val="28"/>
        </w:rPr>
        <w:t> </w:t>
      </w:r>
      <w:r>
        <w:rPr>
          <w:sz w:val="28"/>
        </w:rPr>
        <w:t>124-147.</w:t>
      </w:r>
    </w:p>
    <w:p>
      <w:pPr>
        <w:spacing w:after="0" w:line="465" w:lineRule="auto"/>
        <w:jc w:val="left"/>
        <w:rPr>
          <w:sz w:val="28"/>
        </w:rPr>
        <w:sectPr>
          <w:pgSz w:w="11910" w:h="16840"/>
          <w:pgMar w:header="0" w:footer="1035" w:top="1500" w:bottom="1300" w:left="1020" w:right="560"/>
        </w:sectPr>
      </w:pPr>
    </w:p>
    <w:p>
      <w:pPr>
        <w:spacing w:line="434" w:lineRule="auto" w:before="64"/>
        <w:ind w:left="826" w:right="1193" w:firstLine="359"/>
        <w:jc w:val="left"/>
        <w:rPr>
          <w:rFonts w:ascii="Times New Roman"/>
          <w:b/>
          <w:sz w:val="30"/>
        </w:rPr>
      </w:pPr>
      <w:r>
        <w:rPr>
          <w:rFonts w:ascii="Times New Roman"/>
          <w:b/>
          <w:sz w:val="30"/>
        </w:rPr>
        <w:t>Horticultural research by multidisciplinary crossing: main progresses, key scientific questions and developmental strategies</w:t>
      </w:r>
    </w:p>
    <w:p>
      <w:pPr>
        <w:pStyle w:val="BodyText"/>
        <w:rPr>
          <w:rFonts w:ascii="Times New Roman"/>
          <w:b/>
          <w:sz w:val="32"/>
        </w:rPr>
      </w:pPr>
    </w:p>
    <w:p>
      <w:pPr>
        <w:spacing w:line="434" w:lineRule="auto" w:before="250"/>
        <w:ind w:left="780" w:right="1235" w:firstLine="0"/>
        <w:jc w:val="both"/>
        <w:rPr>
          <w:rFonts w:ascii="Times New Roman" w:hAnsi="Times New Roman"/>
          <w:sz w:val="30"/>
        </w:rPr>
      </w:pPr>
      <w:r>
        <w:rPr>
          <w:rFonts w:ascii="Times New Roman" w:hAnsi="Times New Roman"/>
          <w:b/>
          <w:sz w:val="30"/>
        </w:rPr>
        <w:t>Abstract: </w:t>
      </w:r>
      <w:r>
        <w:rPr>
          <w:rFonts w:ascii="Times New Roman" w:hAnsi="Times New Roman"/>
          <w:sz w:val="30"/>
        </w:rPr>
        <w:t>This review is based on the presentations and discussions at the 148</w:t>
      </w:r>
      <w:r>
        <w:rPr>
          <w:rFonts w:ascii="Times New Roman" w:hAnsi="Times New Roman"/>
          <w:sz w:val="30"/>
          <w:vertAlign w:val="superscript"/>
        </w:rPr>
        <w:t>th</w:t>
      </w:r>
      <w:r>
        <w:rPr>
          <w:rFonts w:ascii="Times New Roman" w:hAnsi="Times New Roman"/>
          <w:sz w:val="30"/>
          <w:vertAlign w:val="baseline"/>
        </w:rPr>
        <w:t> “Shuangqing Forum” organized by the National Natural Science Foundation of China. The major current issues and challenges facing horticultural industrywere summarized. The main recent progresses and achievements in multidisciplinary horticultural research areas through interactions with other biological sciences were reviewed. Finally, key scientific questions and focal areas for funding through Natural Science Foundation of China in the next 5-10 years were suggested.</w:t>
      </w:r>
    </w:p>
    <w:p>
      <w:pPr>
        <w:pStyle w:val="BodyText"/>
        <w:rPr>
          <w:rFonts w:ascii="Times New Roman"/>
          <w:sz w:val="32"/>
        </w:rPr>
      </w:pPr>
    </w:p>
    <w:p>
      <w:pPr>
        <w:spacing w:line="432" w:lineRule="auto" w:before="254"/>
        <w:ind w:left="780" w:right="2273" w:firstLine="0"/>
        <w:jc w:val="left"/>
        <w:rPr>
          <w:rFonts w:ascii="Times New Roman"/>
          <w:sz w:val="30"/>
        </w:rPr>
      </w:pPr>
      <w:r>
        <w:rPr>
          <w:rFonts w:ascii="Times New Roman"/>
          <w:b/>
          <w:sz w:val="30"/>
        </w:rPr>
        <w:t>Key words: </w:t>
      </w:r>
      <w:r>
        <w:rPr>
          <w:rFonts w:ascii="Times New Roman"/>
          <w:sz w:val="30"/>
        </w:rPr>
        <w:t>Horticulture; general biology; multidisciplinary research; fundamental research</w:t>
      </w:r>
    </w:p>
    <w:p>
      <w:pPr>
        <w:spacing w:after="0" w:line="432" w:lineRule="auto"/>
        <w:jc w:val="left"/>
        <w:rPr>
          <w:rFonts w:ascii="Times New Roman"/>
          <w:sz w:val="30"/>
        </w:rPr>
        <w:sectPr>
          <w:pgSz w:w="11910" w:h="16840"/>
          <w:pgMar w:header="0" w:footer="1035" w:top="1500" w:bottom="1300" w:left="1020" w:right="560"/>
        </w:sectPr>
      </w:pPr>
    </w:p>
    <w:p>
      <w:pPr>
        <w:pStyle w:val="Heading4"/>
        <w:spacing w:before="26"/>
        <w:ind w:left="780"/>
        <w:jc w:val="left"/>
        <w:rPr>
          <w:rFonts w:ascii="黑体" w:eastAsia="黑体" w:hint="eastAsia"/>
        </w:rPr>
      </w:pPr>
      <w:bookmarkStart w:name="_TOC_250005" w:id="22"/>
      <w:bookmarkEnd w:id="22"/>
      <w:r>
        <w:rPr>
          <w:rFonts w:ascii="黑体" w:eastAsia="黑体" w:hint="eastAsia"/>
        </w:rPr>
        <w:t>4、学术综述样稿（二）（刊载《学科政策动态》）</w:t>
      </w:r>
    </w:p>
    <w:p>
      <w:pPr>
        <w:pStyle w:val="BodyText"/>
        <w:spacing w:before="4"/>
        <w:rPr>
          <w:rFonts w:ascii="黑体"/>
          <w:b/>
        </w:rPr>
      </w:pPr>
    </w:p>
    <w:p>
      <w:pPr>
        <w:spacing w:line="553" w:lineRule="exact" w:before="0"/>
        <w:ind w:left="0" w:right="313" w:firstLine="0"/>
        <w:jc w:val="center"/>
        <w:rPr>
          <w:rFonts w:ascii="华文中宋" w:eastAsia="华文中宋" w:hint="eastAsia"/>
          <w:b/>
          <w:sz w:val="36"/>
        </w:rPr>
      </w:pPr>
      <w:r>
        <w:rPr>
          <w:rFonts w:ascii="华文中宋" w:eastAsia="华文中宋" w:hint="eastAsia"/>
          <w:b/>
          <w:sz w:val="36"/>
        </w:rPr>
        <w:t>神经功能成像及其在重大脑疾病中的应用</w:t>
      </w:r>
    </w:p>
    <w:p>
      <w:pPr>
        <w:spacing w:line="644" w:lineRule="exact" w:before="0"/>
        <w:ind w:left="0" w:right="313" w:firstLine="0"/>
        <w:jc w:val="center"/>
        <w:rPr>
          <w:rFonts w:ascii="Microsoft JhengHei" w:hAnsi="Microsoft JhengHei" w:eastAsia="Microsoft JhengHei" w:hint="eastAsia"/>
          <w:b/>
          <w:sz w:val="36"/>
        </w:rPr>
      </w:pPr>
      <w:r>
        <w:rPr>
          <w:rFonts w:ascii="Times New Roman" w:hAnsi="Times New Roman" w:eastAsia="Times New Roman"/>
          <w:b/>
          <w:sz w:val="36"/>
        </w:rPr>
        <w:t>——</w:t>
      </w:r>
      <w:r>
        <w:rPr>
          <w:rFonts w:ascii="Microsoft JhengHei" w:hAnsi="Microsoft JhengHei" w:eastAsia="Microsoft JhengHei" w:hint="eastAsia"/>
          <w:b/>
          <w:sz w:val="36"/>
        </w:rPr>
        <w:t>第 </w:t>
      </w:r>
      <w:r>
        <w:rPr>
          <w:rFonts w:ascii="Times New Roman" w:hAnsi="Times New Roman" w:eastAsia="Times New Roman"/>
          <w:b/>
          <w:sz w:val="36"/>
        </w:rPr>
        <w:t>101 </w:t>
      </w:r>
      <w:r>
        <w:rPr>
          <w:rFonts w:ascii="Microsoft JhengHei" w:hAnsi="Microsoft JhengHei" w:eastAsia="Microsoft JhengHei" w:hint="eastAsia"/>
          <w:b/>
          <w:sz w:val="36"/>
        </w:rPr>
        <w:t>期双清论坛学术综述</w:t>
      </w:r>
    </w:p>
    <w:p>
      <w:pPr>
        <w:pStyle w:val="BodyText"/>
        <w:spacing w:before="6"/>
        <w:rPr>
          <w:rFonts w:ascii="Microsoft JhengHei"/>
          <w:b/>
          <w:sz w:val="31"/>
        </w:rPr>
      </w:pPr>
    </w:p>
    <w:p>
      <w:pPr>
        <w:pStyle w:val="BodyText"/>
        <w:spacing w:line="417" w:lineRule="auto"/>
        <w:ind w:left="780" w:right="1231"/>
        <w:jc w:val="both"/>
      </w:pPr>
      <w:r>
        <w:rPr>
          <w:rFonts w:ascii="黑体" w:hAnsi="黑体" w:eastAsia="黑体" w:hint="eastAsia"/>
          <w:spacing w:val="5"/>
        </w:rPr>
        <w:t>编者按</w:t>
      </w:r>
      <w:r>
        <w:rPr>
          <w:spacing w:val="4"/>
        </w:rPr>
        <w:t>：脑研究是</w:t>
      </w:r>
      <w:r>
        <w:rPr>
          <w:rFonts w:ascii="Times New Roman" w:hAnsi="Times New Roman" w:eastAsia="Times New Roman"/>
        </w:rPr>
        <w:t>21</w:t>
      </w:r>
      <w:r>
        <w:rPr>
          <w:spacing w:val="3"/>
        </w:rPr>
        <w:t>世纪世界主要发达国家高度重视的前沿科学议</w:t>
      </w:r>
      <w:r>
        <w:rPr>
          <w:spacing w:val="-12"/>
        </w:rPr>
        <w:t>题，也将对未来人类健康、高新技术、国家安全等诸多领域产生重大</w:t>
      </w:r>
      <w:r>
        <w:rPr>
          <w:spacing w:val="-13"/>
        </w:rPr>
        <w:t>而深远的影响。近年来，美国、欧盟、日本等经济和科技发达的国家及地区陆续出台针对脑研究的重大研发计划，我国科学界也呼吁政府尽早设立相关研究计划，加强对脑科学的研究。成像技术是脑研究的</w:t>
      </w:r>
      <w:r>
        <w:rPr>
          <w:spacing w:val="-12"/>
        </w:rPr>
        <w:t>重要技术手段，为了深入探讨神经功能成像技术在脑研究、特别是重</w:t>
      </w:r>
      <w:r>
        <w:rPr>
          <w:spacing w:val="-2"/>
        </w:rPr>
        <w:t>大脑疾病研究中的作用及发展前景， </w:t>
      </w:r>
      <w:r>
        <w:rPr>
          <w:rFonts w:ascii="Times New Roman" w:hAnsi="Times New Roman" w:eastAsia="Times New Roman"/>
        </w:rPr>
        <w:t>2013</w:t>
      </w:r>
      <w:r>
        <w:rPr>
          <w:spacing w:val="4"/>
        </w:rPr>
        <w:t>年</w:t>
      </w:r>
      <w:r>
        <w:rPr>
          <w:rFonts w:ascii="Times New Roman" w:hAnsi="Times New Roman" w:eastAsia="Times New Roman"/>
        </w:rPr>
        <w:t>9</w:t>
      </w:r>
      <w:r>
        <w:rPr/>
        <w:t>月</w:t>
      </w:r>
      <w:r>
        <w:rPr>
          <w:rFonts w:ascii="Times New Roman" w:hAnsi="Times New Roman" w:eastAsia="Times New Roman"/>
        </w:rPr>
        <w:t>15-18</w:t>
      </w:r>
      <w:r>
        <w:rPr/>
        <w:t>日，医学科学部和政策局联合举办主题为</w:t>
      </w:r>
      <w:r>
        <w:rPr>
          <w:rFonts w:ascii="Times New Roman" w:hAnsi="Times New Roman" w:eastAsia="Times New Roman"/>
          <w:spacing w:val="-5"/>
        </w:rPr>
        <w:t>“</w:t>
      </w:r>
      <w:r>
        <w:rPr/>
        <w:t>神经功能成像及其在重大脑疾病中的应用</w:t>
      </w:r>
      <w:r>
        <w:rPr>
          <w:rFonts w:ascii="Times New Roman" w:hAnsi="Times New Roman" w:eastAsia="Times New Roman"/>
          <w:spacing w:val="-3"/>
        </w:rPr>
        <w:t>”</w:t>
      </w:r>
      <w:r>
        <w:rPr/>
        <w:t>的第</w:t>
      </w:r>
      <w:r>
        <w:rPr>
          <w:rFonts w:ascii="Times New Roman" w:hAnsi="Times New Roman" w:eastAsia="Times New Roman"/>
        </w:rPr>
        <w:t>101</w:t>
      </w:r>
      <w:r>
        <w:rPr>
          <w:spacing w:val="-10"/>
        </w:rPr>
        <w:t>期双清论坛，来自全国</w:t>
      </w:r>
      <w:r>
        <w:rPr>
          <w:rFonts w:ascii="Times New Roman" w:hAnsi="Times New Roman" w:eastAsia="Times New Roman"/>
        </w:rPr>
        <w:t>27</w:t>
      </w:r>
      <w:r>
        <w:rPr>
          <w:spacing w:val="-3"/>
        </w:rPr>
        <w:t>家科研院所和临床医院的</w:t>
      </w:r>
      <w:r>
        <w:rPr>
          <w:rFonts w:ascii="Times New Roman" w:hAnsi="Times New Roman" w:eastAsia="Times New Roman"/>
        </w:rPr>
        <w:t>39</w:t>
      </w:r>
      <w:r>
        <w:rPr/>
        <w:t>位专</w:t>
      </w:r>
      <w:r>
        <w:rPr>
          <w:spacing w:val="-10"/>
        </w:rPr>
        <w:t>家学者应邀出席。与会专家通过充分而深入的研讨，凝炼了该领域的</w:t>
      </w:r>
      <w:r>
        <w:rPr>
          <w:spacing w:val="-12"/>
        </w:rPr>
        <w:t>重大关键科学问题，探讨了前沿研究方向和科学基金资助战略。本期</w:t>
      </w:r>
      <w:r>
        <w:rPr>
          <w:spacing w:val="-7"/>
        </w:rPr>
        <w:t>特刊登此次论坛学术综述。</w:t>
      </w:r>
    </w:p>
    <w:p>
      <w:pPr>
        <w:pStyle w:val="BodyText"/>
        <w:spacing w:line="417" w:lineRule="auto"/>
        <w:ind w:left="780" w:right="1094" w:firstLine="547"/>
      </w:pPr>
      <w:r>
        <w:rPr>
          <w:rFonts w:ascii="Times New Roman" w:hAnsi="Times New Roman" w:eastAsia="Times New Roman"/>
          <w:spacing w:val="1"/>
          <w:w w:val="100"/>
        </w:rPr>
        <w:t>2</w:t>
      </w:r>
      <w:r>
        <w:rPr>
          <w:rFonts w:ascii="Times New Roman" w:hAnsi="Times New Roman" w:eastAsia="Times New Roman"/>
          <w:w w:val="100"/>
        </w:rPr>
        <w:t>1</w:t>
      </w:r>
      <w:r>
        <w:rPr>
          <w:rFonts w:ascii="Times New Roman" w:hAnsi="Times New Roman" w:eastAsia="Times New Roman"/>
          <w:spacing w:val="-2"/>
        </w:rPr>
        <w:t> </w:t>
      </w:r>
      <w:r>
        <w:rPr>
          <w:spacing w:val="-1"/>
          <w:w w:val="100"/>
        </w:rPr>
        <w:t>世纪被称作</w:t>
      </w:r>
      <w:r>
        <w:rPr>
          <w:rFonts w:ascii="Times New Roman" w:hAnsi="Times New Roman" w:eastAsia="Times New Roman"/>
          <w:spacing w:val="-5"/>
          <w:w w:val="100"/>
        </w:rPr>
        <w:t>“</w:t>
      </w:r>
      <w:r>
        <w:rPr>
          <w:spacing w:val="-2"/>
          <w:w w:val="100"/>
        </w:rPr>
        <w:t>脑的世纪</w:t>
      </w:r>
      <w:r>
        <w:rPr>
          <w:rFonts w:ascii="Times New Roman" w:hAnsi="Times New Roman" w:eastAsia="Times New Roman"/>
          <w:spacing w:val="-3"/>
          <w:w w:val="100"/>
        </w:rPr>
        <w:t>”</w:t>
      </w:r>
      <w:r>
        <w:rPr>
          <w:spacing w:val="-13"/>
          <w:w w:val="100"/>
        </w:rPr>
        <w:t>，是人类解读脑正常工作机制及重大脑</w:t>
      </w:r>
      <w:r>
        <w:rPr>
          <w:spacing w:val="-8"/>
        </w:rPr>
        <w:t>疾病致病机理的关键历史阶段。当前，人类疾病谱发生了重大变化， </w:t>
      </w:r>
      <w:r>
        <w:rPr>
          <w:spacing w:val="-11"/>
        </w:rPr>
        <w:t>神经精神疾病跃居人类疾病谱系首位，且其发病率随着人们所面临的</w:t>
      </w:r>
      <w:r>
        <w:rPr>
          <w:spacing w:val="-15"/>
        </w:rPr>
        <w:t>日益增加的工作和生活压力不断升高。据世界卫生组织 </w:t>
      </w:r>
      <w:r>
        <w:rPr>
          <w:rFonts w:ascii="Times New Roman" w:hAnsi="Times New Roman" w:eastAsia="Times New Roman"/>
        </w:rPr>
        <w:t>2004</w:t>
      </w:r>
      <w:r>
        <w:rPr>
          <w:rFonts w:ascii="Times New Roman" w:hAnsi="Times New Roman" w:eastAsia="Times New Roman"/>
          <w:spacing w:val="7"/>
        </w:rPr>
        <w:t> </w:t>
      </w:r>
      <w:r>
        <w:rPr>
          <w:spacing w:val="-3"/>
        </w:rPr>
        <w:t>年统计， </w:t>
      </w:r>
      <w:r>
        <w:rPr/>
        <w:t>各类精神疾病约占人类疾病总负担的 </w:t>
      </w:r>
      <w:r>
        <w:rPr>
          <w:rFonts w:ascii="Times New Roman" w:hAnsi="Times New Roman" w:eastAsia="Times New Roman"/>
        </w:rPr>
        <w:t>13.08%</w:t>
      </w:r>
      <w:r>
        <w:rPr/>
        <w:t>。在欧洲，约三分之一</w:t>
      </w:r>
      <w:r>
        <w:rPr>
          <w:spacing w:val="-11"/>
        </w:rPr>
        <w:t>的人患有脑疾病，这几乎影响到了所有的家庭，使得相关医疗费用逐</w:t>
      </w:r>
    </w:p>
    <w:p>
      <w:pPr>
        <w:spacing w:after="0" w:line="417" w:lineRule="auto"/>
        <w:sectPr>
          <w:pgSz w:w="11910" w:h="16840"/>
          <w:pgMar w:header="0" w:footer="1035" w:top="1480" w:bottom="1300" w:left="1020" w:right="560"/>
        </w:sectPr>
      </w:pPr>
    </w:p>
    <w:p>
      <w:pPr>
        <w:pStyle w:val="BodyText"/>
        <w:spacing w:line="417" w:lineRule="auto" w:before="54"/>
        <w:ind w:left="780" w:right="1234"/>
        <w:jc w:val="both"/>
      </w:pPr>
      <w:r>
        <w:rPr>
          <w:spacing w:val="-10"/>
        </w:rPr>
        <w:t>年增高，近几年高达 </w:t>
      </w:r>
      <w:r>
        <w:rPr>
          <w:rFonts w:ascii="Times New Roman" w:eastAsia="Times New Roman"/>
        </w:rPr>
        <w:t>8000 </w:t>
      </w:r>
      <w:r>
        <w:rPr/>
        <w:t>亿欧元</w:t>
      </w:r>
      <w:r>
        <w:rPr>
          <w:rFonts w:ascii="Times New Roman" w:eastAsia="Times New Roman"/>
        </w:rPr>
        <w:t>/</w:t>
      </w:r>
      <w:r>
        <w:rPr>
          <w:spacing w:val="-5"/>
        </w:rPr>
        <w:t>年。在我国，目前精神疾病约占疾</w:t>
      </w:r>
      <w:r>
        <w:rPr>
          <w:spacing w:val="-16"/>
        </w:rPr>
        <w:t>病总负担的 </w:t>
      </w:r>
      <w:r>
        <w:rPr>
          <w:rFonts w:ascii="Times New Roman" w:eastAsia="Times New Roman"/>
          <w:spacing w:val="-4"/>
        </w:rPr>
        <w:t>20.8</w:t>
      </w:r>
      <w:r>
        <w:rPr>
          <w:spacing w:val="-19"/>
        </w:rPr>
        <w:t>％，到 </w:t>
      </w:r>
      <w:r>
        <w:rPr>
          <w:rFonts w:ascii="Times New Roman" w:eastAsia="Times New Roman"/>
        </w:rPr>
        <w:t>2020 </w:t>
      </w:r>
      <w:r>
        <w:rPr>
          <w:spacing w:val="-9"/>
        </w:rPr>
        <w:t>年预计会增至到 </w:t>
      </w:r>
      <w:r>
        <w:rPr>
          <w:rFonts w:ascii="Times New Roman" w:eastAsia="Times New Roman"/>
          <w:spacing w:val="-5"/>
        </w:rPr>
        <w:t>25</w:t>
      </w:r>
      <w:r>
        <w:rPr>
          <w:spacing w:val="-4"/>
        </w:rPr>
        <w:t>％，这可能与经济快速发展和社会急剧变迁所带来的精神负担增加有关。</w:t>
      </w:r>
    </w:p>
    <w:p>
      <w:pPr>
        <w:pStyle w:val="BodyText"/>
        <w:spacing w:line="417" w:lineRule="auto"/>
        <w:ind w:left="780" w:right="1093" w:firstLine="547"/>
      </w:pPr>
      <w:r>
        <w:rPr>
          <w:spacing w:val="-17"/>
        </w:rPr>
        <w:t>与此同时，随着老龄化人群不断增加，导致中风、阿尔茨海默病、</w:t>
      </w:r>
      <w:r>
        <w:rPr>
          <w:spacing w:val="-8"/>
        </w:rPr>
        <w:t>帕金森病等神经系统疾病的发病率也在逐步提高。这些重大脑疾病不</w:t>
      </w:r>
      <w:r>
        <w:rPr>
          <w:spacing w:val="-11"/>
        </w:rPr>
        <w:t>仅导致患者的工作能力丧失、生活质量下降，更给家庭及社会带来极</w:t>
      </w:r>
      <w:r>
        <w:rPr>
          <w:spacing w:val="-7"/>
        </w:rPr>
        <w:t>大的经济和精神负担。</w:t>
      </w:r>
    </w:p>
    <w:p>
      <w:pPr>
        <w:pStyle w:val="BodyText"/>
        <w:spacing w:line="417" w:lineRule="auto"/>
        <w:ind w:left="780" w:right="1099" w:firstLine="547"/>
      </w:pPr>
      <w:r>
        <w:rPr>
          <w:spacing w:val="-10"/>
        </w:rPr>
        <w:t>此外，随着信息科学技术的日新月异，特别是神经回路测量相关</w:t>
      </w:r>
      <w:r>
        <w:rPr>
          <w:spacing w:val="-12"/>
        </w:rPr>
        <w:t>工具和技术的更新以及网络平台建设的发展，使得脑细胞与环路活动</w:t>
      </w:r>
      <w:r>
        <w:rPr>
          <w:spacing w:val="-13"/>
        </w:rPr>
        <w:t>图谱绘制已成为可能。鉴于揭秘人脑工作机制对拓展科学前沿、解决</w:t>
      </w:r>
      <w:r>
        <w:rPr>
          <w:spacing w:val="3"/>
        </w:rPr>
        <w:t>人类健康等领域的现实问题以及影响未来国防和国家安全等方面的</w:t>
      </w:r>
      <w:r>
        <w:rPr>
          <w:spacing w:val="-17"/>
        </w:rPr>
        <w:t>重要性，近年来，在世界范围内已掀起一股脑科学研究的热潮。例如， </w:t>
      </w:r>
      <w:r>
        <w:rPr>
          <w:rFonts w:ascii="Times New Roman" w:hAnsi="Times New Roman" w:eastAsia="Times New Roman"/>
        </w:rPr>
        <w:t>2013 </w:t>
      </w:r>
      <w:r>
        <w:rPr>
          <w:spacing w:val="-34"/>
        </w:rPr>
        <w:t>年 </w:t>
      </w:r>
      <w:r>
        <w:rPr>
          <w:rFonts w:ascii="Times New Roman" w:hAnsi="Times New Roman" w:eastAsia="Times New Roman"/>
        </w:rPr>
        <w:t>1</w:t>
      </w:r>
      <w:r>
        <w:rPr>
          <w:rFonts w:ascii="Times New Roman" w:hAnsi="Times New Roman" w:eastAsia="Times New Roman"/>
          <w:spacing w:val="1"/>
        </w:rPr>
        <w:t> </w:t>
      </w:r>
      <w:r>
        <w:rPr>
          <w:spacing w:val="-34"/>
        </w:rPr>
        <w:t>月 </w:t>
      </w:r>
      <w:r>
        <w:rPr>
          <w:rFonts w:ascii="Times New Roman" w:hAnsi="Times New Roman" w:eastAsia="Times New Roman"/>
        </w:rPr>
        <w:t>28 </w:t>
      </w:r>
      <w:r>
        <w:rPr>
          <w:spacing w:val="-11"/>
        </w:rPr>
        <w:t>日，欧盟委员会宣布人脑工程</w:t>
      </w:r>
      <w:r>
        <w:rPr>
          <w:spacing w:val="-10"/>
        </w:rPr>
        <w:t>（</w:t>
      </w:r>
      <w:r>
        <w:rPr>
          <w:rFonts w:ascii="Times New Roman" w:hAnsi="Times New Roman" w:eastAsia="Times New Roman"/>
          <w:spacing w:val="-10"/>
        </w:rPr>
        <w:t>HBP</w:t>
      </w:r>
      <w:r>
        <w:rPr>
          <w:spacing w:val="-10"/>
        </w:rPr>
        <w:t>）</w:t>
      </w:r>
      <w:r>
        <w:rPr>
          <w:spacing w:val="-1"/>
        </w:rPr>
        <w:t>入选欧盟</w:t>
      </w:r>
      <w:r>
        <w:rPr>
          <w:rFonts w:ascii="Times New Roman" w:hAnsi="Times New Roman" w:eastAsia="Times New Roman"/>
          <w:spacing w:val="-5"/>
        </w:rPr>
        <w:t>“</w:t>
      </w:r>
      <w:r>
        <w:rPr/>
        <w:t>未来</w:t>
      </w:r>
    </w:p>
    <w:p>
      <w:pPr>
        <w:pStyle w:val="BodyText"/>
        <w:spacing w:line="417" w:lineRule="auto"/>
        <w:ind w:left="780" w:right="1232"/>
        <w:jc w:val="both"/>
      </w:pPr>
      <w:r>
        <w:rPr>
          <w:spacing w:val="-2"/>
        </w:rPr>
        <w:t>新兴旗舰技术项目</w:t>
      </w:r>
      <w:r>
        <w:rPr>
          <w:rFonts w:ascii="Times New Roman" w:hAnsi="Times New Roman" w:eastAsia="Times New Roman"/>
          <w:spacing w:val="-3"/>
        </w:rPr>
        <w:t>”</w:t>
      </w:r>
      <w:r>
        <w:rPr>
          <w:spacing w:val="-3"/>
        </w:rPr>
        <w:t>。再如，</w:t>
      </w:r>
      <w:r>
        <w:rPr>
          <w:rFonts w:ascii="Times New Roman" w:hAnsi="Times New Roman" w:eastAsia="Times New Roman"/>
        </w:rPr>
        <w:t>2013 </w:t>
      </w:r>
      <w:r>
        <w:rPr>
          <w:spacing w:val="-34"/>
        </w:rPr>
        <w:t>年 </w:t>
      </w:r>
      <w:r>
        <w:rPr>
          <w:rFonts w:ascii="Times New Roman" w:hAnsi="Times New Roman" w:eastAsia="Times New Roman"/>
        </w:rPr>
        <w:t>4 </w:t>
      </w:r>
      <w:r>
        <w:rPr>
          <w:spacing w:val="-34"/>
        </w:rPr>
        <w:t>月 </w:t>
      </w:r>
      <w:r>
        <w:rPr>
          <w:rFonts w:ascii="Times New Roman" w:hAnsi="Times New Roman" w:eastAsia="Times New Roman"/>
        </w:rPr>
        <w:t>2 </w:t>
      </w:r>
      <w:r>
        <w:rPr>
          <w:spacing w:val="-3"/>
        </w:rPr>
        <w:t>日，美国总统奥巴马宣布</w:t>
      </w:r>
      <w:r>
        <w:rPr>
          <w:w w:val="100"/>
        </w:rPr>
        <w:t>启动以新技术创新为导向的</w:t>
      </w:r>
      <w:r>
        <w:rPr>
          <w:rFonts w:ascii="Times New Roman" w:hAnsi="Times New Roman" w:eastAsia="Times New Roman"/>
          <w:spacing w:val="-5"/>
          <w:w w:val="100"/>
        </w:rPr>
        <w:t>“</w:t>
      </w:r>
      <w:r>
        <w:rPr>
          <w:spacing w:val="4"/>
          <w:w w:val="100"/>
        </w:rPr>
        <w:t>脑</w:t>
      </w:r>
      <w:r>
        <w:rPr>
          <w:rFonts w:ascii="Times New Roman" w:hAnsi="Times New Roman" w:eastAsia="Times New Roman"/>
          <w:w w:val="100"/>
        </w:rPr>
        <w:t>”</w:t>
      </w:r>
      <w:r>
        <w:rPr>
          <w:spacing w:val="1"/>
          <w:w w:val="100"/>
        </w:rPr>
        <w:t>计划</w:t>
      </w:r>
      <w:r>
        <w:rPr>
          <w:spacing w:val="2"/>
          <w:w w:val="100"/>
        </w:rPr>
        <w:t>（</w:t>
      </w:r>
      <w:r>
        <w:rPr>
          <w:rFonts w:ascii="Times New Roman" w:hAnsi="Times New Roman" w:eastAsia="Times New Roman"/>
          <w:w w:val="100"/>
        </w:rPr>
        <w:t>BR</w:t>
      </w:r>
      <w:r>
        <w:rPr>
          <w:rFonts w:ascii="Times New Roman" w:hAnsi="Times New Roman" w:eastAsia="Times New Roman"/>
          <w:spacing w:val="-2"/>
          <w:w w:val="100"/>
        </w:rPr>
        <w:t>A</w:t>
      </w:r>
      <w:r>
        <w:rPr>
          <w:rFonts w:ascii="Times New Roman" w:hAnsi="Times New Roman" w:eastAsia="Times New Roman"/>
          <w:w w:val="100"/>
        </w:rPr>
        <w:t>I</w:t>
      </w:r>
      <w:r>
        <w:rPr>
          <w:rFonts w:ascii="Times New Roman" w:hAnsi="Times New Roman" w:eastAsia="Times New Roman"/>
          <w:spacing w:val="-1"/>
          <w:w w:val="100"/>
        </w:rPr>
        <w:t>N</w:t>
      </w:r>
      <w:r>
        <w:rPr>
          <w:spacing w:val="-140"/>
          <w:w w:val="100"/>
        </w:rPr>
        <w:t>）</w:t>
      </w:r>
      <w:r>
        <w:rPr>
          <w:spacing w:val="-2"/>
          <w:w w:val="100"/>
        </w:rPr>
        <w:t>，将在未来十年内投</w:t>
      </w:r>
      <w:r>
        <w:rPr>
          <w:spacing w:val="-34"/>
        </w:rPr>
        <w:t>资 </w:t>
      </w:r>
      <w:r>
        <w:rPr>
          <w:rFonts w:ascii="Times New Roman" w:hAnsi="Times New Roman" w:eastAsia="Times New Roman"/>
        </w:rPr>
        <w:t>40 </w:t>
      </w:r>
      <w:r>
        <w:rPr>
          <w:spacing w:val="-3"/>
        </w:rPr>
        <w:t>亿美元实施该计划，其规模可与</w:t>
      </w:r>
      <w:r>
        <w:rPr>
          <w:rFonts w:ascii="Times New Roman" w:hAnsi="Times New Roman" w:eastAsia="Times New Roman"/>
          <w:spacing w:val="-5"/>
        </w:rPr>
        <w:t>“</w:t>
      </w:r>
      <w:r>
        <w:rPr>
          <w:spacing w:val="-1"/>
        </w:rPr>
        <w:t>人类基因组计划</w:t>
      </w:r>
      <w:r>
        <w:rPr>
          <w:rFonts w:ascii="Times New Roman" w:hAnsi="Times New Roman" w:eastAsia="Times New Roman"/>
          <w:spacing w:val="-3"/>
        </w:rPr>
        <w:t>”</w:t>
      </w:r>
      <w:r>
        <w:rPr>
          <w:spacing w:val="-2"/>
        </w:rPr>
        <w:t>相媲美。</w:t>
      </w:r>
    </w:p>
    <w:p>
      <w:pPr>
        <w:pStyle w:val="BodyText"/>
        <w:spacing w:line="417" w:lineRule="auto"/>
        <w:ind w:left="780" w:right="1097" w:firstLine="547"/>
      </w:pPr>
      <w:r>
        <w:rPr>
          <w:spacing w:val="-10"/>
        </w:rPr>
        <w:t>然而，对重大神经精神疾病的致病机理研究仍然是当今医学界的</w:t>
      </w:r>
      <w:r>
        <w:rPr>
          <w:spacing w:val="-12"/>
        </w:rPr>
        <w:t>世界难题之一。其临床诊断既是医学上的难题，也是易于引发社会法</w:t>
      </w:r>
      <w:r>
        <w:rPr>
          <w:spacing w:val="-18"/>
        </w:rPr>
        <w:t>律和伦理争议的焦点。究其原因，这是因为这些疾病的发病机制不清， </w:t>
      </w:r>
      <w:r>
        <w:rPr>
          <w:spacing w:val="-7"/>
        </w:rPr>
        <w:t>且运用现有技术手段进行常规检查尚不能发现特异的结构、功能和代</w:t>
      </w:r>
      <w:r>
        <w:rPr>
          <w:spacing w:val="-5"/>
        </w:rPr>
        <w:t>谢异常，这使得我们对这些疾病的诊治和评估缺乏客观生物学测试， </w:t>
      </w:r>
      <w:r>
        <w:rPr>
          <w:spacing w:val="-4"/>
        </w:rPr>
        <w:t>而只能长期依赖于主观判断。</w:t>
      </w:r>
    </w:p>
    <w:p>
      <w:pPr>
        <w:spacing w:after="0" w:line="417" w:lineRule="auto"/>
        <w:sectPr>
          <w:pgSz w:w="11910" w:h="16840"/>
          <w:pgMar w:header="0" w:footer="1035" w:top="1500" w:bottom="1300" w:left="1020" w:right="560"/>
        </w:sectPr>
      </w:pPr>
    </w:p>
    <w:p>
      <w:pPr>
        <w:pStyle w:val="BodyText"/>
        <w:spacing w:before="54"/>
        <w:ind w:left="1327"/>
      </w:pPr>
      <w:r>
        <w:rPr>
          <w:rFonts w:ascii="Times New Roman" w:eastAsia="Times New Roman"/>
        </w:rPr>
        <w:t>2009 </w:t>
      </w:r>
      <w:r>
        <w:rPr/>
        <w:t>年 </w:t>
      </w:r>
      <w:r>
        <w:rPr>
          <w:rFonts w:ascii="Times New Roman" w:eastAsia="Times New Roman"/>
        </w:rPr>
        <w:t>6 </w:t>
      </w:r>
      <w:r>
        <w:rPr/>
        <w:t>月，《柳叶刀》杂志发表了对中国四省精神障碍的流行</w:t>
      </w:r>
    </w:p>
    <w:p>
      <w:pPr>
        <w:pStyle w:val="BodyText"/>
        <w:spacing w:line="417" w:lineRule="auto" w:before="266"/>
        <w:ind w:left="780" w:right="1096"/>
      </w:pPr>
      <w:r>
        <w:rPr>
          <w:spacing w:val="-4"/>
        </w:rPr>
        <w:t>病学调查结果，调查显示中国约有 </w:t>
      </w:r>
      <w:r>
        <w:rPr>
          <w:rFonts w:ascii="Times New Roman" w:hAnsi="Times New Roman" w:eastAsia="Times New Roman"/>
        </w:rPr>
        <w:t>1.73</w:t>
      </w:r>
      <w:r>
        <w:rPr>
          <w:rFonts w:ascii="Times New Roman" w:hAnsi="Times New Roman" w:eastAsia="Times New Roman"/>
          <w:spacing w:val="61"/>
        </w:rPr>
        <w:t> </w:t>
      </w:r>
      <w:r>
        <w:rPr>
          <w:spacing w:val="-3"/>
        </w:rPr>
        <w:t>亿人患有不同类型的精神障碍。这项迄今为止在中国进行的最大规模的精神疾病流行病学调查， </w:t>
      </w:r>
      <w:r>
        <w:rPr>
          <w:spacing w:val="-8"/>
        </w:rPr>
        <w:t>得到的精神疾病总的患病率明显高于以往结果。另一方面，由于缺乏</w:t>
      </w:r>
      <w:r>
        <w:rPr>
          <w:spacing w:val="-5"/>
        </w:rPr>
        <w:t>客观生物学证据和疾病界定的</w:t>
      </w:r>
      <w:r>
        <w:rPr>
          <w:rFonts w:ascii="Times New Roman" w:hAnsi="Times New Roman" w:eastAsia="Times New Roman"/>
          <w:spacing w:val="-5"/>
        </w:rPr>
        <w:t>“</w:t>
      </w:r>
      <w:r>
        <w:rPr/>
        <w:t>金标准</w:t>
      </w:r>
      <w:r>
        <w:rPr>
          <w:rFonts w:ascii="Times New Roman" w:hAnsi="Times New Roman" w:eastAsia="Times New Roman"/>
          <w:spacing w:val="-33"/>
        </w:rPr>
        <w:t>”</w:t>
      </w:r>
      <w:r>
        <w:rPr>
          <w:spacing w:val="-7"/>
        </w:rPr>
        <w:t>，导致社会人群对这类疾病缺</w:t>
      </w:r>
      <w:r>
        <w:rPr>
          <w:spacing w:val="-11"/>
        </w:rPr>
        <w:t>乏基本认知，延误了患者的诊治，带来社会歧视。特别是精神疾病患者，他们不敢求医，不愿让人知道；由于缺乏客观指标，许多患者怀</w:t>
      </w:r>
      <w:r>
        <w:rPr>
          <w:spacing w:val="-13"/>
        </w:rPr>
        <w:t>疑精神卫生治疗的有效性，认为应该自行处理。其直接后果就是国内</w:t>
      </w:r>
      <w:r>
        <w:rPr>
          <w:spacing w:val="-18"/>
        </w:rPr>
        <w:t>现有的 </w:t>
      </w:r>
      <w:r>
        <w:rPr>
          <w:rFonts w:ascii="Times New Roman" w:hAnsi="Times New Roman" w:eastAsia="Times New Roman"/>
        </w:rPr>
        <w:t>1.73</w:t>
      </w:r>
      <w:r>
        <w:rPr>
          <w:rFonts w:ascii="Times New Roman" w:hAnsi="Times New Roman" w:eastAsia="Times New Roman"/>
          <w:spacing w:val="40"/>
        </w:rPr>
        <w:t> </w:t>
      </w:r>
      <w:r>
        <w:rPr>
          <w:spacing w:val="-2"/>
        </w:rPr>
        <w:t>亿精神障碍患者中，</w:t>
      </w:r>
      <w:r>
        <w:rPr>
          <w:rFonts w:ascii="Times New Roman" w:hAnsi="Times New Roman" w:eastAsia="Times New Roman"/>
        </w:rPr>
        <w:t>1.58</w:t>
      </w:r>
      <w:r>
        <w:rPr>
          <w:rFonts w:ascii="Times New Roman" w:hAnsi="Times New Roman" w:eastAsia="Times New Roman"/>
          <w:spacing w:val="42"/>
        </w:rPr>
        <w:t> </w:t>
      </w:r>
      <w:r>
        <w:rPr>
          <w:spacing w:val="-3"/>
        </w:rPr>
        <w:t>亿人从未接受过精神卫生专业治疗与干预。因此，对重大神经精神疾病发病机制的研究迫在眉睫。</w:t>
      </w:r>
      <w:r>
        <w:rPr>
          <w:spacing w:val="-7"/>
        </w:rPr>
        <w:t>这不仅有利于促进对这类疾病早期而客观的诊治及评估，还将提高公</w:t>
      </w:r>
      <w:r>
        <w:rPr>
          <w:spacing w:val="-13"/>
        </w:rPr>
        <w:t>众对疾病本身的认识，从而达到《国家中长期科学和技术发展规划纲</w:t>
      </w:r>
      <w:r>
        <w:rPr>
          <w:spacing w:val="-3"/>
        </w:rPr>
        <w:t>要</w:t>
      </w:r>
      <w:r>
        <w:rPr/>
        <w:t>（</w:t>
      </w:r>
      <w:r>
        <w:rPr>
          <w:rFonts w:ascii="Times New Roman" w:hAnsi="Times New Roman" w:eastAsia="Times New Roman"/>
        </w:rPr>
        <w:t>2006</w:t>
      </w:r>
      <w:r>
        <w:rPr/>
        <w:t>－</w:t>
      </w:r>
      <w:r>
        <w:rPr>
          <w:rFonts w:ascii="Times New Roman" w:hAnsi="Times New Roman" w:eastAsia="Times New Roman"/>
        </w:rPr>
        <w:t>2020</w:t>
      </w:r>
      <w:r>
        <w:rPr>
          <w:rFonts w:ascii="Times New Roman" w:hAnsi="Times New Roman" w:eastAsia="Times New Roman"/>
          <w:spacing w:val="11"/>
        </w:rPr>
        <w:t> </w:t>
      </w:r>
      <w:r>
        <w:rPr/>
        <w:t>年</w:t>
      </w:r>
      <w:r>
        <w:rPr>
          <w:spacing w:val="-142"/>
        </w:rPr>
        <w:t>）</w:t>
      </w:r>
      <w:r>
        <w:rPr>
          <w:spacing w:val="-3"/>
        </w:rPr>
        <w:t>》所提出的</w:t>
      </w:r>
      <w:r>
        <w:rPr>
          <w:rFonts w:ascii="Times New Roman" w:hAnsi="Times New Roman" w:eastAsia="Times New Roman"/>
          <w:spacing w:val="-5"/>
        </w:rPr>
        <w:t>“</w:t>
      </w:r>
      <w:r>
        <w:rPr>
          <w:spacing w:val="-3"/>
        </w:rPr>
        <w:t>疾病防治重心前移，坚持预防为主、促进健康和防治疾病结合</w:t>
      </w:r>
      <w:r>
        <w:rPr>
          <w:rFonts w:ascii="Times New Roman" w:hAnsi="Times New Roman" w:eastAsia="Times New Roman"/>
          <w:spacing w:val="-3"/>
        </w:rPr>
        <w:t>”</w:t>
      </w:r>
      <w:r>
        <w:rPr>
          <w:spacing w:val="-2"/>
        </w:rPr>
        <w:t>的战略目标</w:t>
      </w:r>
      <w:r>
        <w:rPr>
          <w:spacing w:val="-22"/>
        </w:rPr>
        <w:t>。《国家自然科学基金</w:t>
      </w:r>
      <w:r>
        <w:rPr>
          <w:rFonts w:ascii="Times New Roman" w:hAnsi="Times New Roman" w:eastAsia="Times New Roman"/>
          <w:spacing w:val="-5"/>
        </w:rPr>
        <w:t>“</w:t>
      </w:r>
      <w:r>
        <w:rPr/>
        <w:t>十一五</w:t>
      </w:r>
      <w:r>
        <w:rPr>
          <w:rFonts w:ascii="Times New Roman" w:hAnsi="Times New Roman" w:eastAsia="Times New Roman"/>
        </w:rPr>
        <w:t>” </w:t>
      </w:r>
      <w:r>
        <w:rPr/>
        <w:t>发展规划》中就明确提出了</w:t>
      </w:r>
      <w:r>
        <w:rPr>
          <w:rFonts w:ascii="Times New Roman" w:hAnsi="Times New Roman" w:eastAsia="Times New Roman"/>
          <w:spacing w:val="-5"/>
        </w:rPr>
        <w:t>“</w:t>
      </w:r>
      <w:r>
        <w:rPr/>
        <w:t>重点支持针对严重危害人类健康的神经</w:t>
      </w:r>
      <w:r>
        <w:rPr>
          <w:spacing w:val="-7"/>
        </w:rPr>
        <w:t>性疾病、精神性疾病以及环境相关性重大疾病等的研究</w:t>
      </w:r>
      <w:r>
        <w:rPr>
          <w:rFonts w:ascii="Times New Roman" w:hAnsi="Times New Roman" w:eastAsia="Times New Roman"/>
          <w:spacing w:val="-21"/>
        </w:rPr>
        <w:t>”</w:t>
      </w:r>
      <w:r>
        <w:rPr>
          <w:spacing w:val="-6"/>
        </w:rPr>
        <w:t>，近十年来， </w:t>
      </w:r>
      <w:r>
        <w:rPr>
          <w:spacing w:val="-5"/>
        </w:rPr>
        <w:t>科学基金也资助了多项有关研究课题。</w:t>
      </w:r>
    </w:p>
    <w:p>
      <w:pPr>
        <w:pStyle w:val="BodyText"/>
        <w:spacing w:line="417" w:lineRule="auto"/>
        <w:ind w:left="780" w:right="1145" w:firstLine="503"/>
        <w:jc w:val="both"/>
      </w:pPr>
      <w:r>
        <w:rPr>
          <w:spacing w:val="-7"/>
        </w:rPr>
        <w:t>在过去的数十年中，国内外学者应用多种研究手段发现重大神经</w:t>
      </w:r>
      <w:r>
        <w:rPr>
          <w:spacing w:val="-10"/>
        </w:rPr>
        <w:t>精神疾病存在脑结构及功能异常，且与遗传及环境因素关系密切。在</w:t>
      </w:r>
      <w:r>
        <w:rPr>
          <w:spacing w:val="-12"/>
        </w:rPr>
        <w:t>这些研究手段中，功能神经影像学方法有着突出的优势，这不仅是因为其可以无创</w:t>
      </w:r>
      <w:r>
        <w:rPr>
          <w:spacing w:val="-3"/>
        </w:rPr>
        <w:t>（</w:t>
      </w:r>
      <w:r>
        <w:rPr>
          <w:spacing w:val="-2"/>
        </w:rPr>
        <w:t>微创</w:t>
      </w:r>
      <w:r>
        <w:rPr>
          <w:spacing w:val="-32"/>
        </w:rPr>
        <w:t>）</w:t>
      </w:r>
      <w:r>
        <w:rPr>
          <w:spacing w:val="-6"/>
        </w:rPr>
        <w:t>观察活体脑结构及功能改变，更重要的是影像学作为中间桥梁可以整合分子、代谢、功能及结构等多方面的信息，</w:t>
      </w:r>
    </w:p>
    <w:p>
      <w:pPr>
        <w:spacing w:after="0" w:line="417" w:lineRule="auto"/>
        <w:jc w:val="both"/>
        <w:sectPr>
          <w:pgSz w:w="11910" w:h="16840"/>
          <w:pgMar w:header="0" w:footer="1035" w:top="1500" w:bottom="1300" w:left="1020" w:right="560"/>
        </w:sectPr>
      </w:pPr>
    </w:p>
    <w:p>
      <w:pPr>
        <w:pStyle w:val="BodyText"/>
        <w:spacing w:line="417" w:lineRule="auto" w:before="34"/>
        <w:ind w:left="780" w:right="1235"/>
      </w:pPr>
      <w:r>
        <w:rPr>
          <w:spacing w:val="-11"/>
        </w:rPr>
        <w:t>从而为研究疾病的发病机制、开发生物学测试、临床早期诊断以及抗</w:t>
      </w:r>
      <w:r>
        <w:rPr>
          <w:spacing w:val="-3"/>
        </w:rPr>
        <w:t>精神药物的作用机理与疗效的评价提供客观的备选指标。</w:t>
      </w:r>
    </w:p>
    <w:p>
      <w:pPr>
        <w:pStyle w:val="BodyText"/>
        <w:spacing w:before="77"/>
        <w:ind w:left="780"/>
        <w:rPr>
          <w:rFonts w:ascii="黑体" w:eastAsia="黑体" w:hint="eastAsia"/>
        </w:rPr>
      </w:pPr>
      <w:r>
        <w:rPr>
          <w:rFonts w:ascii="黑体" w:eastAsia="黑体" w:hint="eastAsia"/>
        </w:rPr>
        <w:t>一、功能神经成像技术与方法的现状与发展趋势</w:t>
      </w:r>
    </w:p>
    <w:p>
      <w:pPr>
        <w:pStyle w:val="BodyText"/>
        <w:spacing w:before="12"/>
        <w:rPr>
          <w:rFonts w:ascii="黑体"/>
          <w:sz w:val="25"/>
        </w:rPr>
      </w:pPr>
    </w:p>
    <w:p>
      <w:pPr>
        <w:pStyle w:val="Heading8"/>
      </w:pPr>
      <w:r>
        <w:rPr/>
        <w:t>（一）功能神经影像技术与方法</w:t>
      </w:r>
    </w:p>
    <w:p>
      <w:pPr>
        <w:pStyle w:val="BodyText"/>
        <w:spacing w:line="417" w:lineRule="auto" w:before="214"/>
        <w:ind w:left="780" w:right="1236" w:firstLine="599"/>
        <w:jc w:val="both"/>
      </w:pPr>
      <w:r>
        <w:rPr>
          <w:spacing w:val="-14"/>
        </w:rPr>
        <w:t>在技术方面，快速精准脑功能成像新技术的研发在神经科学和临</w:t>
      </w:r>
      <w:r>
        <w:rPr>
          <w:spacing w:val="3"/>
        </w:rPr>
        <w:t>床医学研究中起着至关重要的作用。其中成像速度的提高对功能成</w:t>
      </w:r>
      <w:r>
        <w:rPr>
          <w:spacing w:val="-10"/>
        </w:rPr>
        <w:t>像，特别是功能磁共振成像研究的发展与应用尤其重要。目前的功能</w:t>
      </w:r>
      <w:r>
        <w:rPr>
          <w:spacing w:val="-11"/>
        </w:rPr>
        <w:t>磁共振扫描的时间分辨率多在 </w:t>
      </w:r>
      <w:r>
        <w:rPr>
          <w:rFonts w:ascii="Times New Roman" w:eastAsia="Times New Roman"/>
        </w:rPr>
        <w:t>1-2 </w:t>
      </w:r>
      <w:r>
        <w:rPr>
          <w:spacing w:val="-8"/>
        </w:rPr>
        <w:t>秒，相对于毫秒级的神经元放电活</w:t>
      </w:r>
      <w:r>
        <w:rPr>
          <w:spacing w:val="-12"/>
        </w:rPr>
        <w:t>动来说，其时间分辨率远远不够。近几年发展起来的平行成像技术可</w:t>
      </w:r>
      <w:r>
        <w:rPr>
          <w:spacing w:val="-3"/>
        </w:rPr>
        <w:t>以通过减少采样数量从而缩短采集时间。</w:t>
      </w:r>
    </w:p>
    <w:p>
      <w:pPr>
        <w:pStyle w:val="BodyText"/>
        <w:spacing w:line="417" w:lineRule="auto"/>
        <w:ind w:left="780" w:right="1144" w:firstLine="599"/>
      </w:pPr>
      <w:r>
        <w:rPr>
          <w:spacing w:val="4"/>
        </w:rPr>
        <w:t>为了进一步提高成像速度，并同时减小现有技术手段的自身限</w:t>
      </w:r>
      <w:r>
        <w:rPr>
          <w:spacing w:val="-4"/>
        </w:rPr>
        <w:t>制，除了多种技术的结合，还需要开发新的技术，这包括压缩传感、</w:t>
      </w:r>
      <w:r>
        <w:rPr>
          <w:spacing w:val="-9"/>
        </w:rPr>
        <w:t>射频激励并行发射和复用加速等技术。压缩传感磁共振技术在时间和</w:t>
      </w:r>
      <w:r>
        <w:rPr>
          <w:spacing w:val="3"/>
        </w:rPr>
        <w:t>空间上提供了一种拍摄软组织图像的快速途径，采用随机地记录数</w:t>
      </w:r>
      <w:r>
        <w:rPr>
          <w:spacing w:val="-11"/>
        </w:rPr>
        <w:t>据，进而绘制出一个稀疏的图像，这种不完整的图像在扫描后会由显</w:t>
      </w:r>
      <w:r>
        <w:rPr>
          <w:spacing w:val="3"/>
        </w:rPr>
        <w:t>示每个像素最简单的解决方案的算法进行填充；与并行加速成像类</w:t>
      </w:r>
      <w:r>
        <w:rPr>
          <w:spacing w:val="-11"/>
        </w:rPr>
        <w:t>似，射频激励的并行发射可以通过多个射频发射通道与射频脉冲的组</w:t>
      </w:r>
      <w:r>
        <w:rPr>
          <w:spacing w:val="-12"/>
        </w:rPr>
        <w:t>合实现多维激励，可以特征性地选择激励区域减小激励范围，并且可</w:t>
      </w:r>
      <w:r>
        <w:rPr>
          <w:spacing w:val="-13"/>
        </w:rPr>
        <w:t>以有效避免卷褶伪影，避开局部磁场不均匀造成的伪影区域，提高激</w:t>
      </w:r>
      <w:r>
        <w:rPr>
          <w:spacing w:val="-14"/>
        </w:rPr>
        <w:t>励速度；复用加速是通讯中将多个信号加合并共享传递介质以提高传</w:t>
      </w:r>
      <w:r>
        <w:rPr>
          <w:spacing w:val="-10"/>
        </w:rPr>
        <w:t>递速度的方法，在磁共振成像中将多个片层同时激发采集，并结合平</w:t>
      </w:r>
      <w:r>
        <w:rPr>
          <w:spacing w:val="-16"/>
        </w:rPr>
        <w:t>面回波、并行成像技术实现片层分离，能够实现在 </w:t>
      </w:r>
      <w:r>
        <w:rPr>
          <w:rFonts w:ascii="Times New Roman" w:eastAsia="Times New Roman"/>
        </w:rPr>
        <w:t>100 </w:t>
      </w:r>
      <w:r>
        <w:rPr>
          <w:spacing w:val="-1"/>
        </w:rPr>
        <w:t>毫秒内完成整</w:t>
      </w:r>
    </w:p>
    <w:p>
      <w:pPr>
        <w:spacing w:after="0" w:line="417" w:lineRule="auto"/>
        <w:sectPr>
          <w:pgSz w:w="11910" w:h="16840"/>
          <w:pgMar w:header="0" w:footer="1035" w:top="1520" w:bottom="1300" w:left="1020" w:right="560"/>
        </w:sectPr>
      </w:pPr>
    </w:p>
    <w:p>
      <w:pPr>
        <w:pStyle w:val="BodyText"/>
        <w:spacing w:before="34"/>
        <w:ind w:left="780"/>
      </w:pPr>
      <w:r>
        <w:rPr/>
        <w:t>个人脑的磁共振成像，为整个人脑功能的实时研究提供了可能。</w:t>
      </w:r>
    </w:p>
    <w:p>
      <w:pPr>
        <w:pStyle w:val="BodyText"/>
        <w:spacing w:before="9"/>
        <w:rPr>
          <w:sz w:val="20"/>
        </w:rPr>
      </w:pPr>
    </w:p>
    <w:p>
      <w:pPr>
        <w:pStyle w:val="BodyText"/>
        <w:spacing w:line="417" w:lineRule="auto" w:before="1"/>
        <w:ind w:left="780" w:right="1234" w:firstLine="599"/>
        <w:jc w:val="both"/>
      </w:pPr>
      <w:r>
        <w:rPr>
          <w:spacing w:val="-9"/>
        </w:rPr>
        <w:t>动态实时成像问题一直是磁共振成像技术的难题之一，采用并结</w:t>
      </w:r>
      <w:r>
        <w:rPr>
          <w:spacing w:val="-13"/>
        </w:rPr>
        <w:t>合小倾角梯度回波成像序列、交错式径向 </w:t>
      </w:r>
      <w:r>
        <w:rPr>
          <w:rFonts w:ascii="Times New Roman" w:eastAsia="Times New Roman"/>
        </w:rPr>
        <w:t>k </w:t>
      </w:r>
      <w:r>
        <w:rPr>
          <w:spacing w:val="-8"/>
        </w:rPr>
        <w:t>空间信号编码、主成分分</w:t>
      </w:r>
      <w:r>
        <w:rPr>
          <w:spacing w:val="-12"/>
        </w:rPr>
        <w:t>析信道压缩合并及非线性反演法，以解决快速连续成像与辐射吸收率</w:t>
      </w:r>
      <w:r>
        <w:rPr>
          <w:spacing w:val="-14"/>
        </w:rPr>
        <w:t>的安全问题、相位编码对运动和欠采样的敏感度问题以及图像重建失真度的问题，最终得以同时实现高图质（高空间分辨率和信噪比</w:t>
      </w:r>
      <w:r>
        <w:rPr>
          <w:spacing w:val="-140"/>
        </w:rPr>
        <w:t>）</w:t>
      </w:r>
      <w:r>
        <w:rPr>
          <w:spacing w:val="-14"/>
        </w:rPr>
        <w:t>、</w:t>
      </w:r>
      <w:r>
        <w:rPr/>
        <w:t>高帧频</w:t>
      </w:r>
      <w:r>
        <w:rPr>
          <w:spacing w:val="-3"/>
        </w:rPr>
        <w:t>（</w:t>
      </w:r>
      <w:r>
        <w:rPr>
          <w:spacing w:val="-2"/>
        </w:rPr>
        <w:t>高时间分辨率</w:t>
      </w:r>
      <w:r>
        <w:rPr>
          <w:spacing w:val="-142"/>
        </w:rPr>
        <w:t>）</w:t>
      </w:r>
      <w:r>
        <w:rPr>
          <w:spacing w:val="-3"/>
        </w:rPr>
        <w:t>、多对比度、多层面的动态实时成像。</w:t>
      </w:r>
    </w:p>
    <w:p>
      <w:pPr>
        <w:pStyle w:val="BodyText"/>
        <w:spacing w:line="417" w:lineRule="auto"/>
        <w:ind w:left="780" w:right="1221" w:firstLine="559"/>
        <w:jc w:val="both"/>
      </w:pPr>
      <w:r>
        <w:rPr>
          <w:spacing w:val="-11"/>
        </w:rPr>
        <w:t>与此同时，神经功能成像技术趋向于多模态脑功能神经影像信息</w:t>
      </w:r>
      <w:r>
        <w:rPr>
          <w:spacing w:val="-3"/>
        </w:rPr>
        <w:t>获取、数据融合、联合分析及其交叉验证。脑电</w:t>
      </w:r>
      <w:r>
        <w:rPr>
          <w:rFonts w:ascii="Times New Roman" w:eastAsia="Times New Roman"/>
        </w:rPr>
        <w:t>/</w:t>
      </w:r>
      <w:r>
        <w:rPr/>
        <w:t>脑磁（</w:t>
      </w:r>
      <w:r>
        <w:rPr>
          <w:rFonts w:ascii="Times New Roman" w:eastAsia="Times New Roman"/>
        </w:rPr>
        <w:t>EEG/MEG</w:t>
      </w:r>
      <w:r>
        <w:rPr/>
        <w:t>） 和功能磁共振成像是最常用的无创脑功能检测手段。脑电</w:t>
      </w:r>
      <w:r>
        <w:rPr>
          <w:rFonts w:ascii="Times New Roman" w:eastAsia="Times New Roman"/>
        </w:rPr>
        <w:t>/</w:t>
      </w:r>
      <w:r>
        <w:rPr>
          <w:spacing w:val="1"/>
        </w:rPr>
        <w:t>脑磁是记</w:t>
      </w:r>
      <w:r>
        <w:rPr>
          <w:spacing w:val="2"/>
        </w:rPr>
        <w:t>录头表电</w:t>
      </w:r>
      <w:r>
        <w:rPr>
          <w:rFonts w:ascii="Times New Roman" w:eastAsia="Times New Roman"/>
        </w:rPr>
        <w:t>/</w:t>
      </w:r>
      <w:r>
        <w:rPr/>
        <w:t>磁信号，具有高时间分辨率，但空间分辨率低，空间定位</w:t>
      </w:r>
      <w:r>
        <w:rPr>
          <w:spacing w:val="-11"/>
        </w:rPr>
        <w:t>准确度有限。功能磁共振可以准确定位与记录颅内所有脑区的功能成</w:t>
      </w:r>
      <w:r>
        <w:rPr>
          <w:spacing w:val="3"/>
        </w:rPr>
        <w:t>像信号，空间分辨率高，但时间分辨率相对较低。磁敏感加权成像</w:t>
      </w:r>
    </w:p>
    <w:p>
      <w:pPr>
        <w:pStyle w:val="BodyText"/>
        <w:spacing w:line="417" w:lineRule="auto"/>
        <w:ind w:left="780" w:right="1145"/>
      </w:pPr>
      <w:r>
        <w:rPr>
          <w:spacing w:val="-11"/>
        </w:rPr>
        <w:t>（</w:t>
      </w:r>
      <w:r>
        <w:rPr>
          <w:rFonts w:ascii="Times New Roman" w:eastAsia="Times New Roman"/>
          <w:spacing w:val="-11"/>
        </w:rPr>
        <w:t>SWI</w:t>
      </w:r>
      <w:r>
        <w:rPr>
          <w:spacing w:val="-11"/>
        </w:rPr>
        <w:t>）</w:t>
      </w:r>
      <w:r>
        <w:rPr>
          <w:spacing w:val="-3"/>
        </w:rPr>
        <w:t>是利用组织结构或功能的差异所导致的磁敏感变化得到图像</w:t>
      </w:r>
      <w:r>
        <w:rPr>
          <w:spacing w:val="-12"/>
        </w:rPr>
        <w:t>反差，提供了一种新的诊断和研究手段。但较早采用的成像技术测量</w:t>
      </w:r>
      <w:r>
        <w:rPr>
          <w:spacing w:val="-8"/>
        </w:rPr>
        <w:t>的是磁敏感变化所导致的空间综合效应，缺乏对信号源的定量定位。</w:t>
      </w:r>
      <w:r>
        <w:rPr>
          <w:spacing w:val="-9"/>
        </w:rPr>
        <w:t>磁敏感定量成像通过攻克技术难关，实现了对磁敏感扰动源的定量定</w:t>
      </w:r>
      <w:r>
        <w:rPr>
          <w:spacing w:val="-11"/>
        </w:rPr>
        <w:t>位，使得到的信号能够直接、准确地反映病变或功能。在实际应用和</w:t>
      </w:r>
      <w:r>
        <w:rPr>
          <w:spacing w:val="-12"/>
        </w:rPr>
        <w:t>研究中，融合这几种成像手段能够互取所长，得到更准确与全面的人</w:t>
      </w:r>
      <w:r>
        <w:rPr>
          <w:spacing w:val="-11"/>
        </w:rPr>
        <w:t>脑特性。例如，整合脑电</w:t>
      </w:r>
      <w:r>
        <w:rPr>
          <w:rFonts w:ascii="Times New Roman" w:eastAsia="Times New Roman"/>
        </w:rPr>
        <w:t>/</w:t>
      </w:r>
      <w:r>
        <w:rPr/>
        <w:t>磁</w:t>
      </w:r>
      <w:r>
        <w:rPr>
          <w:rFonts w:ascii="Times New Roman" w:eastAsia="Times New Roman"/>
        </w:rPr>
        <w:t>/</w:t>
      </w:r>
      <w:r>
        <w:rPr/>
        <w:t>功能磁共振成像对癫痫以及其他脑认知</w:t>
      </w:r>
      <w:r>
        <w:rPr>
          <w:spacing w:val="-10"/>
        </w:rPr>
        <w:t>障碍进行研究，对获取的神经影像数据进行联合分析，能为临床应用</w:t>
      </w:r>
      <w:r>
        <w:rPr>
          <w:spacing w:val="-7"/>
        </w:rPr>
        <w:t>转化研究提供系统的神经功能成像平台。</w:t>
      </w:r>
    </w:p>
    <w:p>
      <w:pPr>
        <w:spacing w:after="0" w:line="417" w:lineRule="auto"/>
        <w:sectPr>
          <w:pgSz w:w="11910" w:h="16840"/>
          <w:pgMar w:header="0" w:footer="1035" w:top="1520" w:bottom="1300" w:left="1020" w:right="560"/>
        </w:sectPr>
      </w:pPr>
    </w:p>
    <w:p>
      <w:pPr>
        <w:pStyle w:val="BodyText"/>
        <w:spacing w:line="417" w:lineRule="auto" w:before="34"/>
        <w:ind w:left="780" w:right="1231" w:firstLine="559"/>
        <w:jc w:val="both"/>
      </w:pPr>
      <w:r>
        <w:rPr>
          <w:spacing w:val="3"/>
        </w:rPr>
        <w:t>各种脑结构成像将为解释神经功能成像发现的脑结构基础提供</w:t>
      </w:r>
      <w:r>
        <w:rPr>
          <w:spacing w:val="-3"/>
        </w:rPr>
        <w:t>手段。如磁共振弥散张量成像</w:t>
      </w:r>
      <w:r>
        <w:rPr/>
        <w:t>（</w:t>
      </w:r>
      <w:r>
        <w:rPr>
          <w:rFonts w:ascii="Times New Roman" w:eastAsia="Times New Roman"/>
        </w:rPr>
        <w:t>DTI</w:t>
      </w:r>
      <w:r>
        <w:rPr/>
        <w:t>）</w:t>
      </w:r>
      <w:r>
        <w:rPr>
          <w:spacing w:val="-3"/>
        </w:rPr>
        <w:t>是一种非侵入性的观察脑组织</w:t>
      </w:r>
      <w:r>
        <w:rPr>
          <w:spacing w:val="-10"/>
        </w:rPr>
        <w:t>水分子微观运动的成像技术，可以活体显示脑白质纤维束且能够定量</w:t>
      </w:r>
      <w:r>
        <w:rPr>
          <w:spacing w:val="2"/>
        </w:rPr>
        <w:t>评估其结构的完整性；高角分辨率弥散成像</w:t>
      </w:r>
      <w:r>
        <w:rPr/>
        <w:t>（</w:t>
      </w:r>
      <w:r>
        <w:rPr>
          <w:rFonts w:ascii="Times New Roman" w:eastAsia="Times New Roman"/>
        </w:rPr>
        <w:t>HARDI</w:t>
      </w:r>
      <w:r>
        <w:rPr/>
        <w:t>）</w:t>
      </w:r>
      <w:r>
        <w:rPr>
          <w:spacing w:val="4"/>
        </w:rPr>
        <w:t>是磁共振弥</w:t>
      </w:r>
      <w:r>
        <w:rPr>
          <w:spacing w:val="-9"/>
        </w:rPr>
        <w:t>散张量成像的进一步发展，通过评估更多方向上水分子弥散信息，从</w:t>
      </w:r>
      <w:r>
        <w:rPr>
          <w:spacing w:val="-12"/>
        </w:rPr>
        <w:t>而更加准确地探索大脑的微观结构。传统的弥散张量成像仅适合研究内部纤维走形方向一致的体素，而不能准确刻画存在纤维交叉、分叉的体素的扩散属性，进而限制了该技术的广泛应用。而弥散频谱成像</w:t>
      </w:r>
    </w:p>
    <w:p>
      <w:pPr>
        <w:pStyle w:val="BodyText"/>
        <w:spacing w:line="417" w:lineRule="auto"/>
        <w:ind w:left="780" w:right="1235"/>
      </w:pPr>
      <w:r>
        <w:rPr/>
        <w:t>（</w:t>
      </w:r>
      <w:r>
        <w:rPr>
          <w:rFonts w:ascii="Times New Roman" w:eastAsia="Times New Roman"/>
        </w:rPr>
        <w:t>DSI</w:t>
      </w:r>
      <w:r>
        <w:rPr/>
        <w:t>）采用多方向多弥散强度的成像方式，可以更准确地描述一个体素内多方向扩散信息，具有较大的应用前景。</w:t>
      </w:r>
    </w:p>
    <w:p>
      <w:pPr>
        <w:pStyle w:val="Heading8"/>
        <w:spacing w:line="409" w:lineRule="exact"/>
      </w:pPr>
      <w:r>
        <w:rPr/>
        <w:t>（二）多模态海量影像数据计算与分析</w:t>
      </w:r>
    </w:p>
    <w:p>
      <w:pPr>
        <w:pStyle w:val="BodyText"/>
        <w:spacing w:line="417" w:lineRule="auto" w:before="213"/>
        <w:ind w:left="780" w:right="1235" w:firstLine="559"/>
        <w:jc w:val="both"/>
      </w:pPr>
      <w:r>
        <w:rPr>
          <w:spacing w:val="-7"/>
        </w:rPr>
        <w:t>功能神经影像技术的飞速进步带来了各种方法学挑战。无论是获</w:t>
      </w:r>
      <w:r>
        <w:rPr>
          <w:spacing w:val="-11"/>
        </w:rPr>
        <w:t>取时空精度提升还是多模态技术融合，都将直接导致获取的功能神经</w:t>
      </w:r>
      <w:r>
        <w:rPr>
          <w:spacing w:val="-13"/>
        </w:rPr>
        <w:t>影像数据量剧增，研发大数据背景下的功能神经影像计算方法学体系成为未来方向之一。人脑是一个复杂网络系统，研究者一直在试图理</w:t>
      </w:r>
      <w:r>
        <w:rPr>
          <w:spacing w:val="-11"/>
        </w:rPr>
        <w:t>解人脑的工作机理，特别是不同部位的脑区是如何整合起来行使脑功能，产生各种心理与日常行为并出现异常。最近几年，基于图论的复杂网络理论的方法学框架为大脑功能带来了新的理解。例如，与被广</w:t>
      </w:r>
      <w:r>
        <w:rPr>
          <w:spacing w:val="-13"/>
        </w:rPr>
        <w:t>泛研究的规则网络和随机网络不同，人脑网络是介乎于这两类网络之</w:t>
      </w:r>
      <w:r>
        <w:rPr>
          <w:spacing w:val="-14"/>
        </w:rPr>
        <w:t>间的小世界网络。人脑连接组学将是多模态海量影像数据计算分析的</w:t>
      </w:r>
      <w:r>
        <w:rPr>
          <w:spacing w:val="-8"/>
        </w:rPr>
        <w:t>非常有前途的逻辑框架之一。</w:t>
      </w:r>
    </w:p>
    <w:p>
      <w:pPr>
        <w:pStyle w:val="BodyText"/>
        <w:spacing w:line="357" w:lineRule="exact"/>
        <w:ind w:left="1129" w:right="1028"/>
        <w:jc w:val="center"/>
      </w:pPr>
      <w:r>
        <w:rPr/>
        <w:t>首先，利用多模态神经影像技术，连接组学在脑网络层面进行特</w:t>
      </w:r>
    </w:p>
    <w:p>
      <w:pPr>
        <w:spacing w:after="0" w:line="357" w:lineRule="exact"/>
        <w:jc w:val="center"/>
        <w:sectPr>
          <w:pgSz w:w="11910" w:h="16840"/>
          <w:pgMar w:header="0" w:footer="1035" w:top="1520" w:bottom="1300" w:left="1020" w:right="560"/>
        </w:sectPr>
      </w:pPr>
    </w:p>
    <w:p>
      <w:pPr>
        <w:pStyle w:val="BodyText"/>
        <w:spacing w:line="417" w:lineRule="auto" w:before="34"/>
        <w:ind w:left="780" w:right="1145"/>
      </w:pPr>
      <w:r>
        <w:rPr>
          <w:spacing w:val="-10"/>
        </w:rPr>
        <w:t>征信息集的多模态技术融合，根据磁共振扫描提供的脑功能和结构信</w:t>
      </w:r>
      <w:r>
        <w:rPr>
          <w:spacing w:val="-13"/>
        </w:rPr>
        <w:t>息构建网络并进行融合，并利用信息技术和大尺度脑连接图论的计算</w:t>
      </w:r>
      <w:r>
        <w:rPr>
          <w:spacing w:val="-11"/>
        </w:rPr>
        <w:t>方法，实现脑功能和结构在网络层面上的融合，为重大脑疾病的研究</w:t>
      </w:r>
      <w:r>
        <w:rPr>
          <w:spacing w:val="3"/>
        </w:rPr>
        <w:t>提供了新视角和手段。研究人员通过基于神经影像的人脑连接组研</w:t>
      </w:r>
      <w:r>
        <w:rPr>
          <w:spacing w:val="-11"/>
        </w:rPr>
        <w:t>究，已经取得多个重要发现。例如，局部癫痫患者脑默认网络功能和</w:t>
      </w:r>
      <w:r>
        <w:rPr>
          <w:spacing w:val="-13"/>
        </w:rPr>
        <w:t>结构连接降低，而全面癫痫患者因癫痫引起的脑功能和结构网络耦合</w:t>
      </w:r>
      <w:r>
        <w:rPr>
          <w:spacing w:val="-12"/>
        </w:rPr>
        <w:t>程度的降低；阿尔兹海默病患者脑结构和功能网络效率下降；揭示了</w:t>
      </w:r>
      <w:r>
        <w:rPr>
          <w:spacing w:val="2"/>
          <w:w w:val="100"/>
        </w:rPr>
        <w:t>首发未用药抑郁症患者静息态功能连接的增强模式</w:t>
      </w:r>
      <w:r>
        <w:rPr>
          <w:spacing w:val="5"/>
          <w:w w:val="100"/>
        </w:rPr>
        <w:t>（</w:t>
      </w:r>
      <w:r>
        <w:rPr>
          <w:rFonts w:ascii="Times New Roman" w:eastAsia="Times New Roman"/>
          <w:w w:val="100"/>
        </w:rPr>
        <w:t>R</w:t>
      </w:r>
      <w:r>
        <w:rPr>
          <w:rFonts w:ascii="Times New Roman" w:eastAsia="Times New Roman"/>
          <w:spacing w:val="-4"/>
          <w:w w:val="100"/>
        </w:rPr>
        <w:t>E</w:t>
      </w:r>
      <w:r>
        <w:rPr>
          <w:rFonts w:ascii="Times New Roman" w:eastAsia="Times New Roman"/>
          <w:spacing w:val="2"/>
          <w:w w:val="100"/>
        </w:rPr>
        <w:t>F</w:t>
      </w:r>
      <w:r>
        <w:rPr>
          <w:spacing w:val="-137"/>
          <w:w w:val="100"/>
        </w:rPr>
        <w:t>）</w:t>
      </w:r>
      <w:r>
        <w:rPr>
          <w:spacing w:val="1"/>
          <w:w w:val="100"/>
        </w:rPr>
        <w:t>；未服药</w:t>
      </w:r>
      <w:r>
        <w:rPr>
          <w:spacing w:val="-4"/>
        </w:rPr>
        <w:t>注意缺陷多动障碍患者额叶纹状体结构连接网络的异常模式。其次， </w:t>
      </w:r>
      <w:r>
        <w:rPr>
          <w:spacing w:val="3"/>
        </w:rPr>
        <w:t>连接组学也为融合与挖掘大数据，探索人类大脑功能提供了整合框</w:t>
      </w:r>
      <w:r>
        <w:rPr>
          <w:spacing w:val="-3"/>
        </w:rPr>
        <w:t>架。例如，国际千人功能连接组计划</w:t>
      </w:r>
      <w:r>
        <w:rPr/>
        <w:t>（</w:t>
      </w:r>
      <w:r>
        <w:rPr>
          <w:rFonts w:ascii="Times New Roman" w:eastAsia="Times New Roman"/>
        </w:rPr>
        <w:t>FCP</w:t>
      </w:r>
      <w:r>
        <w:rPr/>
        <w:t>）</w:t>
      </w:r>
      <w:r>
        <w:rPr>
          <w:spacing w:val="-3"/>
        </w:rPr>
        <w:t>联合全世界 </w:t>
      </w:r>
      <w:r>
        <w:rPr>
          <w:rFonts w:ascii="Times New Roman" w:eastAsia="Times New Roman"/>
        </w:rPr>
        <w:t>35</w:t>
      </w:r>
      <w:r>
        <w:rPr>
          <w:rFonts w:ascii="Times New Roman" w:eastAsia="Times New Roman"/>
          <w:spacing w:val="60"/>
        </w:rPr>
        <w:t> </w:t>
      </w:r>
      <w:r>
        <w:rPr/>
        <w:t>个成像</w:t>
      </w:r>
    </w:p>
    <w:p>
      <w:pPr>
        <w:pStyle w:val="BodyText"/>
        <w:spacing w:line="417" w:lineRule="auto"/>
        <w:ind w:left="780" w:right="1145"/>
      </w:pPr>
      <w:r>
        <w:rPr>
          <w:spacing w:val="-8"/>
        </w:rPr>
        <w:t>中心，共享 </w:t>
      </w:r>
      <w:r>
        <w:rPr>
          <w:rFonts w:ascii="Times New Roman" w:eastAsia="Times New Roman"/>
        </w:rPr>
        <w:t>1400 </w:t>
      </w:r>
      <w:r>
        <w:rPr>
          <w:spacing w:val="-3"/>
        </w:rPr>
        <w:t>余人的功能成像数据，揭示了大样本数据对于认识</w:t>
      </w:r>
      <w:r>
        <w:rPr>
          <w:spacing w:val="-8"/>
        </w:rPr>
        <w:t>人类功能连接组内在网络架构的贡献。在这项计划中，中国作为重要</w:t>
      </w:r>
      <w:r>
        <w:rPr>
          <w:spacing w:val="-10"/>
        </w:rPr>
        <w:t>节点参与并共享了大量神经影像数据。最近的一项多中心、大样本神</w:t>
      </w:r>
      <w:r>
        <w:rPr>
          <w:spacing w:val="-7"/>
        </w:rPr>
        <w:t>经影像研究则再一次展示了海量影像数据将会为精神疾病</w:t>
      </w:r>
      <w:r>
        <w:rPr/>
        <w:t>（</w:t>
      </w:r>
      <w:r>
        <w:rPr>
          <w:spacing w:val="-2"/>
        </w:rPr>
        <w:t>自闭症</w:t>
      </w:r>
      <w:r>
        <w:rPr>
          <w:spacing w:val="-13"/>
        </w:rPr>
        <w:t>） </w:t>
      </w:r>
      <w:r>
        <w:rPr>
          <w:spacing w:val="-3"/>
        </w:rPr>
        <w:t>的脑功能异常机制带来新的认识。</w:t>
      </w:r>
    </w:p>
    <w:p>
      <w:pPr>
        <w:pStyle w:val="BodyText"/>
        <w:spacing w:line="417" w:lineRule="auto"/>
        <w:ind w:left="780" w:right="1235" w:firstLine="559"/>
        <w:jc w:val="both"/>
      </w:pPr>
      <w:r>
        <w:rPr>
          <w:spacing w:val="-8"/>
        </w:rPr>
        <w:t>基于多模态成像数据的多变量模式分类方法，以全脑连接特征为</w:t>
      </w:r>
      <w:r>
        <w:rPr>
          <w:spacing w:val="-11"/>
        </w:rPr>
        <w:t>研究单元寻找特征与类别属性的关系，检测不同人群间脑功能和结构</w:t>
      </w:r>
      <w:r>
        <w:rPr>
          <w:spacing w:val="-13"/>
        </w:rPr>
        <w:t>的差异，同时结合信息融合的方法，能为临床重大神经精神疾病的生</w:t>
      </w:r>
      <w:r>
        <w:rPr>
          <w:spacing w:val="-9"/>
        </w:rPr>
        <w:t>物学测试提供备选生物标记，具有较高的临床应用价值。脑成像模式</w:t>
      </w:r>
      <w:r>
        <w:rPr>
          <w:spacing w:val="-12"/>
        </w:rPr>
        <w:t>识别中的关键问题，包括脑功能活动模式识别、脑功能网络模式识别</w:t>
      </w:r>
      <w:r>
        <w:rPr>
          <w:spacing w:val="-9"/>
        </w:rPr>
        <w:t>和利用多模态网络融合来探测脑功能和结构变化。各种功能神经成像</w:t>
      </w:r>
    </w:p>
    <w:p>
      <w:pPr>
        <w:spacing w:after="0" w:line="417" w:lineRule="auto"/>
        <w:jc w:val="both"/>
        <w:sectPr>
          <w:pgSz w:w="11910" w:h="16840"/>
          <w:pgMar w:header="0" w:footer="1035" w:top="1520" w:bottom="1300" w:left="1020" w:right="560"/>
        </w:sectPr>
      </w:pPr>
    </w:p>
    <w:p>
      <w:pPr>
        <w:pStyle w:val="BodyText"/>
        <w:spacing w:line="417" w:lineRule="auto" w:before="34"/>
        <w:ind w:left="780" w:right="1234"/>
        <w:jc w:val="both"/>
      </w:pPr>
      <w:r>
        <w:rPr>
          <w:spacing w:val="-9"/>
        </w:rPr>
        <w:t>技术可以提供大脑结构与功能指标测量，可以通过计算全局连接组属</w:t>
      </w:r>
      <w:r>
        <w:rPr>
          <w:spacing w:val="-10"/>
        </w:rPr>
        <w:t>性和局部脑区特性等参数检测到大脑的细微差异，通过模式识别的方</w:t>
      </w:r>
      <w:r>
        <w:rPr>
          <w:spacing w:val="-11"/>
        </w:rPr>
        <w:t>法，研究人员已成功将阿尔茨海默病、抑郁症、创伤后应激障碍、孤独症、强迫症等患者与正常人群区分开来，为临床诊断提供客观影像</w:t>
      </w:r>
      <w:r>
        <w:rPr>
          <w:spacing w:val="-7"/>
        </w:rPr>
        <w:t>学证据提供了初步研究证据。</w:t>
      </w:r>
    </w:p>
    <w:p>
      <w:pPr>
        <w:pStyle w:val="BodyText"/>
        <w:spacing w:line="417" w:lineRule="auto"/>
        <w:ind w:left="780" w:right="1233" w:firstLine="559"/>
        <w:jc w:val="both"/>
      </w:pPr>
      <w:r>
        <w:rPr>
          <w:spacing w:val="-11"/>
        </w:rPr>
        <w:t>此外，从原始扫描数据提取脑功能活动模式需要解决的关键问题</w:t>
      </w:r>
      <w:r>
        <w:rPr>
          <w:spacing w:val="-12"/>
        </w:rPr>
        <w:t>是：如何可靠地识别脑功能活动所产生的微弱信号变化以及如何进行脑功能活动的时空模式分类？随着技术的发展，研究人员通过全新的</w:t>
      </w:r>
      <w:r>
        <w:rPr>
          <w:spacing w:val="-13"/>
        </w:rPr>
        <w:t>脑功能活动时空测度，建立分级聚类脑功能网络分离方法，同时进行无先验信息条件下的脑功能活动定位和分类，提高脑功能活动弱信号</w:t>
      </w:r>
      <w:r>
        <w:rPr>
          <w:spacing w:val="-12"/>
        </w:rPr>
        <w:t>模式识别能力。在现有探测到脑功能活动模式的基础上，该如何进一</w:t>
      </w:r>
      <w:r>
        <w:rPr>
          <w:spacing w:val="-13"/>
        </w:rPr>
        <w:t>步探测不同脑区之间的功能信息传递，如何识别脑区之间信息的非线</w:t>
      </w:r>
      <w:r>
        <w:rPr>
          <w:spacing w:val="-14"/>
        </w:rPr>
        <w:t>性传递关系，以及如何克服可能存在的伪因果关系？研究人员提出基于高斯核函数的非线性因果模型，用于探测不同脑区间信息的非线性传递关系，然后提出了非线性条件因果模型，克服了双变量导致的伪</w:t>
      </w:r>
      <w:r>
        <w:rPr>
          <w:spacing w:val="-15"/>
        </w:rPr>
        <w:t>因果关系，探测 </w:t>
      </w:r>
      <w:r>
        <w:rPr>
          <w:rFonts w:ascii="Times New Roman" w:eastAsia="Times New Roman"/>
        </w:rPr>
        <w:t>A</w:t>
      </w:r>
      <w:r>
        <w:rPr>
          <w:rFonts w:ascii="Times New Roman" w:eastAsia="Times New Roman"/>
          <w:spacing w:val="3"/>
        </w:rPr>
        <w:t> </w:t>
      </w:r>
      <w:r>
        <w:rPr>
          <w:spacing w:val="-16"/>
        </w:rPr>
        <w:t>脑区到 </w:t>
      </w:r>
      <w:r>
        <w:rPr>
          <w:rFonts w:ascii="Times New Roman" w:eastAsia="Times New Roman"/>
        </w:rPr>
        <w:t>C</w:t>
      </w:r>
      <w:r>
        <w:rPr>
          <w:rFonts w:ascii="Times New Roman" w:eastAsia="Times New Roman"/>
          <w:spacing w:val="4"/>
        </w:rPr>
        <w:t> </w:t>
      </w:r>
      <w:r>
        <w:rPr>
          <w:spacing w:val="-8"/>
        </w:rPr>
        <w:t>脑区的真因果关系，排除 </w:t>
      </w:r>
      <w:r>
        <w:rPr>
          <w:rFonts w:ascii="Times New Roman" w:eastAsia="Times New Roman"/>
        </w:rPr>
        <w:t>A</w:t>
      </w:r>
      <w:r>
        <w:rPr>
          <w:rFonts w:ascii="Times New Roman" w:eastAsia="Times New Roman"/>
          <w:spacing w:val="4"/>
        </w:rPr>
        <w:t> </w:t>
      </w:r>
      <w:r>
        <w:rPr>
          <w:spacing w:val="-13"/>
        </w:rPr>
        <w:t>脑区通过 </w:t>
      </w:r>
      <w:r>
        <w:rPr>
          <w:rFonts w:ascii="Times New Roman" w:eastAsia="Times New Roman"/>
          <w:spacing w:val="-11"/>
        </w:rPr>
        <w:t>B </w:t>
      </w:r>
      <w:r>
        <w:rPr>
          <w:spacing w:val="2"/>
        </w:rPr>
        <w:t>脑区到 </w:t>
      </w:r>
      <w:r>
        <w:rPr>
          <w:rFonts w:ascii="Times New Roman" w:eastAsia="Times New Roman"/>
        </w:rPr>
        <w:t>C</w:t>
      </w:r>
      <w:r>
        <w:rPr>
          <w:rFonts w:ascii="Times New Roman" w:eastAsia="Times New Roman"/>
          <w:spacing w:val="7"/>
        </w:rPr>
        <w:t> </w:t>
      </w:r>
      <w:r>
        <w:rPr>
          <w:spacing w:val="-3"/>
        </w:rPr>
        <w:t>脑区的伪因果关系。利用静息态功能磁共振成像的原始数</w:t>
      </w:r>
      <w:r>
        <w:rPr>
          <w:spacing w:val="-10"/>
        </w:rPr>
        <w:t>据建立大尺度因果模型，并推广到脑网络模块水平，检测脑功能模块</w:t>
      </w:r>
      <w:r>
        <w:rPr>
          <w:spacing w:val="-14"/>
        </w:rPr>
        <w:t>间的有效连接和信息转换关系。多模态时空信息的整合为解决这些关</w:t>
      </w:r>
      <w:r>
        <w:rPr>
          <w:spacing w:val="-8"/>
        </w:rPr>
        <w:t>键问题提供了可能。</w:t>
      </w:r>
    </w:p>
    <w:p>
      <w:pPr>
        <w:pStyle w:val="BodyText"/>
        <w:spacing w:line="417" w:lineRule="auto"/>
        <w:ind w:left="780" w:right="1231" w:firstLine="532"/>
      </w:pPr>
      <w:r>
        <w:rPr>
          <w:spacing w:val="-9"/>
        </w:rPr>
        <w:t>作为一个复杂动力系统，人脑包括海量的处理单元，具备自身的</w:t>
      </w:r>
      <w:r>
        <w:rPr>
          <w:spacing w:val="-8"/>
        </w:rPr>
        <w:t>动力学特性处理单元互相之间协同支撑脑功能。脑结构是功能的物质</w:t>
      </w:r>
    </w:p>
    <w:p>
      <w:pPr>
        <w:spacing w:after="0" w:line="417" w:lineRule="auto"/>
        <w:sectPr>
          <w:pgSz w:w="11910" w:h="16840"/>
          <w:pgMar w:header="0" w:footer="1035" w:top="1520" w:bottom="1300" w:left="1020" w:right="560"/>
        </w:sectPr>
      </w:pPr>
    </w:p>
    <w:p>
      <w:pPr>
        <w:pStyle w:val="BodyText"/>
        <w:spacing w:line="417" w:lineRule="auto" w:before="34"/>
        <w:ind w:left="780" w:right="1144"/>
        <w:jc w:val="both"/>
      </w:pPr>
      <w:r>
        <w:rPr>
          <w:spacing w:val="-11"/>
        </w:rPr>
        <w:t>与产生基础，在计算神经科学领域，已经有许多数学模型试图建模从</w:t>
      </w:r>
      <w:r>
        <w:rPr>
          <w:spacing w:val="-13"/>
        </w:rPr>
        <w:t>脑结构到脑功能的机制。各种功能神经成像技术使得我们可以观测到这个复杂动力系统的输出（即各种模态的时间序列信号</w:t>
      </w:r>
      <w:r>
        <w:rPr>
          <w:spacing w:val="-142"/>
        </w:rPr>
        <w:t>）</w:t>
      </w:r>
      <w:r>
        <w:rPr/>
        <w:t>。脑连接组</w:t>
      </w:r>
      <w:r>
        <w:rPr>
          <w:spacing w:val="-7"/>
        </w:rPr>
        <w:t>学为框架的计算神经科学模型正在初步探索这些输出产生的机制。从</w:t>
      </w:r>
      <w:r>
        <w:rPr>
          <w:spacing w:val="-13"/>
        </w:rPr>
        <w:t>统计学理论出发，如何刻画海量的多模态脑成像数据的时空特性对于</w:t>
      </w:r>
      <w:r>
        <w:rPr>
          <w:spacing w:val="-14"/>
        </w:rPr>
        <w:t>人脑功能建模至关重要。比如，目前已有计算方法大都忽略了各种功</w:t>
      </w:r>
      <w:r>
        <w:rPr>
          <w:spacing w:val="-15"/>
        </w:rPr>
        <w:t>能神经影像数据的自相关特性，而这在时空采样精度提高以后将是非</w:t>
      </w:r>
      <w:r>
        <w:rPr>
          <w:spacing w:val="-9"/>
        </w:rPr>
        <w:t>常严重的缺陷，如何开发相应的分析方法将是未来面临的挑战之一。</w:t>
      </w:r>
    </w:p>
    <w:p>
      <w:pPr>
        <w:pStyle w:val="BodyText"/>
        <w:spacing w:line="417" w:lineRule="auto"/>
        <w:ind w:left="780" w:right="1145" w:firstLine="532"/>
      </w:pPr>
      <w:r>
        <w:rPr>
          <w:spacing w:val="-3"/>
        </w:rPr>
        <w:t>与此同时，传统的参数检验</w:t>
      </w:r>
      <w:r>
        <w:rPr/>
        <w:t>（</w:t>
      </w:r>
      <w:r>
        <w:rPr>
          <w:spacing w:val="-15"/>
        </w:rPr>
        <w:t>如双样本 </w:t>
      </w:r>
      <w:r>
        <w:rPr>
          <w:rFonts w:ascii="Times New Roman" w:eastAsia="Times New Roman"/>
        </w:rPr>
        <w:t>t </w:t>
      </w:r>
      <w:r>
        <w:rPr>
          <w:spacing w:val="-2"/>
        </w:rPr>
        <w:t>检验和方差分析</w:t>
      </w:r>
      <w:r>
        <w:rPr>
          <w:spacing w:val="-3"/>
        </w:rPr>
        <w:t>）</w:t>
      </w:r>
      <w:r>
        <w:rPr/>
        <w:t>在涉</w:t>
      </w:r>
      <w:r>
        <w:rPr>
          <w:spacing w:val="-11"/>
        </w:rPr>
        <w:t>及到病人纵向随访研究、生长发育曲线建模、家系分析以及单个病例</w:t>
      </w:r>
      <w:r>
        <w:rPr>
          <w:spacing w:val="-13"/>
        </w:rPr>
        <w:t>统计等临床转化研究时就不再适用。比如，众所周知的生长曲线是一种重要的发育监测工具，在儿科临床实践和公共卫生领域有广泛的应</w:t>
      </w:r>
      <w:r>
        <w:rPr>
          <w:spacing w:val="-11"/>
        </w:rPr>
        <w:t>用，可以用来辅助发育异常的早期识别与诊断。绘制包括身高、体重</w:t>
      </w:r>
      <w:r>
        <w:rPr>
          <w:spacing w:val="-14"/>
        </w:rPr>
        <w:t>和头围等发育指标的生长曲线，能够辅助临床医生对患者的发育情况做出诊断。虽然大脑生长曲线的研究还处在初步阶段，但是其成功的</w:t>
      </w:r>
      <w:r>
        <w:rPr>
          <w:spacing w:val="3"/>
        </w:rPr>
        <w:t>绘制将为重大神经精神疾病的脑功能的病理生理机制研究提供正常</w:t>
      </w:r>
      <w:r>
        <w:rPr>
          <w:spacing w:val="1"/>
          <w:w w:val="100"/>
        </w:rPr>
        <w:t>参考</w:t>
      </w:r>
      <w:r>
        <w:rPr>
          <w:w w:val="100"/>
        </w:rPr>
        <w:t>（</w:t>
      </w:r>
      <w:r>
        <w:rPr>
          <w:spacing w:val="2"/>
          <w:w w:val="100"/>
        </w:rPr>
        <w:t>常模</w:t>
      </w:r>
      <w:r>
        <w:rPr>
          <w:spacing w:val="-142"/>
          <w:w w:val="100"/>
        </w:rPr>
        <w:t>）</w:t>
      </w:r>
      <w:r>
        <w:rPr>
          <w:w w:val="100"/>
        </w:rPr>
        <w:t>，进而有助于及时、准确地对其进行诊断、预警、干预</w:t>
      </w:r>
      <w:r>
        <w:rPr>
          <w:spacing w:val="-4"/>
        </w:rPr>
        <w:t>和后期评价。对于诸如生长曲线建模等这类神经影像学的纵向研究， </w:t>
      </w:r>
      <w:r>
        <w:rPr>
          <w:spacing w:val="-10"/>
        </w:rPr>
        <w:t>需要对被试进行多次跟踪扫描，因此开发反映脑结构和功能信息动态</w:t>
      </w:r>
      <w:r>
        <w:rPr>
          <w:w w:val="100"/>
        </w:rPr>
        <w:t>变化的数学模型和统计方法（如线性混合模型</w:t>
      </w:r>
      <w:r>
        <w:rPr>
          <w:spacing w:val="-140"/>
          <w:w w:val="100"/>
        </w:rPr>
        <w:t>）</w:t>
      </w:r>
      <w:r>
        <w:rPr>
          <w:w w:val="100"/>
        </w:rPr>
        <w:t>，评估各种神经影像</w:t>
      </w:r>
      <w:r>
        <w:rPr>
          <w:spacing w:val="-11"/>
        </w:rPr>
        <w:t>测量、认知功能和临床症状指标的信效度，进行多模态连接组疾病关</w:t>
      </w:r>
      <w:r>
        <w:rPr>
          <w:spacing w:val="-7"/>
        </w:rPr>
        <w:t>联分析等都是将来重要的发展方向。</w:t>
      </w:r>
    </w:p>
    <w:p>
      <w:pPr>
        <w:spacing w:after="0" w:line="417" w:lineRule="auto"/>
        <w:sectPr>
          <w:pgSz w:w="11910" w:h="16840"/>
          <w:pgMar w:header="0" w:footer="1035" w:top="1520" w:bottom="1300" w:left="1020" w:right="560"/>
        </w:sectPr>
      </w:pPr>
    </w:p>
    <w:p>
      <w:pPr>
        <w:pStyle w:val="BodyText"/>
        <w:spacing w:line="417" w:lineRule="auto" w:before="34"/>
        <w:ind w:left="780" w:right="1233" w:firstLine="532"/>
        <w:jc w:val="both"/>
      </w:pPr>
      <w:r>
        <w:rPr>
          <w:spacing w:val="-9"/>
        </w:rPr>
        <w:t>最后，随着数据量的不断积累，如何提高神经影像计算的效率成</w:t>
      </w:r>
      <w:r>
        <w:rPr>
          <w:spacing w:val="-8"/>
        </w:rPr>
        <w:t>为从基础到临床转化研究中至关重要的因素。目前，中国已经在静息</w:t>
      </w:r>
      <w:r>
        <w:rPr>
          <w:spacing w:val="-10"/>
        </w:rPr>
        <w:t>态功能磁共振计算软件开发方面走在了国际最前沿</w:t>
      </w:r>
      <w:r>
        <w:rPr>
          <w:spacing w:val="-3"/>
        </w:rPr>
        <w:t>（如杭州师范大学</w:t>
      </w:r>
      <w:r>
        <w:rPr>
          <w:spacing w:val="-3"/>
          <w:w w:val="100"/>
        </w:rPr>
        <w:t>臧玉峰教授实验室开发的</w:t>
      </w:r>
      <w:r>
        <w:rPr>
          <w:spacing w:val="-70"/>
        </w:rPr>
        <w:t> </w:t>
      </w:r>
      <w:r>
        <w:rPr>
          <w:rFonts w:ascii="Times New Roman" w:eastAsia="Times New Roman"/>
          <w:w w:val="100"/>
        </w:rPr>
        <w:t>R</w:t>
      </w:r>
      <w:r>
        <w:rPr>
          <w:rFonts w:ascii="Times New Roman" w:eastAsia="Times New Roman"/>
          <w:spacing w:val="-2"/>
          <w:w w:val="100"/>
        </w:rPr>
        <w:t>E</w:t>
      </w:r>
      <w:r>
        <w:rPr>
          <w:rFonts w:ascii="Times New Roman" w:eastAsia="Times New Roman"/>
          <w:w w:val="100"/>
        </w:rPr>
        <w:t>S</w:t>
      </w:r>
      <w:r>
        <w:rPr>
          <w:rFonts w:ascii="Times New Roman" w:eastAsia="Times New Roman"/>
          <w:spacing w:val="-4"/>
          <w:w w:val="100"/>
        </w:rPr>
        <w:t>T</w:t>
      </w:r>
      <w:r>
        <w:rPr>
          <w:spacing w:val="-140"/>
          <w:w w:val="100"/>
        </w:rPr>
        <w:t>）</w:t>
      </w:r>
      <w:r>
        <w:rPr>
          <w:spacing w:val="-32"/>
          <w:w w:val="100"/>
        </w:rPr>
        <w:t>。</w:t>
      </w:r>
      <w:r>
        <w:rPr>
          <w:rFonts w:ascii="Times New Roman" w:eastAsia="Times New Roman"/>
          <w:w w:val="100"/>
        </w:rPr>
        <w:t>R</w:t>
      </w:r>
      <w:r>
        <w:rPr>
          <w:rFonts w:ascii="Times New Roman" w:eastAsia="Times New Roman"/>
          <w:spacing w:val="-4"/>
          <w:w w:val="100"/>
        </w:rPr>
        <w:t>E</w:t>
      </w:r>
      <w:r>
        <w:rPr>
          <w:rFonts w:ascii="Times New Roman" w:eastAsia="Times New Roman"/>
          <w:w w:val="100"/>
        </w:rPr>
        <w:t>ST</w:t>
      </w:r>
      <w:r>
        <w:rPr>
          <w:rFonts w:ascii="Times New Roman" w:eastAsia="Times New Roman"/>
          <w:spacing w:val="-2"/>
        </w:rPr>
        <w:t> </w:t>
      </w:r>
      <w:r>
        <w:rPr>
          <w:spacing w:val="-5"/>
          <w:w w:val="100"/>
        </w:rPr>
        <w:t>具有简洁的图形界面，具备</w:t>
      </w:r>
      <w:r>
        <w:rPr>
          <w:spacing w:val="-10"/>
        </w:rPr>
        <w:t>很好的可扩展能力，极大地推动了临床基础与转化研究。但是，针对</w:t>
      </w:r>
      <w:r>
        <w:rPr>
          <w:spacing w:val="-13"/>
        </w:rPr>
        <w:t>非常庞大的数据量时，现有的软件就表现出效率受限的局限。像生物信息学一样，为提高计算效率，神经信息学研究人员应通过整合神经影像数据库和计算脚本，开发神经信息学计算平台，充分利用其在易于并行、质量控制灵活、远程网络计算任务调度、影像数据获取与计</w:t>
      </w:r>
      <w:r>
        <w:rPr>
          <w:spacing w:val="-8"/>
        </w:rPr>
        <w:t>算一体化等方面的优势。</w:t>
      </w:r>
    </w:p>
    <w:p>
      <w:pPr>
        <w:pStyle w:val="BodyText"/>
        <w:spacing w:line="417" w:lineRule="auto"/>
        <w:ind w:left="780" w:right="1235" w:firstLine="532"/>
        <w:jc w:val="both"/>
      </w:pPr>
      <w:r>
        <w:rPr>
          <w:spacing w:val="-11"/>
        </w:rPr>
        <w:t>综上，大数据背景下的功能神经影像计算应同时发展数据和理论</w:t>
      </w:r>
      <w:r>
        <w:rPr>
          <w:spacing w:val="-12"/>
        </w:rPr>
        <w:t>驱动方法，通过统计理论进行两类方法整合，建设神经信息学计算平</w:t>
      </w:r>
      <w:r>
        <w:rPr>
          <w:spacing w:val="-3"/>
        </w:rPr>
        <w:t>台，促进临床转化研究。</w:t>
      </w:r>
    </w:p>
    <w:p>
      <w:pPr>
        <w:pStyle w:val="BodyText"/>
        <w:spacing w:before="75"/>
        <w:ind w:left="780"/>
        <w:rPr>
          <w:rFonts w:ascii="黑体" w:eastAsia="黑体" w:hint="eastAsia"/>
        </w:rPr>
      </w:pPr>
      <w:r>
        <w:rPr>
          <w:rFonts w:ascii="黑体" w:eastAsia="黑体" w:hint="eastAsia"/>
        </w:rPr>
        <w:t>二、基于脑成像技术的重要研究成果</w:t>
      </w:r>
    </w:p>
    <w:p>
      <w:pPr>
        <w:pStyle w:val="BodyText"/>
        <w:rPr>
          <w:rFonts w:ascii="黑体"/>
          <w:sz w:val="26"/>
        </w:rPr>
      </w:pPr>
    </w:p>
    <w:p>
      <w:pPr>
        <w:pStyle w:val="Heading8"/>
      </w:pPr>
      <w:r>
        <w:rPr/>
        <w:t>（一）遗传与环境因素对脑疾病的影响</w:t>
      </w:r>
    </w:p>
    <w:p>
      <w:pPr>
        <w:pStyle w:val="BodyText"/>
        <w:spacing w:line="417" w:lineRule="auto" w:before="214"/>
        <w:ind w:left="780" w:right="1145" w:firstLine="559"/>
      </w:pPr>
      <w:r>
        <w:rPr>
          <w:spacing w:val="-4"/>
        </w:rPr>
        <w:t>大量流行病学研究已证实神经精神疾病与遗传和环境因素相关。</w:t>
      </w:r>
      <w:r>
        <w:rPr>
          <w:spacing w:val="-8"/>
        </w:rPr>
        <w:t>由于目前对这些神经精神疾病潜在的遗传、分子和细胞水平的发病机</w:t>
      </w:r>
      <w:r>
        <w:rPr>
          <w:spacing w:val="-10"/>
        </w:rPr>
        <w:t>制以及大脑异常知之甚少，使得临床诊治面临巨大挑战。因此，我们</w:t>
      </w:r>
      <w:r>
        <w:rPr>
          <w:spacing w:val="-13"/>
        </w:rPr>
        <w:t>需要从全新的视角，结合最新的技术工具和分析方法来探索神经精神</w:t>
      </w:r>
      <w:r>
        <w:rPr>
          <w:spacing w:val="-7"/>
        </w:rPr>
        <w:t>疾病的发病机制。</w:t>
      </w:r>
    </w:p>
    <w:p>
      <w:pPr>
        <w:pStyle w:val="BodyText"/>
        <w:spacing w:line="417" w:lineRule="auto"/>
        <w:ind w:left="780" w:right="1235" w:firstLine="599"/>
        <w:rPr>
          <w:rFonts w:ascii="Times New Roman" w:eastAsia="Times New Roman"/>
        </w:rPr>
      </w:pPr>
      <w:r>
        <w:rPr>
          <w:spacing w:val="-10"/>
        </w:rPr>
        <w:t>大量的证据表明精神疾病具有较高的遗传度。例如，同卵双生子</w:t>
      </w:r>
      <w:r>
        <w:rPr>
          <w:spacing w:val="-14"/>
        </w:rPr>
        <w:t>的精神疾病共病率较异卵双生子显著增高。就自闭症而言，多达 </w:t>
      </w:r>
      <w:r>
        <w:rPr>
          <w:rFonts w:ascii="Times New Roman" w:eastAsia="Times New Roman"/>
        </w:rPr>
        <w:t>80%</w:t>
      </w:r>
    </w:p>
    <w:p>
      <w:pPr>
        <w:spacing w:after="0" w:line="417" w:lineRule="auto"/>
        <w:rPr>
          <w:rFonts w:ascii="Times New Roman" w:eastAsia="Times New Roman"/>
        </w:rPr>
        <w:sectPr>
          <w:pgSz w:w="11910" w:h="16840"/>
          <w:pgMar w:header="0" w:footer="1035" w:top="1520" w:bottom="1300" w:left="1020" w:right="560"/>
        </w:sectPr>
      </w:pPr>
    </w:p>
    <w:p>
      <w:pPr>
        <w:pStyle w:val="BodyText"/>
        <w:spacing w:line="417" w:lineRule="auto" w:before="34"/>
        <w:ind w:left="780" w:right="1099"/>
        <w:jc w:val="both"/>
      </w:pPr>
      <w:r>
        <w:rPr>
          <w:spacing w:val="-11"/>
        </w:rPr>
        <w:t>的同卵双生子家庭中，若其中一个患病，另一个也有自闭症的相关临</w:t>
      </w:r>
      <w:r>
        <w:rPr>
          <w:spacing w:val="-13"/>
        </w:rPr>
        <w:t>床表现。同卵双生子中精神分裂症的共病率约 </w:t>
      </w:r>
      <w:r>
        <w:rPr>
          <w:rFonts w:ascii="Times New Roman" w:eastAsia="Times New Roman"/>
          <w:spacing w:val="-16"/>
        </w:rPr>
        <w:t>50%</w:t>
      </w:r>
      <w:r>
        <w:rPr>
          <w:spacing w:val="-5"/>
        </w:rPr>
        <w:t>，而在异卵双生子</w:t>
      </w:r>
      <w:r>
        <w:rPr>
          <w:spacing w:val="-13"/>
        </w:rPr>
        <w:t>中共病率仅为 </w:t>
      </w:r>
      <w:r>
        <w:rPr>
          <w:rFonts w:ascii="Times New Roman" w:eastAsia="Times New Roman"/>
        </w:rPr>
        <w:t>5-10%</w:t>
      </w:r>
      <w:r>
        <w:rPr>
          <w:spacing w:val="-10"/>
        </w:rPr>
        <w:t>。而基因组学研究提示，成千上万的基因参与调</w:t>
      </w:r>
      <w:r>
        <w:rPr>
          <w:spacing w:val="-13"/>
        </w:rPr>
        <w:t>节神经系统的发育和功能。一个或数个基因结构和功能的改变可能导</w:t>
      </w:r>
      <w:r>
        <w:rPr>
          <w:spacing w:val="-14"/>
        </w:rPr>
        <w:t>致广泛而复杂的神经精神疾病表型。这种复杂性解释了神经精神疾病的高患病率，同时它也表明多基因突变、表观遗传改变以及其他的细</w:t>
      </w:r>
      <w:r>
        <w:rPr>
          <w:spacing w:val="3"/>
        </w:rPr>
        <w:t>胞和大脑形态改变可以会聚并引起特定脑环路的改变和共同的临床</w:t>
      </w:r>
      <w:r>
        <w:rPr>
          <w:spacing w:val="-28"/>
        </w:rPr>
        <w:t>表现</w:t>
      </w:r>
      <w:r>
        <w:rPr>
          <w:spacing w:val="-3"/>
        </w:rPr>
        <w:t>（</w:t>
      </w:r>
      <w:r>
        <w:rPr>
          <w:spacing w:val="-11"/>
        </w:rPr>
        <w:t>例如，幻觉和妄想</w:t>
      </w:r>
      <w:r>
        <w:rPr>
          <w:spacing w:val="-100"/>
        </w:rPr>
        <w:t>）</w:t>
      </w:r>
      <w:r>
        <w:rPr>
          <w:spacing w:val="-18"/>
        </w:rPr>
        <w:t>，而得出相同的临床诊断</w:t>
      </w:r>
      <w:r>
        <w:rPr>
          <w:spacing w:val="-3"/>
        </w:rPr>
        <w:t>（如精神分裂症</w:t>
      </w:r>
      <w:r>
        <w:rPr>
          <w:spacing w:val="-142"/>
        </w:rPr>
        <w:t>）</w:t>
      </w:r>
      <w:r>
        <w:rPr/>
        <w:t>。</w:t>
      </w:r>
    </w:p>
    <w:p>
      <w:pPr>
        <w:pStyle w:val="BodyText"/>
        <w:spacing w:line="417" w:lineRule="auto"/>
        <w:ind w:left="780" w:right="1233" w:firstLine="599"/>
        <w:jc w:val="both"/>
      </w:pPr>
      <w:r>
        <w:rPr>
          <w:spacing w:val="-4"/>
        </w:rPr>
        <w:t>近期研究也揭示了精神疾病病因学的多源性</w:t>
      </w:r>
      <w:r>
        <w:rPr>
          <w:spacing w:val="-3"/>
        </w:rPr>
        <w:t>（</w:t>
      </w:r>
      <w:r>
        <w:rPr>
          <w:rFonts w:ascii="Times New Roman" w:hAnsi="Times New Roman" w:eastAsia="Times New Roman"/>
          <w:spacing w:val="-3"/>
        </w:rPr>
        <w:t>redundancy</w:t>
      </w:r>
      <w:r>
        <w:rPr>
          <w:spacing w:val="-3"/>
        </w:rPr>
        <w:t>）</w:t>
      </w:r>
      <w:r>
        <w:rPr/>
        <w:t>和多</w:t>
      </w:r>
      <w:r>
        <w:rPr>
          <w:spacing w:val="1"/>
          <w:w w:val="100"/>
        </w:rPr>
        <w:t>向性</w:t>
      </w:r>
      <w:r>
        <w:rPr>
          <w:spacing w:val="2"/>
          <w:w w:val="100"/>
        </w:rPr>
        <w:t>（</w:t>
      </w:r>
      <w:r>
        <w:rPr>
          <w:rFonts w:ascii="Times New Roman" w:hAnsi="Times New Roman" w:eastAsia="Times New Roman"/>
          <w:spacing w:val="-2"/>
          <w:w w:val="100"/>
        </w:rPr>
        <w:t>pl</w:t>
      </w:r>
      <w:r>
        <w:rPr>
          <w:rFonts w:ascii="Times New Roman" w:hAnsi="Times New Roman" w:eastAsia="Times New Roman"/>
          <w:w w:val="100"/>
        </w:rPr>
        <w:t>e</w:t>
      </w:r>
      <w:r>
        <w:rPr>
          <w:rFonts w:ascii="Times New Roman" w:hAnsi="Times New Roman" w:eastAsia="Times New Roman"/>
          <w:spacing w:val="-2"/>
          <w:w w:val="100"/>
        </w:rPr>
        <w:t>io</w:t>
      </w:r>
      <w:r>
        <w:rPr>
          <w:rFonts w:ascii="Times New Roman" w:hAnsi="Times New Roman" w:eastAsia="Times New Roman"/>
          <w:w w:val="100"/>
        </w:rPr>
        <w:t>t</w:t>
      </w:r>
      <w:r>
        <w:rPr>
          <w:rFonts w:ascii="Times New Roman" w:hAnsi="Times New Roman" w:eastAsia="Times New Roman"/>
          <w:spacing w:val="-3"/>
          <w:w w:val="100"/>
        </w:rPr>
        <w:t>r</w:t>
      </w:r>
      <w:r>
        <w:rPr>
          <w:rFonts w:ascii="Times New Roman" w:hAnsi="Times New Roman" w:eastAsia="Times New Roman"/>
          <w:w w:val="100"/>
        </w:rPr>
        <w:t>o</w:t>
      </w:r>
      <w:r>
        <w:rPr>
          <w:rFonts w:ascii="Times New Roman" w:hAnsi="Times New Roman" w:eastAsia="Times New Roman"/>
          <w:spacing w:val="-2"/>
          <w:w w:val="100"/>
        </w:rPr>
        <w:t>p</w:t>
      </w:r>
      <w:r>
        <w:rPr>
          <w:rFonts w:ascii="Times New Roman" w:hAnsi="Times New Roman" w:eastAsia="Times New Roman"/>
          <w:w w:val="100"/>
        </w:rPr>
        <w:t>i</w:t>
      </w:r>
      <w:r>
        <w:rPr>
          <w:rFonts w:ascii="Times New Roman" w:hAnsi="Times New Roman" w:eastAsia="Times New Roman"/>
          <w:w w:val="100"/>
        </w:rPr>
        <w:t>s</w:t>
      </w:r>
      <w:r>
        <w:rPr>
          <w:rFonts w:ascii="Times New Roman" w:hAnsi="Times New Roman" w:eastAsia="Times New Roman"/>
          <w:spacing w:val="-1"/>
          <w:w w:val="100"/>
        </w:rPr>
        <w:t>m</w:t>
      </w:r>
      <w:r>
        <w:rPr>
          <w:spacing w:val="-140"/>
          <w:w w:val="100"/>
        </w:rPr>
        <w:t>）</w:t>
      </w:r>
      <w:r>
        <w:rPr>
          <w:w w:val="100"/>
        </w:rPr>
        <w:t>。多源性是指相同诊断的精神疾病可能是多种因</w:t>
      </w:r>
      <w:r>
        <w:rPr>
          <w:spacing w:val="-11"/>
        </w:rPr>
        <w:t>素引起的，从生物、心理到社会因素，独立或相互作用的结果。而多</w:t>
      </w:r>
      <w:r>
        <w:rPr>
          <w:spacing w:val="-9"/>
        </w:rPr>
        <w:t>向性则是指单一因素具有多种效应。例如基因的多向性表明单一基因</w:t>
      </w:r>
      <w:r>
        <w:rPr>
          <w:spacing w:val="-13"/>
        </w:rPr>
        <w:t>可以导致不同的表型，这取决于基因</w:t>
      </w:r>
      <w:r>
        <w:rPr>
          <w:rFonts w:ascii="Times New Roman" w:hAnsi="Times New Roman" w:eastAsia="Times New Roman"/>
        </w:rPr>
        <w:t>—</w:t>
      </w:r>
      <w:r>
        <w:rPr>
          <w:spacing w:val="-1"/>
        </w:rPr>
        <w:t>基因和基因</w:t>
      </w:r>
      <w:r>
        <w:rPr>
          <w:rFonts w:ascii="Times New Roman" w:hAnsi="Times New Roman" w:eastAsia="Times New Roman"/>
          <w:spacing w:val="-3"/>
        </w:rPr>
        <w:t>—</w:t>
      </w:r>
      <w:r>
        <w:rPr>
          <w:spacing w:val="-3"/>
        </w:rPr>
        <w:t>环境水平的相互</w:t>
      </w:r>
      <w:r>
        <w:rPr>
          <w:spacing w:val="-14"/>
        </w:rPr>
        <w:t>作用。《柳叶刀》杂志发表的最新一篇文章，研究了自闭症、注意缺</w:t>
      </w:r>
      <w:r>
        <w:rPr>
          <w:spacing w:val="-15"/>
        </w:rPr>
        <w:t>陷多动障碍、双相情感障碍、精神分裂症和抑郁症 </w:t>
      </w:r>
      <w:r>
        <w:rPr>
          <w:rFonts w:ascii="Times New Roman" w:hAnsi="Times New Roman" w:eastAsia="Times New Roman"/>
        </w:rPr>
        <w:t>5 </w:t>
      </w:r>
      <w:r>
        <w:rPr>
          <w:spacing w:val="-5"/>
        </w:rPr>
        <w:t>种精神疾病的全</w:t>
      </w:r>
      <w:r>
        <w:rPr>
          <w:spacing w:val="-9"/>
        </w:rPr>
        <w:t>基因组学分析，结果提示精神疾病具有共同的易感性。因此，由于遗</w:t>
      </w:r>
      <w:r>
        <w:rPr>
          <w:spacing w:val="-13"/>
        </w:rPr>
        <w:t>传和环境的异质性，从疾病诊断出发寻找所有某一特定精神疾病患者</w:t>
      </w:r>
      <w:r>
        <w:rPr>
          <w:spacing w:val="-14"/>
        </w:rPr>
        <w:t>共同的遗传病因学基础，不太可能成功。那么，如何才能有效揭示精</w:t>
      </w:r>
      <w:r>
        <w:rPr>
          <w:spacing w:val="3"/>
        </w:rPr>
        <w:t>神疾病生物学发病机制呢？神经影像学为无创的活体研究大脑结构</w:t>
      </w:r>
      <w:r>
        <w:rPr>
          <w:spacing w:val="-11"/>
        </w:rPr>
        <w:t>和功能提供了新手段。功能和结构影像学能证实疾病的神经及神经递</w:t>
      </w:r>
      <w:r>
        <w:rPr>
          <w:spacing w:val="-12"/>
        </w:rPr>
        <w:t>质变化及其与认知和行为学变化的联系，但不能完全捕获疾病临床前</w:t>
      </w:r>
      <w:r>
        <w:rPr>
          <w:spacing w:val="-7"/>
        </w:rPr>
        <w:t>的神经发育异常。影像遗传学可能是解决该问题的策略。</w:t>
      </w:r>
    </w:p>
    <w:p>
      <w:pPr>
        <w:spacing w:after="0" w:line="417" w:lineRule="auto"/>
        <w:jc w:val="both"/>
        <w:sectPr>
          <w:pgSz w:w="11910" w:h="16840"/>
          <w:pgMar w:header="0" w:footer="1035" w:top="1520" w:bottom="1300" w:left="1020" w:right="560"/>
        </w:sectPr>
      </w:pPr>
    </w:p>
    <w:p>
      <w:pPr>
        <w:pStyle w:val="BodyText"/>
        <w:spacing w:line="417" w:lineRule="auto" w:before="54"/>
        <w:ind w:left="780" w:right="1095" w:firstLine="599"/>
      </w:pPr>
      <w:r>
        <w:rPr>
          <w:spacing w:val="-17"/>
        </w:rPr>
        <w:t>在《科学》杂志纪念人类基因组测序 </w:t>
      </w:r>
      <w:r>
        <w:rPr>
          <w:rFonts w:ascii="Times New Roman" w:eastAsia="Times New Roman"/>
        </w:rPr>
        <w:t>10 </w:t>
      </w:r>
      <w:r>
        <w:rPr>
          <w:spacing w:val="-4"/>
        </w:rPr>
        <w:t>周年的一篇文章中指出， </w:t>
      </w:r>
      <w:r>
        <w:rPr>
          <w:spacing w:val="-8"/>
        </w:rPr>
        <w:t>在目前最有待进一步探索的基因组学领域中，最重要的问题是如何结</w:t>
      </w:r>
      <w:r>
        <w:rPr>
          <w:spacing w:val="-9"/>
        </w:rPr>
        <w:t>合可靠精细的疾病表型信息来解读海量的遗传信息。表型组学的研究</w:t>
      </w:r>
      <w:r>
        <w:rPr>
          <w:spacing w:val="-13"/>
        </w:rPr>
        <w:t>已经成为我们面临的挑战。近期《科学》杂志发表文章提出整合基因</w:t>
      </w:r>
      <w:r>
        <w:rPr>
          <w:spacing w:val="-12"/>
        </w:rPr>
        <w:t>和神经环路分析</w:t>
      </w:r>
      <w:r>
        <w:rPr>
          <w:spacing w:val="-3"/>
        </w:rPr>
        <w:t>（</w:t>
      </w:r>
      <w:r>
        <w:rPr>
          <w:spacing w:val="-1"/>
        </w:rPr>
        <w:t>脑网络连接</w:t>
      </w:r>
      <w:r>
        <w:rPr>
          <w:spacing w:val="-32"/>
        </w:rPr>
        <w:t>）</w:t>
      </w:r>
      <w:r>
        <w:rPr>
          <w:spacing w:val="-5"/>
        </w:rPr>
        <w:t>或许是未来精神病学的研究方向。神</w:t>
      </w:r>
      <w:r>
        <w:rPr>
          <w:spacing w:val="-12"/>
        </w:rPr>
        <w:t>经精神疾病，例如精神分裂症、情感障碍、自闭症等疾病的发生可能</w:t>
      </w:r>
      <w:r>
        <w:rPr>
          <w:spacing w:val="-13"/>
        </w:rPr>
        <w:t>是神经环路破坏所造成的。神经环路是调节思维、情感和行为的脑细</w:t>
      </w:r>
      <w:r>
        <w:rPr>
          <w:spacing w:val="-14"/>
        </w:rPr>
        <w:t>胞的功能总和。遗传、发育过程、解剖结构和功能整合以及神经环路动态发展的缺陷，均可以引起一系列症状继而导致神经精神疾病的发</w:t>
      </w:r>
      <w:r>
        <w:rPr>
          <w:spacing w:val="-12"/>
        </w:rPr>
        <w:t>生。近期研究已经发现一些精神疾病的神经环路缺陷相关的大脑解剖</w:t>
      </w:r>
      <w:r>
        <w:rPr>
          <w:spacing w:val="-18"/>
        </w:rPr>
        <w:t>位臵。例如，抑郁症与大脑前额叶的膝部下前扣带皮质</w:t>
      </w:r>
      <w:r>
        <w:rPr/>
        <w:t>（</w:t>
      </w:r>
      <w:r>
        <w:rPr>
          <w:rFonts w:ascii="Times New Roman" w:eastAsia="Times New Roman"/>
        </w:rPr>
        <w:t>Brodmann 25 </w:t>
      </w:r>
      <w:r>
        <w:rPr/>
        <w:t>区</w:t>
      </w:r>
      <w:r>
        <w:rPr>
          <w:spacing w:val="-32"/>
        </w:rPr>
        <w:t>）</w:t>
      </w:r>
      <w:r>
        <w:rPr>
          <w:spacing w:val="-9"/>
        </w:rPr>
        <w:t>的活动性增高有关，焦虑状态与杏仁核的活动性增高有关，而强</w:t>
      </w:r>
      <w:r>
        <w:rPr>
          <w:spacing w:val="-13"/>
        </w:rPr>
        <w:t>迫症与纹状体的活动性异常有关。结合全基因组关联分析和精神疾病</w:t>
      </w:r>
      <w:r>
        <w:rPr>
          <w:spacing w:val="-12"/>
        </w:rPr>
        <w:t>的神经环路分析，有望为我们提供可能的生物学标志物，阐明相关疾</w:t>
      </w:r>
      <w:r>
        <w:rPr>
          <w:spacing w:val="-13"/>
        </w:rPr>
        <w:t>病的神经解剖学基础，并提供更加客观的疾病诊断和治疗疗效评价的方法。</w:t>
      </w:r>
    </w:p>
    <w:p>
      <w:pPr>
        <w:pStyle w:val="BodyText"/>
        <w:spacing w:line="417" w:lineRule="auto"/>
        <w:ind w:left="780" w:right="1234" w:firstLine="559"/>
        <w:jc w:val="both"/>
      </w:pPr>
      <w:r>
        <w:rPr>
          <w:spacing w:val="-8"/>
        </w:rPr>
        <w:t>另一研究思路是将基因表达与成像技术融合。近期美国艾伦脑科</w:t>
      </w:r>
      <w:r>
        <w:rPr>
          <w:w w:val="100"/>
        </w:rPr>
        <w:t>学研究所的科学家绘制出了人脑基因图谱（艾伦人脑图谱</w:t>
      </w:r>
      <w:r>
        <w:rPr>
          <w:spacing w:val="-140"/>
          <w:w w:val="100"/>
        </w:rPr>
        <w:t>）</w:t>
      </w:r>
      <w:r>
        <w:rPr>
          <w:spacing w:val="-4"/>
          <w:w w:val="100"/>
        </w:rPr>
        <w:t>，与高性</w:t>
      </w:r>
      <w:r>
        <w:rPr>
          <w:spacing w:val="-3"/>
        </w:rPr>
        <w:t>能、多功能的全球定位系统</w:t>
      </w:r>
      <w:r>
        <w:rPr/>
        <w:t>（</w:t>
      </w:r>
      <w:r>
        <w:rPr>
          <w:rFonts w:ascii="Times New Roman" w:eastAsia="Times New Roman"/>
        </w:rPr>
        <w:t>GPS</w:t>
      </w:r>
      <w:r>
        <w:rPr/>
        <w:t>）</w:t>
      </w:r>
      <w:r>
        <w:rPr>
          <w:spacing w:val="-5"/>
        </w:rPr>
        <w:t>一样，确定了人脑中的 </w:t>
      </w:r>
      <w:r>
        <w:rPr>
          <w:rFonts w:ascii="Times New Roman" w:eastAsia="Times New Roman"/>
        </w:rPr>
        <w:t>1000</w:t>
      </w:r>
      <w:r>
        <w:rPr>
          <w:rFonts w:ascii="Times New Roman" w:eastAsia="Times New Roman"/>
          <w:spacing w:val="51"/>
        </w:rPr>
        <w:t> </w:t>
      </w:r>
      <w:r>
        <w:rPr/>
        <w:t>个</w:t>
      </w:r>
      <w:r>
        <w:rPr>
          <w:spacing w:val="-10"/>
        </w:rPr>
        <w:t>解剖点，指明了每个点上特定的基因表达和基本的生物化学特性。该</w:t>
      </w:r>
      <w:r>
        <w:rPr>
          <w:spacing w:val="-11"/>
        </w:rPr>
        <w:t>图谱显著标识出人类基因图谱中的每个基因在大脑表达的位臵，并且还涵盖了大脑核磁共振成像和磁共振弥散张量成像提供的数据。人脑</w:t>
      </w:r>
    </w:p>
    <w:p>
      <w:pPr>
        <w:spacing w:after="0" w:line="417" w:lineRule="auto"/>
        <w:jc w:val="both"/>
        <w:sectPr>
          <w:pgSz w:w="11910" w:h="16840"/>
          <w:pgMar w:header="0" w:footer="1035" w:top="1500" w:bottom="1300" w:left="1020" w:right="560"/>
        </w:sectPr>
      </w:pPr>
    </w:p>
    <w:p>
      <w:pPr>
        <w:pStyle w:val="BodyText"/>
        <w:spacing w:line="417" w:lineRule="auto" w:before="34"/>
        <w:ind w:left="780" w:right="1235"/>
        <w:jc w:val="both"/>
      </w:pPr>
      <w:r>
        <w:rPr>
          <w:spacing w:val="-8"/>
        </w:rPr>
        <w:t>基因图谱提供的数据将被广泛用于与帕金森症、精神分裂症、多发性</w:t>
      </w:r>
      <w:r>
        <w:rPr>
          <w:spacing w:val="-9"/>
        </w:rPr>
        <w:t>硬化症甚至肥胖等与神经障碍和认知功能有关的疾病研究。科学家能</w:t>
      </w:r>
      <w:r>
        <w:rPr>
          <w:spacing w:val="-12"/>
        </w:rPr>
        <w:t>借用艾伦人脑图谱探测人脑，理清人脑遭受的疾病和损伤</w:t>
      </w:r>
      <w:r>
        <w:rPr/>
        <w:t>（</w:t>
      </w:r>
      <w:r>
        <w:rPr>
          <w:spacing w:val="-1"/>
        </w:rPr>
        <w:t>包括生理</w:t>
      </w:r>
      <w:r>
        <w:rPr>
          <w:spacing w:val="-3"/>
        </w:rPr>
        <w:t>损伤和精神健康疾病</w:t>
      </w:r>
      <w:r>
        <w:rPr>
          <w:spacing w:val="-49"/>
        </w:rPr>
        <w:t>）</w:t>
      </w:r>
      <w:r>
        <w:rPr>
          <w:spacing w:val="-8"/>
        </w:rPr>
        <w:t>对大脑特定区域的影响。科学家有望借此准确</w:t>
      </w:r>
      <w:r>
        <w:rPr>
          <w:spacing w:val="3"/>
        </w:rPr>
        <w:t>定位出某种特定的药物靶向作用于大脑的哪个区域并最终更好地控</w:t>
      </w:r>
      <w:r>
        <w:rPr>
          <w:spacing w:val="-2"/>
        </w:rPr>
        <w:t>制很多疗法的治疗结果。</w:t>
      </w:r>
    </w:p>
    <w:p>
      <w:pPr>
        <w:pStyle w:val="Heading8"/>
        <w:spacing w:line="410" w:lineRule="exact"/>
      </w:pPr>
      <w:r>
        <w:rPr/>
        <w:t>（二）脑疾病症状及认知功能损害机制</w:t>
      </w:r>
    </w:p>
    <w:p>
      <w:pPr>
        <w:pStyle w:val="BodyText"/>
        <w:spacing w:line="417" w:lineRule="auto" w:before="214"/>
        <w:ind w:left="780" w:right="1099" w:firstLine="559"/>
      </w:pPr>
      <w:r>
        <w:rPr>
          <w:spacing w:val="-8"/>
        </w:rPr>
        <w:t>不同的神经精神疾病具有不同的临床特征，即使同一种疾病的临</w:t>
      </w:r>
      <w:r>
        <w:rPr>
          <w:spacing w:val="-11"/>
        </w:rPr>
        <w:t>床表现也具有多样性。以精神分裂症为例，阳性症状表现为妄想、幻</w:t>
      </w:r>
      <w:r>
        <w:rPr>
          <w:spacing w:val="-12"/>
        </w:rPr>
        <w:t>觉及思维紊乱等；阴性症状表现为行为动机低下、情感反应淡漠以及兴奋能力降低等；而认知功能损害则以注意力、记忆力和执行功能损害最为常见。相同疾病的不同临床表型的发病机制、治疗方法及预后</w:t>
      </w:r>
      <w:r>
        <w:rPr>
          <w:spacing w:val="-19"/>
        </w:rPr>
        <w:t>可能均不相同，通过疾病症状学研究有助于揭示病因，阐明发病机制， </w:t>
      </w:r>
      <w:r>
        <w:rPr>
          <w:spacing w:val="-3"/>
        </w:rPr>
        <w:t>以提供有效的治疗方法。</w:t>
      </w:r>
    </w:p>
    <w:p>
      <w:pPr>
        <w:pStyle w:val="BodyText"/>
        <w:spacing w:line="417" w:lineRule="auto"/>
        <w:ind w:left="780" w:right="1235" w:firstLine="559"/>
        <w:jc w:val="both"/>
      </w:pPr>
      <w:r>
        <w:rPr>
          <w:spacing w:val="3"/>
        </w:rPr>
        <w:t>功能影像技术的发展使得研究与不同临床表型相关的脑区成为</w:t>
      </w:r>
      <w:r>
        <w:rPr>
          <w:spacing w:val="-11"/>
        </w:rPr>
        <w:t>可能，有助于对其生理学机制的进一步认识。通过对其神经病理学机制的了解，我们可以更精确发现临床症状发作前、发作中及发作后的</w:t>
      </w:r>
      <w:r>
        <w:rPr>
          <w:spacing w:val="-10"/>
        </w:rPr>
        <w:t>特征性神经生物学变化。此外，有学者发现，从正常状态到精神疾病</w:t>
      </w:r>
      <w:r>
        <w:rPr>
          <w:spacing w:val="-13"/>
        </w:rPr>
        <w:t>的发病可能是一个连续过程，而非临床确诊的人群出现幻觉及妄想等</w:t>
      </w:r>
      <w:r>
        <w:rPr>
          <w:spacing w:val="-9"/>
        </w:rPr>
        <w:t>症状则可能是精神疾病的发病前兆之一。对于临床症状影像学客观表</w:t>
      </w:r>
      <w:r>
        <w:rPr>
          <w:spacing w:val="-12"/>
        </w:rPr>
        <w:t>征的探索，将有助于在早期干预疾病的发生和发展，进而改善患者的</w:t>
      </w:r>
      <w:r>
        <w:rPr/>
        <w:t>预后。</w:t>
      </w:r>
    </w:p>
    <w:p>
      <w:pPr>
        <w:spacing w:after="0" w:line="417" w:lineRule="auto"/>
        <w:jc w:val="both"/>
        <w:sectPr>
          <w:pgSz w:w="11910" w:h="16840"/>
          <w:pgMar w:header="0" w:footer="1035" w:top="1520" w:bottom="1300" w:left="1020" w:right="560"/>
        </w:sectPr>
      </w:pPr>
    </w:p>
    <w:p>
      <w:pPr>
        <w:pStyle w:val="BodyText"/>
        <w:spacing w:line="417" w:lineRule="auto" w:before="34"/>
        <w:ind w:left="780" w:right="1233" w:firstLine="559"/>
        <w:jc w:val="both"/>
      </w:pPr>
      <w:r>
        <w:rPr>
          <w:spacing w:val="-8"/>
        </w:rPr>
        <w:t>幻觉和妄想均是精神病理学中最显著的症状，同时也是精神分裂</w:t>
      </w:r>
      <w:r>
        <w:rPr>
          <w:spacing w:val="-10"/>
        </w:rPr>
        <w:t>症及其他精神性疾病的重要诊断标准之一。影像学技术，例如正电子</w:t>
      </w:r>
      <w:r>
        <w:rPr>
          <w:spacing w:val="-9"/>
        </w:rPr>
        <w:t>放射断层造影术</w:t>
      </w:r>
      <w:r>
        <w:rPr>
          <w:spacing w:val="-6"/>
        </w:rPr>
        <w:t>（</w:t>
      </w:r>
      <w:r>
        <w:rPr>
          <w:rFonts w:ascii="Times New Roman" w:hAnsi="Times New Roman" w:eastAsia="Times New Roman"/>
          <w:spacing w:val="-6"/>
        </w:rPr>
        <w:t>PET</w:t>
      </w:r>
      <w:r>
        <w:rPr>
          <w:spacing w:val="-6"/>
        </w:rPr>
        <w:t>）</w:t>
      </w:r>
      <w:r>
        <w:rPr>
          <w:spacing w:val="-5"/>
        </w:rPr>
        <w:t>和功能磁共振成像（</w:t>
      </w:r>
      <w:r>
        <w:rPr>
          <w:rFonts w:ascii="Times New Roman" w:hAnsi="Times New Roman" w:eastAsia="Times New Roman"/>
          <w:spacing w:val="-5"/>
        </w:rPr>
        <w:t>fMRI</w:t>
      </w:r>
      <w:r>
        <w:rPr>
          <w:spacing w:val="-5"/>
        </w:rPr>
        <w:t>）</w:t>
      </w:r>
      <w:r>
        <w:rPr>
          <w:spacing w:val="-4"/>
        </w:rPr>
        <w:t>的发展，可以从</w:t>
      </w:r>
      <w:r>
        <w:rPr>
          <w:spacing w:val="-11"/>
        </w:rPr>
        <w:t>局部脑区、局部网络及全脑网络等多个层次，评价和这些临床症状相</w:t>
      </w:r>
      <w:r>
        <w:rPr>
          <w:spacing w:val="-10"/>
        </w:rPr>
        <w:t>关的脑功能和结构改变。</w:t>
      </w:r>
      <w:r>
        <w:rPr>
          <w:rFonts w:ascii="Times New Roman" w:hAnsi="Times New Roman" w:eastAsia="Times New Roman"/>
        </w:rPr>
        <w:t>2008 </w:t>
      </w:r>
      <w:r>
        <w:rPr/>
        <w:t>年在《神经科学和行为学综述》上发</w:t>
      </w:r>
      <w:r>
        <w:rPr>
          <w:spacing w:val="-8"/>
        </w:rPr>
        <w:t>表了关于幻听患者脑结构和功能改变的综述，该研究结果显示，包含</w:t>
      </w:r>
      <w:r>
        <w:rPr>
          <w:spacing w:val="-10"/>
        </w:rPr>
        <w:t>初级听觉皮层在内的颞上回体积异常与幻觉相关，而语言区或初级听</w:t>
      </w:r>
      <w:r>
        <w:rPr>
          <w:spacing w:val="3"/>
        </w:rPr>
        <w:t>觉皮层的功能改变与幻听相关，次级视觉皮层的异常活动和幻觉相</w:t>
      </w:r>
      <w:r>
        <w:rPr/>
        <w:t>关。同时，多篇文献证实了额叶</w:t>
      </w:r>
      <w:r>
        <w:rPr>
          <w:rFonts w:ascii="Times New Roman" w:hAnsi="Times New Roman" w:eastAsia="Times New Roman"/>
        </w:rPr>
        <w:t>—</w:t>
      </w:r>
      <w:r>
        <w:rPr/>
        <w:t>颞叶系统及岛叶</w:t>
      </w:r>
      <w:r>
        <w:rPr>
          <w:rFonts w:ascii="Times New Roman" w:hAnsi="Times New Roman" w:eastAsia="Times New Roman"/>
          <w:spacing w:val="3"/>
        </w:rPr>
        <w:t>/</w:t>
      </w:r>
      <w:r>
        <w:rPr/>
        <w:t>屏状核的结构及</w:t>
      </w:r>
      <w:r>
        <w:rPr>
          <w:spacing w:val="-9"/>
        </w:rPr>
        <w:t>功能异常改变与妄想相关。另外，除了对于精神疾病的相关研究，针</w:t>
      </w:r>
      <w:r>
        <w:rPr>
          <w:spacing w:val="-4"/>
        </w:rPr>
        <w:t>对帕金森病及 </w:t>
      </w:r>
      <w:r>
        <w:rPr>
          <w:rFonts w:ascii="Times New Roman" w:hAnsi="Times New Roman" w:eastAsia="Times New Roman"/>
        </w:rPr>
        <w:t>AD </w:t>
      </w:r>
      <w:r>
        <w:rPr/>
        <w:t>等神经系统疾病的研究也发现了具有幻觉症状的</w:t>
      </w:r>
      <w:r>
        <w:rPr>
          <w:spacing w:val="3"/>
        </w:rPr>
        <w:t>患者双侧前额叶及右侧颞上回的异常高灌注以及膝距束及其皮层下</w:t>
      </w:r>
      <w:r>
        <w:rPr>
          <w:spacing w:val="-11"/>
        </w:rPr>
        <w:t>连接的异常。采用新型影像学技术，部分典型的临床表型已经具有一</w:t>
      </w:r>
      <w:r>
        <w:rPr>
          <w:spacing w:val="-12"/>
        </w:rPr>
        <w:t>定的客观影像表征，尽管有多种假说及推论，幻听、妄想等临床症状的发作机制及病理基础尚不完全清楚。同时，目前针对非精神疾病的</w:t>
      </w:r>
      <w:r>
        <w:rPr>
          <w:spacing w:val="-11"/>
        </w:rPr>
        <w:t>临床表现影像表征研究数量仍然较少且多数为小样本研究，大样本及</w:t>
      </w:r>
      <w:r>
        <w:rPr>
          <w:spacing w:val="-7"/>
        </w:rPr>
        <w:t>长期的纵向研究较为缺乏。</w:t>
      </w:r>
    </w:p>
    <w:p>
      <w:pPr>
        <w:pStyle w:val="BodyText"/>
        <w:spacing w:line="417" w:lineRule="auto"/>
        <w:ind w:left="780" w:right="1145" w:firstLine="542"/>
        <w:jc w:val="both"/>
      </w:pPr>
      <w:r>
        <w:rPr>
          <w:spacing w:val="-7"/>
        </w:rPr>
        <w:t>精神及神经系统疾病的临床表现较为复杂，不同的精神疾病可能</w:t>
      </w:r>
      <w:r>
        <w:rPr>
          <w:spacing w:val="-11"/>
        </w:rPr>
        <w:t>具有相似的临床症状，由此，给临床诊断带来了一定困难。对不同疾病特别是精神疾病的诊断和评估长期依赖于主观判断，一致性程度较低。</w:t>
      </w:r>
      <w:r>
        <w:rPr>
          <w:rFonts w:ascii="Times New Roman" w:eastAsia="Times New Roman"/>
          <w:spacing w:val="-11"/>
        </w:rPr>
        <w:t>2013 </w:t>
      </w:r>
      <w:r>
        <w:rPr/>
        <w:t>年精神疾病遗传研究联盟发表在《柳叶刀》上的研究结果</w:t>
      </w:r>
      <w:r>
        <w:rPr>
          <w:spacing w:val="-4"/>
        </w:rPr>
        <w:t>显示，最常见的五种精神疾病，诸如自闭症、注意力缺陷多动障碍、</w:t>
      </w:r>
    </w:p>
    <w:p>
      <w:pPr>
        <w:spacing w:after="0" w:line="417" w:lineRule="auto"/>
        <w:jc w:val="both"/>
        <w:sectPr>
          <w:pgSz w:w="11910" w:h="16840"/>
          <w:pgMar w:header="0" w:footer="1035" w:top="1520" w:bottom="1300" w:left="1020" w:right="560"/>
        </w:sectPr>
      </w:pPr>
    </w:p>
    <w:p>
      <w:pPr>
        <w:pStyle w:val="BodyText"/>
        <w:spacing w:line="417" w:lineRule="auto" w:before="34"/>
        <w:ind w:left="780" w:right="1099"/>
      </w:pPr>
      <w:r>
        <w:rPr>
          <w:spacing w:val="-18"/>
        </w:rPr>
        <w:t>双相障碍、精神分裂症及抑郁症具有相似的异常基因位点。与此类似， </w:t>
      </w:r>
      <w:r>
        <w:rPr>
          <w:spacing w:val="-7"/>
        </w:rPr>
        <w:t>不同的脑疾病的功能影像表现也存在相似性与特异性。对不同类型脑</w:t>
      </w:r>
      <w:r>
        <w:rPr>
          <w:spacing w:val="-9"/>
        </w:rPr>
        <w:t>疾病的影像客观表征的探索将在很大程度上提高诊断准确率，指导并</w:t>
      </w:r>
      <w:r>
        <w:rPr>
          <w:spacing w:val="-6"/>
        </w:rPr>
        <w:t>监测临床治疗。</w:t>
      </w:r>
    </w:p>
    <w:p>
      <w:pPr>
        <w:pStyle w:val="BodyText"/>
        <w:spacing w:line="417" w:lineRule="auto"/>
        <w:ind w:left="780" w:right="1096" w:firstLine="542"/>
      </w:pPr>
      <w:r>
        <w:rPr>
          <w:spacing w:val="-9"/>
        </w:rPr>
        <w:t>以精神疾病为例，精神分裂症、分裂情感障碍、伴有精神病症状</w:t>
      </w:r>
      <w:r>
        <w:rPr>
          <w:spacing w:val="-10"/>
        </w:rPr>
        <w:t>的情感障碍及未分类的精神障碍均可表现出相似的精神病症状，但其</w:t>
      </w:r>
      <w:r>
        <w:rPr>
          <w:spacing w:val="-13"/>
        </w:rPr>
        <w:t>病理机制可能并不相同。较精神疾病而言，神经系统疾病具有较高特</w:t>
      </w:r>
      <w:r>
        <w:rPr>
          <w:spacing w:val="-19"/>
        </w:rPr>
        <w:t>异性，但也存在一定的重叠和相似性。例如帕金森氏病与亨廷顿氏病、</w:t>
      </w:r>
      <w:r>
        <w:rPr>
          <w:spacing w:val="-13"/>
        </w:rPr>
        <w:t>病毒性脑炎等在一定程度上具有相似的症状。美国国立精神卫生研究</w:t>
      </w:r>
      <w:r>
        <w:rPr>
          <w:spacing w:val="-26"/>
        </w:rPr>
        <w:t>所已于 </w:t>
      </w:r>
      <w:r>
        <w:rPr>
          <w:rFonts w:ascii="Times New Roman" w:eastAsia="Times New Roman"/>
        </w:rPr>
        <w:t>2007</w:t>
      </w:r>
      <w:r>
        <w:rPr>
          <w:rFonts w:ascii="Times New Roman" w:eastAsia="Times New Roman"/>
          <w:spacing w:val="7"/>
        </w:rPr>
        <w:t> </w:t>
      </w:r>
      <w:r>
        <w:rPr>
          <w:spacing w:val="-10"/>
        </w:rPr>
        <w:t>年启动一项大型多中心研究计划，旨在探索精神分裂症、</w:t>
      </w:r>
      <w:r>
        <w:rPr>
          <w:spacing w:val="-12"/>
        </w:rPr>
        <w:t>分裂情感障碍及双相障碍的易感基因、功能影像表征、人格及认知特点。该计划已经发现这些不同类型的精神疾病患者均存在大脑功能的</w:t>
      </w:r>
      <w:r>
        <w:rPr>
          <w:spacing w:val="-9"/>
        </w:rPr>
        <w:t>相似及特异改变。</w:t>
      </w:r>
      <w:r>
        <w:rPr>
          <w:rFonts w:ascii="Times New Roman" w:eastAsia="Times New Roman"/>
          <w:spacing w:val="-4"/>
        </w:rPr>
        <w:t>PET</w:t>
      </w:r>
      <w:r>
        <w:rPr>
          <w:spacing w:val="-22"/>
        </w:rPr>
        <w:t>、</w:t>
      </w:r>
      <w:r>
        <w:rPr>
          <w:rFonts w:ascii="Times New Roman" w:eastAsia="Times New Roman"/>
          <w:spacing w:val="-6"/>
        </w:rPr>
        <w:t>PET/MRI</w:t>
      </w:r>
      <w:r>
        <w:rPr>
          <w:spacing w:val="-6"/>
        </w:rPr>
        <w:t>（</w:t>
      </w:r>
      <w:r>
        <w:rPr>
          <w:rFonts w:ascii="Times New Roman" w:eastAsia="Times New Roman"/>
          <w:spacing w:val="-6"/>
        </w:rPr>
        <w:t>CT</w:t>
      </w:r>
      <w:r>
        <w:rPr>
          <w:spacing w:val="-6"/>
        </w:rPr>
        <w:t>）</w:t>
      </w:r>
      <w:r>
        <w:rPr>
          <w:spacing w:val="-3"/>
        </w:rPr>
        <w:t>显像技术的发展使得探测脑</w:t>
      </w:r>
      <w:r>
        <w:rPr>
          <w:spacing w:val="-10"/>
        </w:rPr>
        <w:t>受体的功能与结构异常成为可能，为神经精神疾病的研究与诊断提供</w:t>
      </w:r>
      <w:r>
        <w:rPr>
          <w:spacing w:val="-12"/>
        </w:rPr>
        <w:t>了崭新的手段。利用各类不同的放射性分子探针，可以通过图像直接</w:t>
      </w:r>
      <w:r>
        <w:rPr>
          <w:spacing w:val="-11"/>
        </w:rPr>
        <w:t>显示相关疾病的细胞或分子水平的生理病理过程，能够发现不同疾病</w:t>
      </w:r>
      <w:r>
        <w:rPr>
          <w:spacing w:val="3"/>
        </w:rPr>
        <w:t>的相似及特异病理改变过程，从而明确不同疾病的关键神经系统靶</w:t>
      </w:r>
      <w:r>
        <w:rPr>
          <w:spacing w:val="-11"/>
        </w:rPr>
        <w:t>点，在疾病早期予以正确诊断及靶向治疗。目前受体显像已从长期实</w:t>
      </w:r>
      <w:r>
        <w:rPr>
          <w:spacing w:val="-12"/>
        </w:rPr>
        <w:t>验室基础研究进入临床应用研究阶段，国外已有较多报道，而国内的</w:t>
      </w:r>
      <w:r>
        <w:rPr>
          <w:spacing w:val="-6"/>
        </w:rPr>
        <w:t>研究相对落后。</w:t>
      </w:r>
    </w:p>
    <w:p>
      <w:pPr>
        <w:pStyle w:val="BodyText"/>
        <w:spacing w:line="417" w:lineRule="auto"/>
        <w:ind w:left="780" w:right="1238" w:firstLine="532"/>
      </w:pPr>
      <w:r>
        <w:rPr>
          <w:spacing w:val="6"/>
        </w:rPr>
        <w:t>多种环境因素均可能造成认知功能的损害，例如颅脑损伤及神</w:t>
      </w:r>
      <w:r>
        <w:rPr>
          <w:spacing w:val="-12"/>
        </w:rPr>
        <w:t>经、精神系统疾病。认知损害是多种脑疾病的核心症状及重要病理过</w:t>
      </w:r>
    </w:p>
    <w:p>
      <w:pPr>
        <w:spacing w:after="0" w:line="417" w:lineRule="auto"/>
        <w:sectPr>
          <w:pgSz w:w="11910" w:h="16840"/>
          <w:pgMar w:header="0" w:footer="1035" w:top="1520" w:bottom="1300" w:left="1020" w:right="560"/>
        </w:sectPr>
      </w:pPr>
    </w:p>
    <w:p>
      <w:pPr>
        <w:pStyle w:val="BodyText"/>
        <w:spacing w:line="417" w:lineRule="auto" w:before="34"/>
        <w:ind w:left="780" w:right="1097"/>
      </w:pPr>
      <w:r>
        <w:rPr>
          <w:spacing w:val="-18"/>
        </w:rPr>
        <w:t>程之一，其损害涉及到语言理解、视觉思维、社会功能、多任务处理、</w:t>
      </w:r>
      <w:r>
        <w:rPr>
          <w:spacing w:val="-10"/>
        </w:rPr>
        <w:t>执行功能等多方面，可能导致智能缺陷、学习障碍及失语症等，严重</w:t>
      </w:r>
      <w:r>
        <w:rPr>
          <w:spacing w:val="-13"/>
        </w:rPr>
        <w:t>影响病人们的生活质量及社会功能。然而，不同的脑疾病可能导致不同表现的认知功能损害，而不同认知损害则可能具有各自的影像学表</w:t>
      </w:r>
      <w:r>
        <w:rPr>
          <w:spacing w:val="-11"/>
        </w:rPr>
        <w:t>征。对于认知功能损害的脑功能影像客观表征的研究，将有助于明确</w:t>
      </w:r>
      <w:r>
        <w:rPr>
          <w:spacing w:val="-13"/>
        </w:rPr>
        <w:t>其病理生理过程、指导治疗，甚至有望在临床症状出现前对疾病进行干预。</w:t>
      </w:r>
    </w:p>
    <w:p>
      <w:pPr>
        <w:pStyle w:val="BodyText"/>
        <w:spacing w:line="417" w:lineRule="auto"/>
        <w:ind w:left="780" w:right="1145" w:firstLine="532"/>
      </w:pPr>
      <w:r>
        <w:rPr>
          <w:spacing w:val="-7"/>
        </w:rPr>
        <w:t>随着各种新型脑功能影像技术的发展，研究者发现不同的认知功</w:t>
      </w:r>
      <w:r>
        <w:rPr>
          <w:spacing w:val="-10"/>
        </w:rPr>
        <w:t>能具有不同的脑结构和功能连接网络基础。而近年来功能影像与分子</w:t>
      </w:r>
      <w:r>
        <w:rPr>
          <w:spacing w:val="-8"/>
        </w:rPr>
        <w:t>影像的结合，则能够进一步在高精度水平探索脑功能的改变。例如， </w:t>
      </w:r>
      <w:r>
        <w:rPr>
          <w:spacing w:val="34"/>
        </w:rPr>
        <w:t>利用</w:t>
      </w:r>
      <w:r>
        <w:rPr>
          <w:rFonts w:ascii="Times New Roman" w:hAnsi="Times New Roman" w:eastAsia="Times New Roman"/>
        </w:rPr>
        <w:t>fMRI</w:t>
      </w:r>
      <w:r>
        <w:rPr>
          <w:rFonts w:ascii="Times New Roman" w:hAnsi="Times New Roman" w:eastAsia="Times New Roman"/>
          <w:spacing w:val="3"/>
        </w:rPr>
        <w:t> </w:t>
      </w:r>
      <w:r>
        <w:rPr>
          <w:spacing w:val="-31"/>
        </w:rPr>
        <w:t>及 </w:t>
      </w:r>
      <w:r>
        <w:rPr>
          <w:rFonts w:ascii="Times New Roman" w:hAnsi="Times New Roman" w:eastAsia="Times New Roman"/>
          <w:spacing w:val="-8"/>
        </w:rPr>
        <w:t>PET</w:t>
      </w:r>
      <w:r>
        <w:rPr>
          <w:spacing w:val="-3"/>
        </w:rPr>
        <w:t>，前期研究已经发现脑功能网络节点的连接强度与</w:t>
      </w:r>
      <w:r>
        <w:rPr>
          <w:rFonts w:ascii="Times New Roman" w:hAnsi="Times New Roman" w:eastAsia="Times New Roman"/>
          <w:spacing w:val="-3"/>
        </w:rPr>
        <w:t>IQ</w:t>
      </w:r>
      <w:r>
        <w:rPr>
          <w:rFonts w:ascii="Times New Roman" w:hAnsi="Times New Roman" w:eastAsia="Times New Roman"/>
          <w:spacing w:val="18"/>
        </w:rPr>
        <w:t> </w:t>
      </w:r>
      <w:r>
        <w:rPr/>
        <w:t>及局部脑血流和葡萄糖代谢高度相关。而针对认知功能损害最为</w:t>
      </w:r>
      <w:r>
        <w:rPr>
          <w:spacing w:val="-1"/>
        </w:rPr>
        <w:t>严重的疾病之一</w:t>
      </w:r>
      <w:r>
        <w:rPr>
          <w:rFonts w:ascii="Times New Roman" w:hAnsi="Times New Roman" w:eastAsia="Times New Roman"/>
          <w:spacing w:val="-4"/>
        </w:rPr>
        <w:t>——</w:t>
      </w:r>
      <w:r>
        <w:rPr>
          <w:spacing w:val="-11"/>
        </w:rPr>
        <w:t>阿尔茨海默病，也已采用脑功能连接异常模式建立了敏感性和特异性均较高的诊断标记。脑放射性药物</w:t>
      </w:r>
      <w:r>
        <w:rPr/>
        <w:t>（探针</w:t>
      </w:r>
      <w:r>
        <w:rPr>
          <w:spacing w:val="-34"/>
        </w:rPr>
        <w:t>）</w:t>
      </w:r>
      <w:r>
        <w:rPr/>
        <w:t>的开</w:t>
      </w:r>
      <w:r>
        <w:rPr>
          <w:spacing w:val="-11"/>
        </w:rPr>
        <w:t>发和应用迅速发展，在探索认知功能障碍的发生机制以及评价认知损</w:t>
      </w:r>
      <w:r>
        <w:rPr>
          <w:spacing w:val="-12"/>
        </w:rPr>
        <w:t>害程度，预测预后等方面存在较广阔应用前景和研究价值。美国食品</w:t>
      </w:r>
      <w:r>
        <w:rPr>
          <w:spacing w:val="-10"/>
        </w:rPr>
        <w:t>药品管理局</w:t>
      </w:r>
      <w:r>
        <w:rPr>
          <w:spacing w:val="-3"/>
        </w:rPr>
        <w:t>（</w:t>
      </w:r>
      <w:r>
        <w:rPr>
          <w:rFonts w:ascii="Times New Roman" w:hAnsi="Times New Roman" w:eastAsia="Times New Roman"/>
          <w:spacing w:val="-3"/>
        </w:rPr>
        <w:t>FDA</w:t>
      </w:r>
      <w:r>
        <w:rPr>
          <w:spacing w:val="-3"/>
        </w:rPr>
        <w:t>）</w:t>
      </w:r>
      <w:r>
        <w:rPr>
          <w:spacing w:val="-7"/>
        </w:rPr>
        <w:t>已批准一个以阿尔茨海默病患者脑内 </w:t>
      </w:r>
      <w:r>
        <w:rPr>
          <w:rFonts w:ascii="Times New Roman" w:hAnsi="Times New Roman" w:eastAsia="Times New Roman"/>
        </w:rPr>
        <w:t>Aβ</w:t>
      </w:r>
      <w:r>
        <w:rPr>
          <w:rFonts w:ascii="Times New Roman" w:hAnsi="Times New Roman" w:eastAsia="Times New Roman"/>
          <w:spacing w:val="4"/>
        </w:rPr>
        <w:t> </w:t>
      </w:r>
      <w:r>
        <w:rPr/>
        <w:t>斑块为</w:t>
      </w:r>
      <w:r>
        <w:rPr>
          <w:spacing w:val="-3"/>
        </w:rPr>
        <w:t>靶点的 </w:t>
      </w:r>
      <w:r>
        <w:rPr>
          <w:rFonts w:ascii="Times New Roman" w:hAnsi="Times New Roman" w:eastAsia="Times New Roman"/>
        </w:rPr>
        <w:t>PET</w:t>
      </w:r>
      <w:r>
        <w:rPr>
          <w:rFonts w:ascii="Times New Roman" w:hAnsi="Times New Roman" w:eastAsia="Times New Roman"/>
          <w:spacing w:val="58"/>
        </w:rPr>
        <w:t> </w:t>
      </w:r>
      <w:r>
        <w:rPr>
          <w:spacing w:val="-3"/>
        </w:rPr>
        <w:t>探针。同时，针对神经退行性疾病的靶向探针也已进入</w:t>
      </w:r>
      <w:r>
        <w:rPr>
          <w:spacing w:val="-12"/>
        </w:rPr>
        <w:t>三期临床实验。相较国际而言，我国目前缺乏神经功能成像的中长期</w:t>
      </w:r>
      <w:r>
        <w:rPr>
          <w:spacing w:val="-13"/>
        </w:rPr>
        <w:t>计划，针对大脑和行为障碍的病理生理分子影像的新型神经影像学分</w:t>
      </w:r>
      <w:r>
        <w:rPr>
          <w:spacing w:val="3"/>
        </w:rPr>
        <w:t>子探针仍较国际领先水平有一定差距。与此同时，随着深部脑刺激</w:t>
      </w:r>
    </w:p>
    <w:p>
      <w:pPr>
        <w:pStyle w:val="BodyText"/>
        <w:spacing w:line="357" w:lineRule="exact"/>
        <w:ind w:left="780"/>
      </w:pPr>
      <w:r>
        <w:rPr>
          <w:spacing w:val="-7"/>
        </w:rPr>
        <w:t>（</w:t>
      </w:r>
      <w:r>
        <w:rPr>
          <w:rFonts w:ascii="Times New Roman" w:eastAsia="Times New Roman"/>
          <w:spacing w:val="-7"/>
        </w:rPr>
        <w:t>DBS</w:t>
      </w:r>
      <w:r>
        <w:rPr>
          <w:spacing w:val="-7"/>
        </w:rPr>
        <w:t>）</w:t>
      </w:r>
      <w:r>
        <w:rPr>
          <w:spacing w:val="-8"/>
        </w:rPr>
        <w:t>及经颅磁刺激（</w:t>
      </w:r>
      <w:r>
        <w:rPr>
          <w:rFonts w:ascii="Times New Roman" w:eastAsia="Times New Roman"/>
          <w:spacing w:val="-8"/>
        </w:rPr>
        <w:t>TMS</w:t>
      </w:r>
      <w:r>
        <w:rPr>
          <w:spacing w:val="-8"/>
        </w:rPr>
        <w:t>）</w:t>
      </w:r>
      <w:r>
        <w:rPr>
          <w:spacing w:val="-3"/>
        </w:rPr>
        <w:t>越来越多地应用到各种精神及神经系</w:t>
      </w:r>
    </w:p>
    <w:p>
      <w:pPr>
        <w:spacing w:after="0" w:line="357" w:lineRule="exact"/>
        <w:sectPr>
          <w:pgSz w:w="11910" w:h="16840"/>
          <w:pgMar w:header="0" w:footer="1035" w:top="1520" w:bottom="1300" w:left="1020" w:right="560"/>
        </w:sectPr>
      </w:pPr>
    </w:p>
    <w:p>
      <w:pPr>
        <w:pStyle w:val="BodyText"/>
        <w:spacing w:line="417" w:lineRule="auto" w:before="34"/>
        <w:ind w:left="780" w:right="1238"/>
      </w:pPr>
      <w:r>
        <w:rPr>
          <w:spacing w:val="-12"/>
        </w:rPr>
        <w:t>统的疾病治疗中，对这些治疗手段的神经机制及相关靶点脑区的功能</w:t>
      </w:r>
      <w:r>
        <w:rPr>
          <w:spacing w:val="-3"/>
        </w:rPr>
        <w:t>精确定位变得更加急切和关键。</w:t>
      </w:r>
    </w:p>
    <w:p>
      <w:pPr>
        <w:pStyle w:val="BodyText"/>
        <w:spacing w:before="77"/>
        <w:ind w:left="780"/>
        <w:rPr>
          <w:rFonts w:ascii="黑体" w:eastAsia="黑体" w:hint="eastAsia"/>
        </w:rPr>
      </w:pPr>
      <w:r>
        <w:rPr>
          <w:rFonts w:ascii="黑体" w:eastAsia="黑体" w:hint="eastAsia"/>
        </w:rPr>
        <w:t>三、临床转化研究面临的挑战</w:t>
      </w:r>
    </w:p>
    <w:p>
      <w:pPr>
        <w:pStyle w:val="BodyText"/>
        <w:spacing w:before="11"/>
        <w:rPr>
          <w:rFonts w:ascii="黑体"/>
          <w:sz w:val="26"/>
        </w:rPr>
      </w:pPr>
    </w:p>
    <w:p>
      <w:pPr>
        <w:pStyle w:val="BodyText"/>
        <w:spacing w:line="417" w:lineRule="auto"/>
        <w:ind w:left="780" w:right="1231" w:firstLine="532"/>
        <w:jc w:val="both"/>
      </w:pPr>
      <w:r>
        <w:rPr>
          <w:spacing w:val="-9"/>
        </w:rPr>
        <w:t>如前所述，虽然各种脑功能影像技术，特别是功能磁共振技术在</w:t>
      </w:r>
      <w:r>
        <w:rPr>
          <w:spacing w:val="-8"/>
        </w:rPr>
        <w:t>重大神经精神疾病中显示出广泛的临床应用潜力，但其临床转化仍面</w:t>
      </w:r>
      <w:r>
        <w:rPr>
          <w:spacing w:val="-13"/>
        </w:rPr>
        <w:t>临诸多困难。首先，虽然多种脑成像指标被提出并广泛应用于研究个体之间脑功能的差异</w:t>
      </w:r>
      <w:r>
        <w:rPr/>
        <w:t>（</w:t>
      </w:r>
      <w:r>
        <w:rPr>
          <w:spacing w:val="-8"/>
        </w:rPr>
        <w:t>如：脑功能与各种心理行为以及神经与精神疾</w:t>
      </w:r>
      <w:r>
        <w:rPr>
          <w:w w:val="100"/>
        </w:rPr>
        <w:t>病的关联</w:t>
      </w:r>
      <w:r>
        <w:rPr>
          <w:spacing w:val="-140"/>
          <w:w w:val="100"/>
        </w:rPr>
        <w:t>）</w:t>
      </w:r>
      <w:r>
        <w:rPr>
          <w:spacing w:val="-1"/>
          <w:w w:val="100"/>
        </w:rPr>
        <w:t>，但是，它们所依据的影像数据及其分析的标准化，却未</w:t>
      </w:r>
      <w:r>
        <w:rPr/>
        <w:t>被充分重视。随着各种国际影像共享数据库的建立，如</w:t>
      </w:r>
      <w:r>
        <w:rPr>
          <w:rFonts w:ascii="Times New Roman" w:hAnsi="Times New Roman" w:eastAsia="Times New Roman"/>
          <w:spacing w:val="-5"/>
        </w:rPr>
        <w:t>“</w:t>
      </w:r>
      <w:r>
        <w:rPr>
          <w:spacing w:val="-3"/>
        </w:rPr>
        <w:t>千人功能连</w:t>
      </w:r>
      <w:r>
        <w:rPr/>
        <w:t>接组脑计划</w:t>
      </w:r>
      <w:r>
        <w:rPr>
          <w:rFonts w:ascii="Times New Roman" w:hAnsi="Times New Roman" w:eastAsia="Times New Roman"/>
        </w:rPr>
        <w:t>”</w:t>
      </w:r>
      <w:r>
        <w:rPr>
          <w:spacing w:val="4"/>
        </w:rPr>
        <w:t>、</w:t>
      </w:r>
      <w:r>
        <w:rPr>
          <w:rFonts w:ascii="Times New Roman" w:hAnsi="Times New Roman" w:eastAsia="Times New Roman"/>
        </w:rPr>
        <w:t>“</w:t>
      </w:r>
      <w:r>
        <w:rPr/>
        <w:t>自闭症脑成像数据交换计划</w:t>
      </w:r>
      <w:r>
        <w:rPr>
          <w:rFonts w:ascii="Times New Roman" w:hAnsi="Times New Roman" w:eastAsia="Times New Roman"/>
        </w:rPr>
        <w:t>”</w:t>
      </w:r>
      <w:r>
        <w:rPr/>
        <w:t>等，为神经科学及脑疾</w:t>
      </w:r>
      <w:r>
        <w:rPr>
          <w:spacing w:val="-10"/>
        </w:rPr>
        <w:t>病研究提供了大样本数据。因此，数据采集与分析流程的标准化就成</w:t>
      </w:r>
      <w:r>
        <w:rPr>
          <w:spacing w:val="-7"/>
        </w:rPr>
        <w:t>为有效利用大样本、多中心数据的关键。</w:t>
      </w:r>
    </w:p>
    <w:p>
      <w:pPr>
        <w:pStyle w:val="BodyText"/>
        <w:spacing w:line="417" w:lineRule="auto"/>
        <w:ind w:left="780" w:right="1227" w:firstLine="532"/>
        <w:jc w:val="both"/>
      </w:pPr>
      <w:r>
        <w:rPr>
          <w:spacing w:val="6"/>
        </w:rPr>
        <w:t>一项国际合作研究系统地阐述了各种参数与非参数的数据标准</w:t>
      </w:r>
      <w:r>
        <w:rPr>
          <w:spacing w:val="-10"/>
        </w:rPr>
        <w:t>化方法，考察了不同的标准化策略对各种连接组指标的影响，以及对</w:t>
      </w:r>
      <w:r>
        <w:rPr>
          <w:spacing w:val="-8"/>
        </w:rPr>
        <w:t>具体应用的影响。这项研究指出：</w:t>
      </w:r>
      <w:r>
        <w:rPr>
          <w:rFonts w:ascii="Times New Roman" w:hAnsi="Times New Roman" w:eastAsia="Times New Roman"/>
          <w:spacing w:val="-6"/>
        </w:rPr>
        <w:t>1.</w:t>
      </w:r>
      <w:r>
        <w:rPr>
          <w:spacing w:val="-3"/>
        </w:rPr>
        <w:t>恰当的数据标准化可以降低不同</w:t>
      </w:r>
      <w:r>
        <w:rPr>
          <w:rFonts w:ascii="Times New Roman" w:hAnsi="Times New Roman" w:eastAsia="Times New Roman"/>
          <w:spacing w:val="-3"/>
        </w:rPr>
        <w:t>“</w:t>
      </w:r>
      <w:r>
        <w:rPr>
          <w:spacing w:val="4"/>
        </w:rPr>
        <w:t>中心</w:t>
      </w:r>
      <w:r>
        <w:rPr>
          <w:rFonts w:ascii="Times New Roman" w:hAnsi="Times New Roman" w:eastAsia="Times New Roman"/>
        </w:rPr>
        <w:t>”</w:t>
      </w:r>
      <w:r>
        <w:rPr/>
        <w:t>之间的变异，并且降低</w:t>
      </w:r>
      <w:r>
        <w:rPr>
          <w:rFonts w:ascii="Times New Roman" w:hAnsi="Times New Roman" w:eastAsia="Times New Roman"/>
          <w:spacing w:val="-5"/>
        </w:rPr>
        <w:t>“</w:t>
      </w:r>
      <w:r>
        <w:rPr>
          <w:spacing w:val="2"/>
        </w:rPr>
        <w:t>头动</w:t>
      </w:r>
      <w:r>
        <w:rPr>
          <w:rFonts w:ascii="Times New Roman" w:hAnsi="Times New Roman" w:eastAsia="Times New Roman"/>
        </w:rPr>
        <w:t>”</w:t>
      </w:r>
      <w:r>
        <w:rPr>
          <w:spacing w:val="4"/>
        </w:rPr>
        <w:t>、</w:t>
      </w:r>
      <w:r>
        <w:rPr>
          <w:rFonts w:ascii="Times New Roman" w:hAnsi="Times New Roman" w:eastAsia="Times New Roman"/>
          <w:spacing w:val="-3"/>
        </w:rPr>
        <w:t>“</w:t>
      </w:r>
      <w:r>
        <w:rPr/>
        <w:t>年龄</w:t>
      </w:r>
      <w:r>
        <w:rPr>
          <w:rFonts w:ascii="Times New Roman" w:hAnsi="Times New Roman" w:eastAsia="Times New Roman"/>
        </w:rPr>
        <w:t>”</w:t>
      </w:r>
      <w:r>
        <w:rPr/>
        <w:t>对个体差异的影响；</w:t>
      </w:r>
      <w:r>
        <w:rPr>
          <w:rFonts w:ascii="Times New Roman" w:hAnsi="Times New Roman" w:eastAsia="Times New Roman"/>
        </w:rPr>
        <w:t>2. </w:t>
      </w:r>
      <w:r>
        <w:rPr>
          <w:spacing w:val="3"/>
        </w:rPr>
        <w:t>各种指标全脑平均值的标准化比其全脑方差的标准化更为重要和有</w:t>
      </w:r>
      <w:r>
        <w:rPr>
          <w:spacing w:val="-1"/>
        </w:rPr>
        <w:t>效；</w:t>
      </w:r>
      <w:r>
        <w:rPr>
          <w:rFonts w:ascii="Times New Roman" w:hAnsi="Times New Roman" w:eastAsia="Times New Roman"/>
          <w:spacing w:val="-5"/>
        </w:rPr>
        <w:t>3.</w:t>
      </w:r>
      <w:r>
        <w:rPr>
          <w:spacing w:val="-4"/>
        </w:rPr>
        <w:t>相较于个体水平的标准化方法，组水平上的标准化方法可以更</w:t>
      </w:r>
      <w:r>
        <w:rPr>
          <w:spacing w:val="-5"/>
        </w:rPr>
        <w:t>好地避免连接组指标产生虚假效应；</w:t>
      </w:r>
      <w:r>
        <w:rPr>
          <w:rFonts w:ascii="Times New Roman" w:hAnsi="Times New Roman" w:eastAsia="Times New Roman"/>
          <w:spacing w:val="-9"/>
        </w:rPr>
        <w:t>4.</w:t>
      </w:r>
      <w:r>
        <w:rPr>
          <w:spacing w:val="-3"/>
        </w:rPr>
        <w:t>数据标准化还可以显著地提高</w:t>
      </w:r>
      <w:r>
        <w:rPr>
          <w:spacing w:val="-4"/>
        </w:rPr>
        <w:t>低频振荡振幅的重测信度；</w:t>
      </w:r>
      <w:r>
        <w:rPr>
          <w:rFonts w:ascii="Times New Roman" w:hAnsi="Times New Roman" w:eastAsia="Times New Roman"/>
          <w:spacing w:val="-6"/>
        </w:rPr>
        <w:t>5.</w:t>
      </w:r>
      <w:r>
        <w:rPr>
          <w:spacing w:val="-4"/>
        </w:rPr>
        <w:t>全局信号与灰质平均信号几乎等同，因</w:t>
      </w:r>
      <w:r>
        <w:rPr>
          <w:spacing w:val="-8"/>
        </w:rPr>
        <w:t>此去除全局信号可以增强脑组织特异性的说法需要谨慎对待。这项研</w:t>
      </w:r>
      <w:r>
        <w:rPr>
          <w:spacing w:val="3"/>
        </w:rPr>
        <w:t>究将为未来基于大型数据库的人脑功能连接组疾病关联研究及其临</w:t>
      </w:r>
    </w:p>
    <w:p>
      <w:pPr>
        <w:spacing w:after="0" w:line="417" w:lineRule="auto"/>
        <w:jc w:val="both"/>
        <w:sectPr>
          <w:pgSz w:w="11910" w:h="16840"/>
          <w:pgMar w:header="0" w:footer="1035" w:top="1520" w:bottom="1300" w:left="1020" w:right="560"/>
        </w:sectPr>
      </w:pPr>
    </w:p>
    <w:p>
      <w:pPr>
        <w:pStyle w:val="BodyText"/>
        <w:spacing w:before="34"/>
        <w:ind w:left="780"/>
      </w:pPr>
      <w:r>
        <w:rPr/>
        <w:t>床医学转化提供标准化基础。</w:t>
      </w:r>
    </w:p>
    <w:p>
      <w:pPr>
        <w:pStyle w:val="BodyText"/>
        <w:spacing w:before="9"/>
        <w:rPr>
          <w:sz w:val="20"/>
        </w:rPr>
      </w:pPr>
    </w:p>
    <w:p>
      <w:pPr>
        <w:pStyle w:val="BodyText"/>
        <w:spacing w:line="417" w:lineRule="auto" w:before="1"/>
        <w:ind w:left="780" w:right="1175" w:firstLine="547"/>
        <w:jc w:val="both"/>
      </w:pPr>
      <w:r>
        <w:rPr>
          <w:spacing w:val="-7"/>
        </w:rPr>
        <w:t>联合多模态神经成像技术用于神经精神疾病的早期诊断，特别是</w:t>
      </w:r>
      <w:r>
        <w:rPr>
          <w:spacing w:val="-9"/>
        </w:rPr>
        <w:t>神经变性疾病的早期诊断对于患者的预后具有极其重要的意义。但首</w:t>
      </w:r>
      <w:r>
        <w:rPr>
          <w:spacing w:val="-13"/>
        </w:rPr>
        <w:t>先要区分哪些人会患病，哪些人不会。早期阿尔兹海默病的两个脑脊</w:t>
      </w:r>
      <w:r>
        <w:rPr>
          <w:spacing w:val="-12"/>
        </w:rPr>
        <w:t>液标记物与静息态磁共振功能连接默认模式网络连接减低相关，证实了在默认网络与脑脊液 </w:t>
      </w:r>
      <w:r>
        <w:rPr>
          <w:rFonts w:ascii="Times New Roman" w:hAnsi="Times New Roman" w:eastAsia="Times New Roman"/>
        </w:rPr>
        <w:t>Aβ42 </w:t>
      </w:r>
      <w:r>
        <w:rPr>
          <w:spacing w:val="-28"/>
        </w:rPr>
        <w:t>和 </w:t>
      </w:r>
      <w:r>
        <w:rPr>
          <w:rFonts w:ascii="Times New Roman" w:hAnsi="Times New Roman" w:eastAsia="Times New Roman"/>
        </w:rPr>
        <w:t>ptau </w:t>
      </w:r>
      <w:r>
        <w:rPr>
          <w:spacing w:val="-8"/>
        </w:rPr>
        <w:t>变化的关系，发现脑脊液 </w:t>
      </w:r>
      <w:r>
        <w:rPr>
          <w:rFonts w:ascii="Times New Roman" w:hAnsi="Times New Roman" w:eastAsia="Times New Roman"/>
        </w:rPr>
        <w:t>Aβ42 </w:t>
      </w:r>
      <w:r>
        <w:rPr>
          <w:spacing w:val="-1"/>
        </w:rPr>
        <w:t>的减少及 </w:t>
      </w:r>
      <w:r>
        <w:rPr>
          <w:rFonts w:ascii="Times New Roman" w:hAnsi="Times New Roman" w:eastAsia="Times New Roman"/>
        </w:rPr>
        <w:t>ptau</w:t>
      </w:r>
      <w:r>
        <w:rPr>
          <w:rFonts w:ascii="Times New Roman" w:hAnsi="Times New Roman" w:eastAsia="Times New Roman"/>
          <w:spacing w:val="67"/>
        </w:rPr>
        <w:t> </w:t>
      </w:r>
      <w:r>
        <w:rPr>
          <w:spacing w:val="-3"/>
        </w:rPr>
        <w:t>的降低与默认网络完整性下降是独立相关的，在后扣</w:t>
      </w:r>
      <w:r>
        <w:rPr>
          <w:spacing w:val="-8"/>
        </w:rPr>
        <w:t>带回及内侧颞叶的功能连接的降低最显著。近年来，遗忘型轻度认知</w:t>
      </w:r>
      <w:r>
        <w:rPr>
          <w:spacing w:val="-9"/>
        </w:rPr>
        <w:t>障碍和恢复期老年抑郁症患者被认为是阿尔茨海默病的高危人群。患</w:t>
      </w:r>
      <w:r>
        <w:rPr>
          <w:spacing w:val="-11"/>
        </w:rPr>
        <w:t>者可能会进一步发展成阿尔茨海默病，但也可能并无大碍。如果能在遗忘型轻度认知障碍或恢复期老年抑郁症阶段对症施治，对预防和治</w:t>
      </w:r>
      <w:r>
        <w:rPr>
          <w:spacing w:val="-13"/>
        </w:rPr>
        <w:t>疗阿尔茨海默病来说就能事半功倍。因此，阐明遗忘型轻度认知障碍</w:t>
      </w:r>
      <w:r>
        <w:rPr>
          <w:spacing w:val="-8"/>
        </w:rPr>
        <w:t>和恢复期老年抑郁症可能的</w:t>
      </w:r>
      <w:r>
        <w:rPr>
          <w:rFonts w:ascii="Times New Roman" w:hAnsi="Times New Roman" w:eastAsia="Times New Roman"/>
          <w:spacing w:val="-8"/>
        </w:rPr>
        <w:t>“</w:t>
      </w:r>
      <w:r>
        <w:rPr/>
        <w:t>共病</w:t>
      </w:r>
      <w:r>
        <w:rPr>
          <w:rFonts w:ascii="Times New Roman" w:hAnsi="Times New Roman" w:eastAsia="Times New Roman"/>
          <w:spacing w:val="-3"/>
        </w:rPr>
        <w:t>”</w:t>
      </w:r>
      <w:r>
        <w:rPr>
          <w:spacing w:val="-4"/>
        </w:rPr>
        <w:t>机制，研究它们有哪些共同特征， </w:t>
      </w:r>
      <w:r>
        <w:rPr>
          <w:spacing w:val="-11"/>
        </w:rPr>
        <w:t>有哪些差异，进而掌握它们共同的发病机理，为进一步研究两种疾病</w:t>
      </w:r>
      <w:r>
        <w:rPr>
          <w:spacing w:val="-13"/>
        </w:rPr>
        <w:t>神经调节的环路，以及把握阿尔茨海默病高风险人群治疗时间窗研究</w:t>
      </w:r>
      <w:r>
        <w:rPr>
          <w:spacing w:val="-9"/>
        </w:rPr>
        <w:t>提供依据。</w:t>
      </w:r>
    </w:p>
    <w:p>
      <w:pPr>
        <w:pStyle w:val="BodyText"/>
        <w:spacing w:line="417" w:lineRule="auto"/>
        <w:ind w:left="780" w:right="1145" w:firstLine="547"/>
        <w:jc w:val="both"/>
      </w:pPr>
      <w:r>
        <w:rPr>
          <w:spacing w:val="-10"/>
        </w:rPr>
        <w:t>研究表明，遗忘型轻度认知障碍和恢复期老年抑郁症这两组病人</w:t>
      </w:r>
      <w:r>
        <w:rPr>
          <w:spacing w:val="4"/>
        </w:rPr>
        <w:t>的脑白质纤维连接网络同正常人一样都表现出高效的</w:t>
      </w:r>
      <w:r>
        <w:rPr>
          <w:rFonts w:ascii="Times New Roman" w:hAnsi="Times New Roman" w:eastAsia="Times New Roman"/>
        </w:rPr>
        <w:t>“</w:t>
      </w:r>
      <w:r>
        <w:rPr>
          <w:spacing w:val="8"/>
        </w:rPr>
        <w:t>小世界</w:t>
      </w:r>
      <w:r>
        <w:rPr>
          <w:rFonts w:ascii="Times New Roman" w:hAnsi="Times New Roman" w:eastAsia="Times New Roman"/>
          <w:spacing w:val="4"/>
        </w:rPr>
        <w:t>”</w:t>
      </w:r>
      <w:r>
        <w:rPr>
          <w:spacing w:val="7"/>
        </w:rPr>
        <w:t>连接</w:t>
      </w:r>
      <w:r>
        <w:rPr>
          <w:spacing w:val="3"/>
        </w:rPr>
        <w:t>属性，但是他们的全脑网络连接强度和全局效率较正常对照显著降</w:t>
      </w:r>
      <w:r>
        <w:rPr>
          <w:spacing w:val="-10"/>
        </w:rPr>
        <w:t>低，两种疾病患者之间无显著差异。在脑区的局部节点上，两组病人</w:t>
      </w:r>
      <w:r>
        <w:rPr>
          <w:spacing w:val="-14"/>
        </w:rPr>
        <w:t>的节点效率在额叶脑区都降低，并且发现遗忘型轻度认知障碍组比恢</w:t>
      </w:r>
      <w:r>
        <w:rPr>
          <w:spacing w:val="-9"/>
        </w:rPr>
        <w:t>复期老年抑郁症组在后扣带皮层的效率更为降低。该研究结果提示，</w:t>
      </w:r>
    </w:p>
    <w:p>
      <w:pPr>
        <w:spacing w:after="0" w:line="417" w:lineRule="auto"/>
        <w:jc w:val="both"/>
        <w:sectPr>
          <w:pgSz w:w="11910" w:h="16840"/>
          <w:pgMar w:header="0" w:footer="1035" w:top="1520" w:bottom="1300" w:left="1020" w:right="560"/>
        </w:sectPr>
      </w:pPr>
    </w:p>
    <w:p>
      <w:pPr>
        <w:pStyle w:val="BodyText"/>
        <w:spacing w:line="417" w:lineRule="auto" w:before="34"/>
        <w:ind w:left="780" w:right="1096"/>
      </w:pPr>
      <w:r>
        <w:rPr>
          <w:spacing w:val="3"/>
        </w:rPr>
        <w:t>遗忘型轻度认知障碍和恢复期老年抑郁症患者的脑神经环路变化模</w:t>
      </w:r>
      <w:r>
        <w:rPr>
          <w:spacing w:val="-3"/>
        </w:rPr>
        <w:t>式具有较多的共同点，可以发现哪些人的大脑网络可能会出现问题， </w:t>
      </w:r>
      <w:r>
        <w:rPr>
          <w:spacing w:val="-9"/>
        </w:rPr>
        <w:t>有发展成老年痴呆的倾向，哪些人不会发展成老年痴呆，在治疗上就</w:t>
      </w:r>
      <w:r>
        <w:rPr>
          <w:spacing w:val="-11"/>
        </w:rPr>
        <w:t>可以通过对白质纤维网络的干预，改善通路，或寻找替代通路进行治疗。对于阿尔茨海默病的随访研究指出，通过磁共振脑结构成像，可</w:t>
      </w:r>
      <w:r>
        <w:rPr>
          <w:spacing w:val="-12"/>
        </w:rPr>
        <w:t>以发现轻度认知障碍患者大脑皮质萎缩情况，从而判断患阿尔茨海默</w:t>
      </w:r>
      <w:r>
        <w:rPr>
          <w:spacing w:val="-19"/>
        </w:rPr>
        <w:t>病的风险。大脑皮质在记忆、注意力、思维和语言方面起着关键作用， </w:t>
      </w:r>
      <w:r>
        <w:rPr>
          <w:spacing w:val="-7"/>
        </w:rPr>
        <w:t>而阿尔茨海默病的特点之一就是大脑皮质某些部位的细胞死亡，导致</w:t>
      </w:r>
      <w:r>
        <w:rPr>
          <w:spacing w:val="-13"/>
        </w:rPr>
        <w:t>该部位发生萎缩。轻度认知障碍是指人出现轻度记忆或其他认知功能障碍，但未达到痴呆标准，其临床表现不仅有记忆障碍，而且还有注</w:t>
      </w:r>
      <w:r>
        <w:rPr>
          <w:spacing w:val="-12"/>
        </w:rPr>
        <w:t>意力、词语流畅性、执行能力等其他认知功能方面的障碍。轻度认知障碍不一定会发展成阿尔茨海默病，但随着年龄增长，患者出现认知</w:t>
      </w:r>
      <w:r>
        <w:rPr>
          <w:spacing w:val="-7"/>
        </w:rPr>
        <w:t>功能减退的情况要比正常人严重。</w:t>
      </w:r>
    </w:p>
    <w:p>
      <w:pPr>
        <w:pStyle w:val="BodyText"/>
        <w:spacing w:line="417" w:lineRule="auto"/>
        <w:ind w:left="780" w:right="1159" w:firstLine="547"/>
        <w:jc w:val="both"/>
      </w:pPr>
      <w:r>
        <w:rPr>
          <w:spacing w:val="-4"/>
        </w:rPr>
        <w:t>抑郁症是一种常见的精神疾病，严重者可出现自杀念头和行为， </w:t>
      </w:r>
      <w:r>
        <w:rPr>
          <w:spacing w:val="3"/>
        </w:rPr>
        <w:t>并对药物治疗的反应差。抑郁症已经成为中国疾病负担的第二大疾</w:t>
      </w:r>
      <w:r>
        <w:rPr>
          <w:spacing w:val="-11"/>
        </w:rPr>
        <w:t>病。现有的结构和功能神经影像研究均强调，抑郁症的临床症状源于</w:t>
      </w:r>
      <w:r>
        <w:rPr>
          <w:spacing w:val="-13"/>
        </w:rPr>
        <w:t>情绪和认知处理相关神经网络的破坏。研究人员应用定量脑血流分析</w:t>
      </w:r>
      <w:r>
        <w:rPr>
          <w:spacing w:val="-11"/>
        </w:rPr>
        <w:t>技术，发现难治性抑郁症患者特征性脑区的脑血流异常，并且这种异</w:t>
      </w:r>
      <w:r>
        <w:rPr>
          <w:spacing w:val="-14"/>
        </w:rPr>
        <w:t>常主要与特定脑区有密切关系；应用静息态磁共振功能连接发现难治</w:t>
      </w:r>
      <w:r>
        <w:rPr>
          <w:spacing w:val="-13"/>
        </w:rPr>
        <w:t>性与非难治抑郁症患者所涉及的神经网络不同，难治性抑郁症患者在丘脑</w:t>
      </w:r>
      <w:r>
        <w:rPr>
          <w:rFonts w:ascii="Times New Roman" w:hAnsi="Times New Roman" w:eastAsia="Times New Roman"/>
          <w:spacing w:val="-3"/>
        </w:rPr>
        <w:t>—</w:t>
      </w:r>
      <w:r>
        <w:rPr>
          <w:spacing w:val="-10"/>
        </w:rPr>
        <w:t>皮层环路中的功能连接受损，而非难治性抑郁患者降低的功能</w:t>
      </w:r>
      <w:r>
        <w:rPr>
          <w:spacing w:val="-7"/>
        </w:rPr>
        <w:t>连接主要存在与边缘系统</w:t>
      </w:r>
      <w:r>
        <w:rPr>
          <w:rFonts w:ascii="Times New Roman" w:hAnsi="Times New Roman" w:eastAsia="Times New Roman"/>
          <w:spacing w:val="-3"/>
        </w:rPr>
        <w:t>—</w:t>
      </w:r>
      <w:r>
        <w:rPr/>
        <w:t>纹状体</w:t>
      </w:r>
      <w:r>
        <w:rPr>
          <w:rFonts w:ascii="Times New Roman" w:hAnsi="Times New Roman" w:eastAsia="Times New Roman"/>
          <w:spacing w:val="-5"/>
        </w:rPr>
        <w:t>—</w:t>
      </w:r>
      <w:r>
        <w:rPr/>
        <w:t>苍白球</w:t>
      </w:r>
      <w:r>
        <w:rPr>
          <w:rFonts w:ascii="Times New Roman" w:hAnsi="Times New Roman" w:eastAsia="Times New Roman"/>
          <w:spacing w:val="-3"/>
        </w:rPr>
        <w:t>—</w:t>
      </w:r>
      <w:r>
        <w:rPr>
          <w:spacing w:val="-13"/>
        </w:rPr>
        <w:t>丘脑环路中。这些研究</w:t>
      </w:r>
    </w:p>
    <w:p>
      <w:pPr>
        <w:spacing w:after="0" w:line="417" w:lineRule="auto"/>
        <w:jc w:val="both"/>
        <w:sectPr>
          <w:pgSz w:w="11910" w:h="16840"/>
          <w:pgMar w:header="0" w:footer="1035" w:top="1520" w:bottom="1300" w:left="1020" w:right="560"/>
        </w:sectPr>
      </w:pPr>
    </w:p>
    <w:p>
      <w:pPr>
        <w:pStyle w:val="BodyText"/>
        <w:spacing w:line="417" w:lineRule="auto" w:before="34"/>
        <w:ind w:left="780" w:right="1234"/>
        <w:jc w:val="both"/>
      </w:pPr>
      <w:r>
        <w:rPr>
          <w:spacing w:val="3"/>
        </w:rPr>
        <w:t>成果使影像磁共振检查对抑郁症的病情监测和指导临床治疗成为可</w:t>
      </w:r>
      <w:r>
        <w:rPr>
          <w:spacing w:val="-11"/>
        </w:rPr>
        <w:t>能，具有重要的临床应用前景。此外，通过将结构磁共振信息与核函</w:t>
      </w:r>
      <w:r>
        <w:rPr>
          <w:spacing w:val="-13"/>
        </w:rPr>
        <w:t>数模式识别相结合，研究人员将重症抑郁患者根据治疗效果分为难治性与非难治性两组，发现治疗前的灰质和白质结构均对治疗效果有较</w:t>
      </w:r>
      <w:r>
        <w:rPr>
          <w:spacing w:val="-15"/>
        </w:rPr>
        <w:t>好的预测效力，诊断准确度均高于 </w:t>
      </w:r>
      <w:r>
        <w:rPr>
          <w:rFonts w:ascii="Times New Roman" w:eastAsia="Times New Roman"/>
          <w:spacing w:val="-17"/>
        </w:rPr>
        <w:t>67%</w:t>
      </w:r>
      <w:r>
        <w:rPr>
          <w:spacing w:val="-4"/>
        </w:rPr>
        <w:t>，对于早期诊断难治性抑郁患者和指导用药具有重要的作用。</w:t>
      </w:r>
    </w:p>
    <w:p>
      <w:pPr>
        <w:pStyle w:val="BodyText"/>
        <w:spacing w:line="417" w:lineRule="auto"/>
        <w:ind w:left="780" w:right="1142" w:firstLine="532"/>
        <w:jc w:val="both"/>
      </w:pPr>
      <w:r>
        <w:rPr>
          <w:spacing w:val="6"/>
        </w:rPr>
        <w:t>运用无创的磁共振检查技术评估神经系统病变的发展及药物疗</w:t>
      </w:r>
      <w:r>
        <w:rPr>
          <w:spacing w:val="-10"/>
        </w:rPr>
        <w:t>效，将对于临床治疗和新药的开发提供客观的影像学证据。在对精神</w:t>
      </w:r>
      <w:r>
        <w:rPr>
          <w:spacing w:val="-12"/>
        </w:rPr>
        <w:t>分裂症患者进行二代抗精神病药物治疗六周后，对患者进行静息态功</w:t>
      </w:r>
      <w:r>
        <w:rPr>
          <w:spacing w:val="-13"/>
        </w:rPr>
        <w:t>能磁共振的随访扫描，研究人员发现精神分裂症患者主要在双侧前额</w:t>
      </w:r>
      <w:r>
        <w:rPr>
          <w:spacing w:val="3"/>
        </w:rPr>
        <w:t>叶和顶叶的局部功能活动增强，而在较大范围内的功能连接强度下</w:t>
      </w:r>
      <w:r>
        <w:rPr>
          <w:spacing w:val="-10"/>
        </w:rPr>
        <w:t>降，而这种影像学的发现与下降的临床症状评分具有相关性，提示了</w:t>
      </w:r>
      <w:r>
        <w:rPr>
          <w:spacing w:val="-12"/>
        </w:rPr>
        <w:t>功能磁共振能够发现药物治疗的靶点脑区，并对疗效的监控能够起到</w:t>
      </w:r>
      <w:r>
        <w:rPr>
          <w:spacing w:val="-13"/>
        </w:rPr>
        <w:t>及时准确的作用。针对较大样本精神分裂症患者的结构磁共振随访研</w:t>
      </w:r>
      <w:r>
        <w:rPr>
          <w:spacing w:val="-26"/>
        </w:rPr>
        <w:t>究，对 </w:t>
      </w:r>
      <w:r>
        <w:rPr>
          <w:rFonts w:ascii="Times New Roman" w:eastAsia="Times New Roman"/>
        </w:rPr>
        <w:t>200 </w:t>
      </w:r>
      <w:r>
        <w:rPr>
          <w:spacing w:val="-4"/>
        </w:rPr>
        <w:t>多个发病初期的精神分裂症病人采用结构磁共振的扫描，</w:t>
      </w:r>
    </w:p>
    <w:p>
      <w:pPr>
        <w:pStyle w:val="BodyText"/>
        <w:spacing w:line="417" w:lineRule="auto"/>
        <w:ind w:left="780" w:right="1236"/>
        <w:jc w:val="both"/>
      </w:pPr>
      <w:r>
        <w:rPr>
          <w:spacing w:val="-6"/>
        </w:rPr>
        <w:t>并且对这些患者定期进行至少 </w:t>
      </w:r>
      <w:r>
        <w:rPr>
          <w:rFonts w:ascii="Times New Roman" w:eastAsia="Times New Roman"/>
        </w:rPr>
        <w:t>15 </w:t>
      </w:r>
      <w:r>
        <w:rPr>
          <w:spacing w:val="-3"/>
        </w:rPr>
        <w:t>年以上的磁共振随访扫描，发现一</w:t>
      </w:r>
      <w:r>
        <w:rPr>
          <w:spacing w:val="3"/>
        </w:rPr>
        <w:t>般情况下抗精神病药物剂量越高，患者额叶脑组织的体积缺失的越</w:t>
      </w:r>
      <w:r>
        <w:rPr>
          <w:spacing w:val="-10"/>
        </w:rPr>
        <w:t>多。研究者还检测了患者旧病复发对其大脑组织的影响，包括是否长</w:t>
      </w:r>
      <w:r>
        <w:rPr>
          <w:spacing w:val="-13"/>
        </w:rPr>
        <w:t>期的精神病对大脑具有毒性等，结果显示，旧病复发的时间和脑组织</w:t>
      </w:r>
      <w:r>
        <w:rPr>
          <w:spacing w:val="-12"/>
        </w:rPr>
        <w:t>缺失的程度直接相关。这项研究或许可以改变医生们使用抗精神病药</w:t>
      </w:r>
      <w:r>
        <w:rPr>
          <w:spacing w:val="-13"/>
        </w:rPr>
        <w:t>物来治疗精神分裂症的思路，也揭示出针对精神分裂症患者的新药研</w:t>
      </w:r>
      <w:r>
        <w:rPr>
          <w:spacing w:val="-7"/>
        </w:rPr>
        <w:t>制开发的必要性。</w:t>
      </w:r>
    </w:p>
    <w:p>
      <w:pPr>
        <w:spacing w:after="0" w:line="417" w:lineRule="auto"/>
        <w:jc w:val="both"/>
        <w:sectPr>
          <w:pgSz w:w="11910" w:h="16840"/>
          <w:pgMar w:header="0" w:footer="1035" w:top="1520" w:bottom="1300" w:left="1020" w:right="560"/>
        </w:sectPr>
      </w:pPr>
    </w:p>
    <w:p>
      <w:pPr>
        <w:pStyle w:val="BodyText"/>
        <w:spacing w:before="34"/>
        <w:ind w:left="780"/>
        <w:rPr>
          <w:rFonts w:ascii="黑体" w:eastAsia="黑体" w:hint="eastAsia"/>
        </w:rPr>
      </w:pPr>
      <w:r>
        <w:rPr>
          <w:rFonts w:ascii="黑体" w:eastAsia="黑体" w:hint="eastAsia"/>
        </w:rPr>
        <w:t>四、主要研究方向和科学问题</w:t>
      </w:r>
    </w:p>
    <w:p>
      <w:pPr>
        <w:pStyle w:val="BodyText"/>
        <w:spacing w:before="9"/>
        <w:rPr>
          <w:rFonts w:ascii="黑体"/>
          <w:sz w:val="26"/>
        </w:rPr>
      </w:pPr>
    </w:p>
    <w:p>
      <w:pPr>
        <w:pStyle w:val="BodyText"/>
        <w:spacing w:line="417" w:lineRule="auto"/>
        <w:ind w:left="780" w:right="1233" w:firstLine="587"/>
        <w:jc w:val="both"/>
      </w:pPr>
      <w:r>
        <w:rPr>
          <w:spacing w:val="-12"/>
        </w:rPr>
        <w:t>随着生命科学、基础医学等学科的飞速发展，以磁共振成像为代</w:t>
      </w:r>
      <w:r>
        <w:rPr>
          <w:spacing w:val="-13"/>
        </w:rPr>
        <w:t>表的神经功能影像技术也日新月异，如血氧水平依赖的功能磁共振成像、扩散张量成像等的出现，大大丰富了人类对自身脑结构和功能的</w:t>
      </w:r>
      <w:r>
        <w:rPr>
          <w:spacing w:val="-11"/>
        </w:rPr>
        <w:t>认识。神经功能影像逐渐成为融合了多个学科</w:t>
      </w:r>
      <w:r>
        <w:rPr/>
        <w:t>（</w:t>
      </w:r>
      <w:r>
        <w:rPr>
          <w:spacing w:val="-7"/>
        </w:rPr>
        <w:t>如物理、生物医学工</w:t>
      </w:r>
      <w:r>
        <w:rPr>
          <w:spacing w:val="-9"/>
        </w:rPr>
        <w:t>程、数学，甚至遗传学等</w:t>
      </w:r>
      <w:r>
        <w:rPr>
          <w:spacing w:val="-24"/>
        </w:rPr>
        <w:t>）</w:t>
      </w:r>
      <w:r>
        <w:rPr>
          <w:spacing w:val="-6"/>
        </w:rPr>
        <w:t>的优势为一体的综合学科，甚至派生出一</w:t>
      </w:r>
      <w:r>
        <w:rPr>
          <w:spacing w:val="-11"/>
        </w:rPr>
        <w:t>些亚学科，能从细胞、分子水平显示活体的生物过程，探求生命和人</w:t>
      </w:r>
      <w:r>
        <w:rPr>
          <w:spacing w:val="-12"/>
        </w:rPr>
        <w:t>类认知活动的奥秘，定量评估人脑结构和功能状态。例如，从结构和功能影像中获得的灰质体积厚度、结构和功能连接强度、脑网络指标</w:t>
      </w:r>
      <w:r>
        <w:rPr>
          <w:spacing w:val="-18"/>
        </w:rPr>
        <w:t>等客观指标</w:t>
      </w:r>
      <w:r>
        <w:rPr/>
        <w:t>（</w:t>
      </w:r>
      <w:r>
        <w:rPr>
          <w:spacing w:val="-3"/>
        </w:rPr>
        <w:t>即功能影像客观表征</w:t>
      </w:r>
      <w:r>
        <w:rPr>
          <w:spacing w:val="-51"/>
        </w:rPr>
        <w:t>）</w:t>
      </w:r>
      <w:r>
        <w:rPr>
          <w:spacing w:val="-3"/>
        </w:rPr>
        <w:t>均从不同方面刻画人类脑的结构</w:t>
      </w:r>
      <w:r>
        <w:rPr>
          <w:spacing w:val="-12"/>
        </w:rPr>
        <w:t>和功能信息，在疾病发病机制、诊断以及治疗随访等方面有巨大的应用潜力。</w:t>
      </w:r>
    </w:p>
    <w:p>
      <w:pPr>
        <w:pStyle w:val="BodyText"/>
        <w:spacing w:line="417" w:lineRule="auto"/>
        <w:ind w:left="780" w:right="1235" w:firstLine="587"/>
        <w:jc w:val="both"/>
      </w:pPr>
      <w:r>
        <w:rPr>
          <w:spacing w:val="-12"/>
        </w:rPr>
        <w:t>在神经影像学迅速发展的今天，如何将海量影像数据进行有效分</w:t>
      </w:r>
      <w:r>
        <w:rPr>
          <w:spacing w:val="-11"/>
        </w:rPr>
        <w:t>析以获得包括脑结构、功能、代谢、分子水平的信息</w:t>
      </w:r>
      <w:r>
        <w:rPr>
          <w:spacing w:val="-3"/>
        </w:rPr>
        <w:t>（</w:t>
      </w:r>
      <w:r>
        <w:rPr/>
        <w:t>内表型</w:t>
      </w:r>
      <w:r>
        <w:rPr>
          <w:spacing w:val="-17"/>
        </w:rPr>
        <w:t>），</w:t>
      </w:r>
      <w:r>
        <w:rPr>
          <w:spacing w:val="-13"/>
        </w:rPr>
        <w:t>并</w:t>
      </w:r>
      <w:r>
        <w:rPr>
          <w:spacing w:val="-10"/>
        </w:rPr>
        <w:t>与分子遗传学等所检测的基因型、临床认知和行为等表征有机地联系</w:t>
      </w:r>
      <w:r>
        <w:rPr>
          <w:spacing w:val="-13"/>
        </w:rPr>
        <w:t>起来以阐明神经精神疾病的脑机制，是当前脑科学研究中的前瞻性课</w:t>
      </w:r>
      <w:r>
        <w:rPr>
          <w:spacing w:val="-9"/>
        </w:rPr>
        <w:t>题。与会专家一致认定，</w:t>
      </w:r>
      <w:r>
        <w:rPr>
          <w:rFonts w:ascii="Times New Roman" w:hAnsi="Times New Roman" w:eastAsia="Times New Roman"/>
          <w:spacing w:val="-18"/>
        </w:rPr>
        <w:t>“</w:t>
      </w:r>
      <w:r>
        <w:rPr>
          <w:spacing w:val="-2"/>
        </w:rPr>
        <w:t>脑疾病的功能影像客观表征</w:t>
      </w:r>
      <w:r>
        <w:rPr>
          <w:rFonts w:ascii="Times New Roman" w:hAnsi="Times New Roman" w:eastAsia="Times New Roman"/>
          <w:spacing w:val="-3"/>
        </w:rPr>
        <w:t>”</w:t>
      </w:r>
      <w:r>
        <w:rPr>
          <w:spacing w:val="-3"/>
        </w:rPr>
        <w:t>是未来神经影</w:t>
      </w:r>
      <w:r>
        <w:rPr>
          <w:spacing w:val="-9"/>
        </w:rPr>
        <w:t>像学研究的重大核心科学问题。大会主席陈霖院士还特别强调，这些</w:t>
      </w:r>
      <w:r>
        <w:rPr>
          <w:spacing w:val="-12"/>
        </w:rPr>
        <w:t>客观表征应是定量的，具有较高的敏感性和特异性、较好的一致性和</w:t>
      </w:r>
      <w:r>
        <w:rPr>
          <w:spacing w:val="-11"/>
        </w:rPr>
        <w:t>稳定性，且有临床转化应用的潜力。与会专家认为，为了促进我国神</w:t>
      </w:r>
      <w:r>
        <w:rPr>
          <w:spacing w:val="-13"/>
        </w:rPr>
        <w:t>经功能成像在重大脑疾病中的发展，未来应着重围绕上述核心科学问</w:t>
      </w:r>
      <w:r>
        <w:rPr>
          <w:spacing w:val="-8"/>
        </w:rPr>
        <w:t>题，重点开展以下四个方向的研究：</w:t>
      </w:r>
    </w:p>
    <w:p>
      <w:pPr>
        <w:spacing w:after="0" w:line="417" w:lineRule="auto"/>
        <w:jc w:val="both"/>
        <w:sectPr>
          <w:pgSz w:w="11910" w:h="16840"/>
          <w:pgMar w:header="0" w:footer="1035" w:top="1520" w:bottom="1300" w:left="1020" w:right="560"/>
        </w:sectPr>
      </w:pPr>
    </w:p>
    <w:p>
      <w:pPr>
        <w:pStyle w:val="Heading8"/>
        <w:spacing w:before="22"/>
      </w:pPr>
      <w:r>
        <w:rPr/>
        <w:t>（一）多模态成像技术与数据分析方法</w:t>
      </w:r>
    </w:p>
    <w:p>
      <w:pPr>
        <w:pStyle w:val="BodyText"/>
        <w:spacing w:line="417" w:lineRule="auto" w:before="215"/>
        <w:ind w:left="780" w:right="1235" w:firstLine="511"/>
        <w:jc w:val="both"/>
      </w:pPr>
      <w:r>
        <w:rPr>
          <w:spacing w:val="-7"/>
        </w:rPr>
        <w:t>发展快速精准脑功能成像新技术</w:t>
      </w:r>
      <w:r>
        <w:rPr>
          <w:spacing w:val="-3"/>
        </w:rPr>
        <w:t>（如直接观测神经活动的在体成像技术</w:t>
      </w:r>
      <w:r>
        <w:rPr>
          <w:spacing w:val="-76"/>
        </w:rPr>
        <w:t>）</w:t>
      </w:r>
      <w:r>
        <w:rPr>
          <w:spacing w:val="-21"/>
        </w:rPr>
        <w:t>；多模态脑功能神经影像信息获取、数据融合、联合分析</w:t>
      </w:r>
      <w:r>
        <w:rPr>
          <w:spacing w:val="-3"/>
        </w:rPr>
        <w:t>（</w:t>
      </w:r>
      <w:r>
        <w:rPr/>
        <w:t>如</w:t>
      </w:r>
      <w:r>
        <w:rPr>
          <w:spacing w:val="-3"/>
        </w:rPr>
        <w:t>局部和网络特征的提取和分析</w:t>
      </w:r>
      <w:r>
        <w:rPr>
          <w:spacing w:val="-49"/>
        </w:rPr>
        <w:t>）</w:t>
      </w:r>
      <w:r>
        <w:rPr>
          <w:spacing w:val="-9"/>
        </w:rPr>
        <w:t>及其交叉验证；适用于多模态脑成像</w:t>
      </w:r>
      <w:r>
        <w:rPr>
          <w:spacing w:val="-7"/>
        </w:rPr>
        <w:t>数据分析的统计学方法研究</w:t>
      </w:r>
      <w:r>
        <w:rPr>
          <w:spacing w:val="-3"/>
        </w:rPr>
        <w:t>（</w:t>
      </w:r>
      <w:r>
        <w:rPr>
          <w:spacing w:val="-7"/>
        </w:rPr>
        <w:t>如四维时空数据统计建模、纵向数据的</w:t>
      </w:r>
      <w:r>
        <w:rPr>
          <w:spacing w:val="-5"/>
        </w:rPr>
        <w:t>统计分析方法</w:t>
      </w:r>
      <w:r>
        <w:rPr>
          <w:spacing w:val="-3"/>
        </w:rPr>
        <w:t>）</w:t>
      </w:r>
      <w:r>
        <w:rPr/>
        <w:t>。</w:t>
      </w:r>
    </w:p>
    <w:p>
      <w:pPr>
        <w:pStyle w:val="Heading8"/>
        <w:spacing w:line="409" w:lineRule="exact"/>
      </w:pPr>
      <w:r>
        <w:rPr/>
        <w:t>（二）遗传与环境因素对脑疾病功能影像客观表征的调控机制</w:t>
      </w:r>
    </w:p>
    <w:p>
      <w:pPr>
        <w:pStyle w:val="BodyText"/>
        <w:spacing w:line="417" w:lineRule="auto" w:before="214"/>
        <w:ind w:left="780" w:right="1238" w:firstLine="554"/>
      </w:pPr>
      <w:r>
        <w:rPr>
          <w:spacing w:val="-8"/>
        </w:rPr>
        <w:t>遗传因素对脑疾病功能影像客观表征的调控机制；遗传与环境对</w:t>
      </w:r>
      <w:r>
        <w:rPr>
          <w:spacing w:val="-3"/>
        </w:rPr>
        <w:t>脑疾病功能影像客观表征的交互影响；脑基因图谱成像技术。</w:t>
      </w:r>
    </w:p>
    <w:p>
      <w:pPr>
        <w:pStyle w:val="Heading8"/>
        <w:spacing w:line="409" w:lineRule="exact"/>
      </w:pPr>
      <w:r>
        <w:rPr/>
        <w:t>（三）脑疾病功能影像客观表征与认知功能损害的关系</w:t>
      </w:r>
    </w:p>
    <w:p>
      <w:pPr>
        <w:pStyle w:val="BodyText"/>
        <w:spacing w:line="417" w:lineRule="auto" w:before="214"/>
        <w:ind w:left="780" w:right="1236" w:firstLine="554"/>
        <w:jc w:val="both"/>
      </w:pPr>
      <w:r>
        <w:rPr>
          <w:spacing w:val="-5"/>
        </w:rPr>
        <w:t>不同临床表型</w:t>
      </w:r>
      <w:r>
        <w:rPr>
          <w:spacing w:val="-3"/>
        </w:rPr>
        <w:t>（</w:t>
      </w:r>
      <w:r>
        <w:rPr>
          <w:spacing w:val="-6"/>
        </w:rPr>
        <w:t>如幻听、妄想等</w:t>
      </w:r>
      <w:r>
        <w:rPr>
          <w:spacing w:val="-22"/>
        </w:rPr>
        <w:t>）</w:t>
      </w:r>
      <w:r>
        <w:rPr>
          <w:spacing w:val="-6"/>
        </w:rPr>
        <w:t>的功能影像客观表征；不同类</w:t>
      </w:r>
      <w:r>
        <w:rPr>
          <w:spacing w:val="-8"/>
        </w:rPr>
        <w:t>型脑疾病功能影像客观表征的一致性和特异性；脑疾病功能影像客观</w:t>
      </w:r>
      <w:r>
        <w:rPr>
          <w:spacing w:val="-5"/>
        </w:rPr>
        <w:t>表征与认知功能损害的关系。</w:t>
      </w:r>
    </w:p>
    <w:p>
      <w:pPr>
        <w:pStyle w:val="Heading8"/>
        <w:spacing w:line="410" w:lineRule="exact"/>
      </w:pPr>
      <w:r>
        <w:rPr/>
        <w:t>（四）脑疾病功能影像客观表征临床转化的关键问题</w:t>
      </w:r>
    </w:p>
    <w:p>
      <w:pPr>
        <w:pStyle w:val="BodyText"/>
        <w:spacing w:line="417" w:lineRule="auto" w:before="214"/>
        <w:ind w:left="780" w:right="1178" w:firstLine="511"/>
      </w:pPr>
      <w:r>
        <w:rPr/>
        <w:t>脑功能成像诊断信息的标准化；脑疾病功能影像客观表征的动态演变规律；脑疾病治疗的关键靶点定位。</w:t>
      </w:r>
    </w:p>
    <w:p>
      <w:pPr>
        <w:spacing w:after="0" w:line="417" w:lineRule="auto"/>
        <w:sectPr>
          <w:pgSz w:w="11910" w:h="16840"/>
          <w:pgMar w:header="0" w:footer="1035" w:top="1520" w:bottom="1300" w:left="1020" w:right="560"/>
        </w:sectPr>
      </w:pPr>
    </w:p>
    <w:p>
      <w:pPr>
        <w:pStyle w:val="Heading1"/>
        <w:spacing w:line="709" w:lineRule="exact"/>
      </w:pPr>
      <w:bookmarkStart w:name="_TOC_250004" w:id="23"/>
      <w:bookmarkEnd w:id="23"/>
      <w:r>
        <w:rPr/>
        <w:t>附件四：新闻稿样稿</w:t>
      </w:r>
    </w:p>
    <w:p>
      <w:pPr>
        <w:pStyle w:val="BodyText"/>
        <w:rPr>
          <w:rFonts w:ascii="黑体"/>
          <w:b/>
          <w:sz w:val="56"/>
        </w:rPr>
      </w:pPr>
    </w:p>
    <w:p>
      <w:pPr>
        <w:pStyle w:val="BodyText"/>
        <w:spacing w:before="2"/>
        <w:rPr>
          <w:rFonts w:ascii="黑体"/>
          <w:b/>
          <w:sz w:val="48"/>
        </w:rPr>
      </w:pPr>
    </w:p>
    <w:p>
      <w:pPr>
        <w:pStyle w:val="Heading4"/>
        <w:spacing w:line="326" w:lineRule="auto"/>
        <w:ind w:left="3668" w:right="1238" w:hanging="2888"/>
        <w:jc w:val="left"/>
        <w:rPr>
          <w:rFonts w:ascii="黑体" w:hAnsi="黑体" w:eastAsia="黑体" w:hint="eastAsia"/>
        </w:rPr>
      </w:pPr>
      <w:r>
        <w:rPr>
          <w:rFonts w:ascii="黑体" w:hAnsi="黑体" w:eastAsia="黑体" w:hint="eastAsia"/>
          <w:spacing w:val="-49"/>
        </w:rPr>
        <w:t>第 </w:t>
      </w:r>
      <w:r>
        <w:rPr>
          <w:rFonts w:ascii="黑体" w:hAnsi="黑体" w:eastAsia="黑体" w:hint="eastAsia"/>
        </w:rPr>
        <w:t>248</w:t>
      </w:r>
      <w:r>
        <w:rPr>
          <w:rFonts w:ascii="黑体" w:hAnsi="黑体" w:eastAsia="黑体" w:hint="eastAsia"/>
          <w:spacing w:val="-12"/>
        </w:rPr>
        <w:t> 期双清论坛“复合材料构件制造关键基础科学</w:t>
      </w:r>
      <w:r>
        <w:rPr>
          <w:rFonts w:ascii="黑体" w:hAnsi="黑体" w:eastAsia="黑体" w:hint="eastAsia"/>
        </w:rPr>
        <w:t>问题”在京召开</w:t>
      </w:r>
    </w:p>
    <w:p>
      <w:pPr>
        <w:pStyle w:val="BodyText"/>
        <w:spacing w:before="12"/>
        <w:rPr>
          <w:rFonts w:ascii="黑体"/>
          <w:b/>
          <w:sz w:val="45"/>
        </w:rPr>
      </w:pPr>
    </w:p>
    <w:p>
      <w:pPr>
        <w:pStyle w:val="Heading7"/>
        <w:ind w:left="1421"/>
        <w:jc w:val="both"/>
      </w:pPr>
      <w:r>
        <w:rPr/>
        <w:t>2019 年 11 月 18-19 日，国家自然科学基金委员会（以</w:t>
      </w:r>
    </w:p>
    <w:p>
      <w:pPr>
        <w:spacing w:line="364" w:lineRule="auto" w:before="214"/>
        <w:ind w:left="780" w:right="1226" w:firstLine="0"/>
        <w:jc w:val="both"/>
        <w:rPr>
          <w:sz w:val="32"/>
        </w:rPr>
      </w:pPr>
      <w:r>
        <w:rPr>
          <w:sz w:val="32"/>
        </w:rPr>
        <w:t>下简称自然科学基金委</w:t>
      </w:r>
      <w:r>
        <w:rPr>
          <w:spacing w:val="-5"/>
          <w:sz w:val="32"/>
        </w:rPr>
        <w:t>）</w:t>
      </w:r>
      <w:r>
        <w:rPr>
          <w:spacing w:val="-41"/>
          <w:sz w:val="32"/>
        </w:rPr>
        <w:t>第 </w:t>
      </w:r>
      <w:r>
        <w:rPr>
          <w:sz w:val="32"/>
        </w:rPr>
        <w:t>248</w:t>
      </w:r>
      <w:r>
        <w:rPr>
          <w:spacing w:val="-11"/>
          <w:sz w:val="32"/>
        </w:rPr>
        <w:t> 期双清论坛“复合材料构件制造关键基础科学问题”在北京召开。论坛由自然科学基金</w:t>
      </w:r>
      <w:r>
        <w:rPr>
          <w:spacing w:val="-12"/>
          <w:sz w:val="32"/>
        </w:rPr>
        <w:t>委工程与材料科学部、数学物理科学部和政策局联合主办， </w:t>
      </w:r>
      <w:r>
        <w:rPr>
          <w:spacing w:val="-2"/>
          <w:sz w:val="32"/>
        </w:rPr>
        <w:t>大连理工大学承办。论坛执行主席由杜善义院士、侯晓院士</w:t>
      </w:r>
      <w:r>
        <w:rPr>
          <w:spacing w:val="-4"/>
          <w:sz w:val="32"/>
        </w:rPr>
        <w:t>和贾振元教授共同担任。自然科学基金委党组成员、副主任</w:t>
      </w:r>
      <w:r>
        <w:rPr>
          <w:spacing w:val="-5"/>
          <w:sz w:val="32"/>
        </w:rPr>
        <w:t>陆建华院士出席论坛并致辞，来自机械、材料、力学等多个</w:t>
      </w:r>
      <w:r>
        <w:rPr>
          <w:spacing w:val="-6"/>
          <w:sz w:val="32"/>
        </w:rPr>
        <w:t>学科领域的 </w:t>
      </w:r>
      <w:r>
        <w:rPr>
          <w:sz w:val="32"/>
        </w:rPr>
        <w:t>40</w:t>
      </w:r>
      <w:r>
        <w:rPr>
          <w:spacing w:val="-3"/>
          <w:sz w:val="32"/>
        </w:rPr>
        <w:t> 余位高校、航天航空行业代表参加了此次论坛。</w:t>
      </w:r>
    </w:p>
    <w:p>
      <w:pPr>
        <w:spacing w:line="364" w:lineRule="auto" w:before="7"/>
        <w:ind w:left="780" w:right="1236" w:firstLine="640"/>
        <w:jc w:val="both"/>
        <w:rPr>
          <w:sz w:val="32"/>
        </w:rPr>
      </w:pPr>
      <w:r>
        <w:rPr>
          <w:spacing w:val="-2"/>
          <w:sz w:val="32"/>
        </w:rPr>
        <w:t>复合材料构件的高性能、高效率、一致性制造对提升我</w:t>
      </w:r>
      <w:r>
        <w:rPr>
          <w:spacing w:val="10"/>
          <w:w w:val="95"/>
          <w:sz w:val="32"/>
        </w:rPr>
        <w:t>国装备性能和制造技术水平以及维护国家安全具有重要战 </w:t>
      </w:r>
      <w:r>
        <w:rPr>
          <w:spacing w:val="-1"/>
          <w:sz w:val="32"/>
        </w:rPr>
        <w:t>略意义。论坛围绕“面向构件设计性能的复合材料构件形性</w:t>
      </w:r>
      <w:r>
        <w:rPr>
          <w:spacing w:val="-2"/>
          <w:sz w:val="32"/>
        </w:rPr>
        <w:t>协同成型原理”“多材料体系下复合材料构件高质高效加工</w:t>
      </w:r>
      <w:r>
        <w:rPr>
          <w:spacing w:val="-4"/>
          <w:sz w:val="32"/>
        </w:rPr>
        <w:t>理论”“复合材料制造缺陷的快速精准检测原理”“复合材料构件使役性能的准确评估与分析方法”和“高性能、多功</w:t>
      </w:r>
      <w:r>
        <w:rPr>
          <w:spacing w:val="-6"/>
          <w:sz w:val="32"/>
        </w:rPr>
        <w:t>能的新型复合材料增材制造与应用”五个议题，安排了 </w:t>
      </w:r>
      <w:r>
        <w:rPr>
          <w:sz w:val="32"/>
        </w:rPr>
        <w:t>6</w:t>
      </w:r>
      <w:r>
        <w:rPr>
          <w:spacing w:val="-48"/>
          <w:sz w:val="32"/>
        </w:rPr>
        <w:t> 个</w:t>
      </w:r>
    </w:p>
    <w:p>
      <w:pPr>
        <w:spacing w:after="0" w:line="364" w:lineRule="auto"/>
        <w:jc w:val="both"/>
        <w:rPr>
          <w:sz w:val="32"/>
        </w:rPr>
        <w:sectPr>
          <w:pgSz w:w="11910" w:h="16840"/>
          <w:pgMar w:header="0" w:footer="1035" w:top="1540" w:bottom="1300" w:left="1020" w:right="560"/>
        </w:sectPr>
      </w:pPr>
    </w:p>
    <w:p>
      <w:pPr>
        <w:spacing w:line="364" w:lineRule="auto" w:before="27"/>
        <w:ind w:left="780" w:right="1239" w:firstLine="0"/>
        <w:jc w:val="both"/>
        <w:rPr>
          <w:sz w:val="32"/>
        </w:rPr>
      </w:pPr>
      <w:r>
        <w:rPr>
          <w:spacing w:val="-2"/>
          <w:sz w:val="32"/>
        </w:rPr>
        <w:t>主题报告和 </w:t>
      </w:r>
      <w:r>
        <w:rPr>
          <w:sz w:val="32"/>
        </w:rPr>
        <w:t>28</w:t>
      </w:r>
      <w:r>
        <w:rPr>
          <w:spacing w:val="-4"/>
          <w:sz w:val="32"/>
        </w:rPr>
        <w:t> 个专题报告。与会专家对议题进行了深入研</w:t>
      </w:r>
      <w:r>
        <w:rPr>
          <w:spacing w:val="-5"/>
          <w:sz w:val="32"/>
        </w:rPr>
        <w:t>讨，梳理了复材构件制造基础与工程应用的现状、发展趋势</w:t>
      </w:r>
      <w:r>
        <w:rPr>
          <w:spacing w:val="10"/>
          <w:w w:val="95"/>
          <w:sz w:val="32"/>
        </w:rPr>
        <w:t>及面临的挑战，凝练了亟需关注和解决的关键基础科学问 </w:t>
      </w:r>
      <w:r>
        <w:rPr>
          <w:spacing w:val="10"/>
          <w:sz w:val="32"/>
        </w:rPr>
        <w:t>题。</w:t>
      </w:r>
    </w:p>
    <w:p>
      <w:pPr>
        <w:spacing w:line="364" w:lineRule="auto" w:before="3"/>
        <w:ind w:left="780" w:right="1080" w:firstLine="640"/>
        <w:jc w:val="left"/>
        <w:rPr>
          <w:sz w:val="32"/>
        </w:rPr>
      </w:pPr>
      <w:r>
        <w:rPr>
          <w:spacing w:val="-14"/>
          <w:sz w:val="32"/>
        </w:rPr>
        <w:t>与会专家一致认为，超前部署复合材料构件成形、加工、</w:t>
      </w:r>
      <w:r>
        <w:rPr>
          <w:spacing w:val="-1"/>
          <w:sz w:val="32"/>
        </w:rPr>
        <w:t>缺陷检测与性能评估等方面的基础研究，加强技术自主创新</w:t>
      </w:r>
      <w:r>
        <w:rPr>
          <w:spacing w:val="-3"/>
          <w:sz w:val="32"/>
        </w:rPr>
        <w:t>及装备研发，对解决我国复材构件制造“卡脖子”难题意义</w:t>
      </w:r>
      <w:r>
        <w:rPr>
          <w:spacing w:val="-5"/>
          <w:sz w:val="32"/>
        </w:rPr>
        <w:t>重大。专家们一致表示，期待自然科学基金委在顶层设计和队伍组织方面能发挥更大的作用，建立多学科融合平台，助力实现我国复材构件制造技术的跨越式发展。</w:t>
      </w:r>
    </w:p>
    <w:p>
      <w:pPr>
        <w:spacing w:line="364" w:lineRule="auto" w:before="5"/>
        <w:ind w:left="780" w:right="1238" w:firstLine="640"/>
        <w:jc w:val="both"/>
        <w:rPr>
          <w:sz w:val="32"/>
        </w:rPr>
      </w:pPr>
      <w:r>
        <w:rPr>
          <w:spacing w:val="-2"/>
          <w:sz w:val="32"/>
        </w:rPr>
        <w:t>自然科学基金委工程与材料科学部黎明常务副主任，工</w:t>
      </w:r>
      <w:r>
        <w:rPr>
          <w:spacing w:val="-3"/>
          <w:sz w:val="32"/>
        </w:rPr>
        <w:t>程与材料科学部、数学物理科学部和政策局相关工作人员参</w:t>
      </w:r>
      <w:r>
        <w:rPr>
          <w:sz w:val="32"/>
        </w:rPr>
        <w:t>加论坛。</w:t>
      </w:r>
    </w:p>
    <w:p>
      <w:pPr>
        <w:spacing w:after="0" w:line="364" w:lineRule="auto"/>
        <w:jc w:val="both"/>
        <w:rPr>
          <w:sz w:val="32"/>
        </w:rPr>
        <w:sectPr>
          <w:pgSz w:w="11910" w:h="16840"/>
          <w:pgMar w:header="0" w:footer="1035" w:top="1500" w:bottom="1300" w:left="1020" w:right="560"/>
        </w:sectPr>
      </w:pPr>
    </w:p>
    <w:p>
      <w:pPr>
        <w:spacing w:line="709" w:lineRule="exact" w:before="0"/>
        <w:ind w:left="780" w:right="0" w:firstLine="0"/>
        <w:jc w:val="left"/>
        <w:rPr>
          <w:rFonts w:ascii="黑体" w:eastAsia="黑体" w:hint="eastAsia"/>
          <w:b/>
          <w:sz w:val="56"/>
        </w:rPr>
      </w:pPr>
      <w:bookmarkStart w:name="_TOC_250003" w:id="24"/>
      <w:bookmarkEnd w:id="24"/>
      <w:r>
        <w:rPr>
          <w:rFonts w:ascii="黑体" w:eastAsia="黑体" w:hint="eastAsia"/>
          <w:b/>
          <w:sz w:val="56"/>
        </w:rPr>
        <w:t>附件五：财务报销材料样稿</w:t>
      </w:r>
    </w:p>
    <w:p>
      <w:pPr>
        <w:pStyle w:val="BodyText"/>
        <w:spacing w:before="8"/>
        <w:rPr>
          <w:rFonts w:ascii="黑体"/>
          <w:b/>
          <w:sz w:val="81"/>
        </w:rPr>
      </w:pPr>
    </w:p>
    <w:p>
      <w:pPr>
        <w:spacing w:before="0"/>
        <w:ind w:left="780" w:right="0" w:firstLine="0"/>
        <w:jc w:val="left"/>
        <w:rPr>
          <w:b/>
          <w:sz w:val="32"/>
        </w:rPr>
      </w:pPr>
      <w:bookmarkStart w:name="_TOC_250002" w:id="25"/>
      <w:r>
        <w:rPr>
          <w:rFonts w:ascii="Times New Roman" w:eastAsia="Times New Roman"/>
          <w:b/>
          <w:sz w:val="32"/>
        </w:rPr>
        <w:t>1</w:t>
      </w:r>
      <w:bookmarkEnd w:id="25"/>
      <w:r>
        <w:rPr>
          <w:b/>
          <w:sz w:val="32"/>
        </w:rPr>
        <w:t>、发票（请填写单位名称和纳税人识别号）</w:t>
      </w:r>
    </w:p>
    <w:p>
      <w:pPr>
        <w:pStyle w:val="BodyText"/>
        <w:rPr>
          <w:b/>
          <w:sz w:val="20"/>
        </w:rPr>
      </w:pPr>
    </w:p>
    <w:p>
      <w:pPr>
        <w:pStyle w:val="BodyText"/>
        <w:spacing w:before="10"/>
        <w:rPr>
          <w:b/>
          <w:sz w:val="10"/>
        </w:rPr>
      </w:pPr>
      <w:r>
        <w:rPr/>
        <w:drawing>
          <wp:anchor distT="0" distB="0" distL="0" distR="0" allowOverlap="1" layoutInCell="1" locked="0" behindDoc="0" simplePos="0" relativeHeight="14">
            <wp:simplePos x="0" y="0"/>
            <wp:positionH relativeFrom="page">
              <wp:posOffset>1245235</wp:posOffset>
            </wp:positionH>
            <wp:positionV relativeFrom="paragraph">
              <wp:posOffset>112672</wp:posOffset>
            </wp:positionV>
            <wp:extent cx="5253510" cy="3074670"/>
            <wp:effectExtent l="0" t="0" r="0" b="0"/>
            <wp:wrapTopAndBottom/>
            <wp:docPr id="5" name="image4.jpeg" descr="D:\user\Desktop\2018\双清论坛\双清论坛会前准备材料\双清论坛结算材料\发票样式.jpg"/>
            <wp:cNvGraphicFramePr>
              <a:graphicFrameLocks noChangeAspect="1"/>
            </wp:cNvGraphicFramePr>
            <a:graphic>
              <a:graphicData uri="http://schemas.openxmlformats.org/drawingml/2006/picture">
                <pic:pic>
                  <pic:nvPicPr>
                    <pic:cNvPr id="6" name="image4.jpeg"/>
                    <pic:cNvPicPr/>
                  </pic:nvPicPr>
                  <pic:blipFill>
                    <a:blip r:embed="rId11" cstate="print"/>
                    <a:stretch>
                      <a:fillRect/>
                    </a:stretch>
                  </pic:blipFill>
                  <pic:spPr>
                    <a:xfrm>
                      <a:off x="0" y="0"/>
                      <a:ext cx="5253510" cy="3074670"/>
                    </a:xfrm>
                    <a:prstGeom prst="rect">
                      <a:avLst/>
                    </a:prstGeom>
                  </pic:spPr>
                </pic:pic>
              </a:graphicData>
            </a:graphic>
          </wp:anchor>
        </w:drawing>
      </w:r>
    </w:p>
    <w:p>
      <w:pPr>
        <w:pStyle w:val="BodyText"/>
        <w:rPr>
          <w:b/>
          <w:sz w:val="20"/>
        </w:rPr>
      </w:pPr>
    </w:p>
    <w:p>
      <w:pPr>
        <w:pStyle w:val="BodyText"/>
        <w:rPr>
          <w:b/>
          <w:sz w:val="20"/>
        </w:rPr>
      </w:pPr>
    </w:p>
    <w:p>
      <w:pPr>
        <w:pStyle w:val="BodyText"/>
        <w:spacing w:before="1"/>
        <w:rPr>
          <w:b/>
          <w:sz w:val="17"/>
        </w:rPr>
      </w:pPr>
    </w:p>
    <w:p>
      <w:pPr>
        <w:spacing w:line="364" w:lineRule="auto" w:before="55"/>
        <w:ind w:left="941" w:right="2317" w:firstLine="0"/>
        <w:jc w:val="left"/>
        <w:rPr>
          <w:rFonts w:ascii="Times New Roman" w:eastAsia="Times New Roman"/>
          <w:b/>
          <w:sz w:val="32"/>
        </w:rPr>
      </w:pPr>
      <w:r>
        <w:rPr>
          <w:rFonts w:ascii="仿宋" w:eastAsia="仿宋" w:hint="eastAsia"/>
          <w:b/>
          <w:sz w:val="32"/>
        </w:rPr>
        <w:t>单位名称：国家自然科学基金委员会机关服务中心纳税人识别号：</w:t>
      </w:r>
      <w:r>
        <w:rPr>
          <w:rFonts w:ascii="Times New Roman" w:eastAsia="Times New Roman"/>
          <w:b/>
          <w:sz w:val="32"/>
        </w:rPr>
        <w:t>12100000400018023R</w:t>
      </w:r>
    </w:p>
    <w:p>
      <w:pPr>
        <w:spacing w:after="0" w:line="364" w:lineRule="auto"/>
        <w:jc w:val="left"/>
        <w:rPr>
          <w:rFonts w:ascii="Times New Roman" w:eastAsia="Times New Roman"/>
          <w:sz w:val="32"/>
        </w:rPr>
        <w:sectPr>
          <w:pgSz w:w="11910" w:h="16840"/>
          <w:pgMar w:header="0" w:footer="1035" w:top="1540" w:bottom="1300" w:left="1020" w:right="560"/>
        </w:sectPr>
      </w:pPr>
    </w:p>
    <w:p>
      <w:pPr>
        <w:spacing w:before="49"/>
        <w:ind w:left="780" w:right="0" w:firstLine="0"/>
        <w:jc w:val="left"/>
        <w:rPr>
          <w:b/>
          <w:sz w:val="32"/>
        </w:rPr>
      </w:pPr>
      <w:r>
        <w:rPr>
          <w:rFonts w:ascii="Times New Roman" w:eastAsia="Times New Roman"/>
          <w:b/>
          <w:sz w:val="32"/>
        </w:rPr>
        <w:t>2</w:t>
      </w:r>
      <w:r>
        <w:rPr>
          <w:b/>
          <w:sz w:val="32"/>
        </w:rPr>
        <w:t>、会议支出的详细清单</w:t>
      </w:r>
    </w:p>
    <w:p>
      <w:pPr>
        <w:pStyle w:val="BodyText"/>
        <w:rPr>
          <w:b/>
          <w:sz w:val="20"/>
        </w:rPr>
      </w:pPr>
    </w:p>
    <w:p>
      <w:pPr>
        <w:pStyle w:val="BodyText"/>
        <w:spacing w:before="3"/>
        <w:rPr>
          <w:b/>
          <w:sz w:val="13"/>
        </w:rPr>
      </w:pPr>
      <w:r>
        <w:rPr/>
        <w:drawing>
          <wp:anchor distT="0" distB="0" distL="0" distR="0" allowOverlap="1" layoutInCell="1" locked="0" behindDoc="0" simplePos="0" relativeHeight="15">
            <wp:simplePos x="0" y="0"/>
            <wp:positionH relativeFrom="page">
              <wp:posOffset>1246670</wp:posOffset>
            </wp:positionH>
            <wp:positionV relativeFrom="paragraph">
              <wp:posOffset>132937</wp:posOffset>
            </wp:positionV>
            <wp:extent cx="5029428" cy="6684264"/>
            <wp:effectExtent l="0" t="0" r="0" b="0"/>
            <wp:wrapTopAndBottom/>
            <wp:docPr id="7" name="image5.png" descr="D:\user\Desktop\2018\双清论坛\双清论坛会前准备材料\双清论坛结算材料\会场清单.jpg"/>
            <wp:cNvGraphicFramePr>
              <a:graphicFrameLocks noChangeAspect="1"/>
            </wp:cNvGraphicFramePr>
            <a:graphic>
              <a:graphicData uri="http://schemas.openxmlformats.org/drawingml/2006/picture">
                <pic:pic>
                  <pic:nvPicPr>
                    <pic:cNvPr id="8" name="image5.png"/>
                    <pic:cNvPicPr/>
                  </pic:nvPicPr>
                  <pic:blipFill>
                    <a:blip r:embed="rId12" cstate="print"/>
                    <a:stretch>
                      <a:fillRect/>
                    </a:stretch>
                  </pic:blipFill>
                  <pic:spPr>
                    <a:xfrm>
                      <a:off x="0" y="0"/>
                      <a:ext cx="5029428" cy="6684264"/>
                    </a:xfrm>
                    <a:prstGeom prst="rect">
                      <a:avLst/>
                    </a:prstGeom>
                  </pic:spPr>
                </pic:pic>
              </a:graphicData>
            </a:graphic>
          </wp:anchor>
        </w:drawing>
      </w:r>
    </w:p>
    <w:p>
      <w:pPr>
        <w:spacing w:after="0"/>
        <w:rPr>
          <w:sz w:val="13"/>
        </w:rPr>
        <w:sectPr>
          <w:pgSz w:w="11910" w:h="16840"/>
          <w:pgMar w:header="0" w:footer="1035" w:top="1480" w:bottom="1300" w:left="1020" w:right="560"/>
        </w:sectPr>
      </w:pPr>
    </w:p>
    <w:p>
      <w:pPr>
        <w:pStyle w:val="BodyText"/>
        <w:ind w:left="780"/>
        <w:rPr>
          <w:sz w:val="20"/>
        </w:rPr>
      </w:pPr>
      <w:r>
        <w:rPr>
          <w:sz w:val="20"/>
        </w:rPr>
        <w:drawing>
          <wp:inline distT="0" distB="0" distL="0" distR="0">
            <wp:extent cx="5143814" cy="6839711"/>
            <wp:effectExtent l="0" t="0" r="0" b="0"/>
            <wp:docPr id="9" name="image6.png" descr="D:\user\Desktop\2018\双清论坛\双清论坛会前准备材料\双清论坛结算材料\餐饮结算清单.jpg"/>
            <wp:cNvGraphicFramePr>
              <a:graphicFrameLocks noChangeAspect="1"/>
            </wp:cNvGraphicFramePr>
            <a:graphic>
              <a:graphicData uri="http://schemas.openxmlformats.org/drawingml/2006/picture">
                <pic:pic>
                  <pic:nvPicPr>
                    <pic:cNvPr id="10" name="image6.png"/>
                    <pic:cNvPicPr/>
                  </pic:nvPicPr>
                  <pic:blipFill>
                    <a:blip r:embed="rId13" cstate="print"/>
                    <a:stretch>
                      <a:fillRect/>
                    </a:stretch>
                  </pic:blipFill>
                  <pic:spPr>
                    <a:xfrm>
                      <a:off x="0" y="0"/>
                      <a:ext cx="5143814" cy="6839711"/>
                    </a:xfrm>
                    <a:prstGeom prst="rect">
                      <a:avLst/>
                    </a:prstGeom>
                  </pic:spPr>
                </pic:pic>
              </a:graphicData>
            </a:graphic>
          </wp:inline>
        </w:drawing>
      </w:r>
      <w:r>
        <w:rPr>
          <w:sz w:val="20"/>
        </w:rPr>
      </w:r>
    </w:p>
    <w:p>
      <w:pPr>
        <w:spacing w:after="0"/>
        <w:rPr>
          <w:sz w:val="20"/>
        </w:rPr>
        <w:sectPr>
          <w:pgSz w:w="11910" w:h="16840"/>
          <w:pgMar w:header="0" w:footer="1035" w:top="1560" w:bottom="1220" w:left="1020" w:right="560"/>
        </w:sectPr>
      </w:pPr>
    </w:p>
    <w:p>
      <w:pPr>
        <w:pStyle w:val="BodyText"/>
        <w:ind w:left="780"/>
        <w:rPr>
          <w:sz w:val="20"/>
        </w:rPr>
      </w:pPr>
      <w:r>
        <w:rPr>
          <w:sz w:val="20"/>
        </w:rPr>
        <w:drawing>
          <wp:inline distT="0" distB="0" distL="0" distR="0">
            <wp:extent cx="5189981" cy="4560570"/>
            <wp:effectExtent l="0" t="0" r="0" b="0"/>
            <wp:docPr id="11" name="image7.jpeg" descr="D:\user\Desktop\2018\双清论坛\双清论坛会前准备材料\双清论坛结算材料\会议结算清单.jpg"/>
            <wp:cNvGraphicFramePr>
              <a:graphicFrameLocks noChangeAspect="1"/>
            </wp:cNvGraphicFramePr>
            <a:graphic>
              <a:graphicData uri="http://schemas.openxmlformats.org/drawingml/2006/picture">
                <pic:pic>
                  <pic:nvPicPr>
                    <pic:cNvPr id="12" name="image7.jpeg"/>
                    <pic:cNvPicPr/>
                  </pic:nvPicPr>
                  <pic:blipFill>
                    <a:blip r:embed="rId14" cstate="print"/>
                    <a:stretch>
                      <a:fillRect/>
                    </a:stretch>
                  </pic:blipFill>
                  <pic:spPr>
                    <a:xfrm>
                      <a:off x="0" y="0"/>
                      <a:ext cx="5189981" cy="4560570"/>
                    </a:xfrm>
                    <a:prstGeom prst="rect">
                      <a:avLst/>
                    </a:prstGeom>
                  </pic:spPr>
                </pic:pic>
              </a:graphicData>
            </a:graphic>
          </wp:inline>
        </w:drawing>
      </w:r>
      <w:r>
        <w:rPr>
          <w:sz w:val="20"/>
        </w:rPr>
      </w:r>
    </w:p>
    <w:p>
      <w:pPr>
        <w:spacing w:after="0"/>
        <w:rPr>
          <w:sz w:val="20"/>
        </w:rPr>
        <w:sectPr>
          <w:pgSz w:w="11910" w:h="16840"/>
          <w:pgMar w:header="0" w:footer="1035" w:top="1520" w:bottom="1220" w:left="1020" w:right="560"/>
        </w:sectPr>
      </w:pPr>
    </w:p>
    <w:p>
      <w:pPr>
        <w:spacing w:before="49"/>
        <w:ind w:left="780" w:right="0" w:firstLine="0"/>
        <w:jc w:val="left"/>
        <w:rPr>
          <w:b/>
          <w:sz w:val="32"/>
        </w:rPr>
      </w:pPr>
      <w:bookmarkStart w:name="_TOC_250001" w:id="26"/>
      <w:r>
        <w:rPr>
          <w:rFonts w:ascii="Times New Roman" w:eastAsia="Times New Roman"/>
          <w:b/>
          <w:sz w:val="32"/>
        </w:rPr>
        <w:t>3</w:t>
      </w:r>
      <w:bookmarkEnd w:id="26"/>
      <w:r>
        <w:rPr>
          <w:b/>
          <w:sz w:val="32"/>
        </w:rPr>
        <w:t>、政府采购电子结算单</w:t>
      </w:r>
    </w:p>
    <w:p>
      <w:pPr>
        <w:pStyle w:val="BodyText"/>
        <w:rPr>
          <w:b/>
          <w:sz w:val="20"/>
        </w:rPr>
      </w:pPr>
    </w:p>
    <w:p>
      <w:pPr>
        <w:pStyle w:val="BodyText"/>
        <w:spacing w:before="9"/>
        <w:rPr>
          <w:b/>
          <w:sz w:val="10"/>
        </w:rPr>
      </w:pPr>
      <w:r>
        <w:rPr/>
        <w:drawing>
          <wp:anchor distT="0" distB="0" distL="0" distR="0" allowOverlap="1" layoutInCell="1" locked="0" behindDoc="0" simplePos="0" relativeHeight="16">
            <wp:simplePos x="0" y="0"/>
            <wp:positionH relativeFrom="page">
              <wp:posOffset>1143000</wp:posOffset>
            </wp:positionH>
            <wp:positionV relativeFrom="paragraph">
              <wp:posOffset>111982</wp:posOffset>
            </wp:positionV>
            <wp:extent cx="4849444" cy="8077009"/>
            <wp:effectExtent l="0" t="0" r="0" b="0"/>
            <wp:wrapTopAndBottom/>
            <wp:docPr id="13" name="image8.jpeg" descr="D:\user\Desktop\2018\双清论坛\双清论坛会前准备材料\双清论坛结算材料\电子结算单.jpg"/>
            <wp:cNvGraphicFramePr>
              <a:graphicFrameLocks noChangeAspect="1"/>
            </wp:cNvGraphicFramePr>
            <a:graphic>
              <a:graphicData uri="http://schemas.openxmlformats.org/drawingml/2006/picture">
                <pic:pic>
                  <pic:nvPicPr>
                    <pic:cNvPr id="14" name="image8.jpeg"/>
                    <pic:cNvPicPr/>
                  </pic:nvPicPr>
                  <pic:blipFill>
                    <a:blip r:embed="rId15" cstate="print"/>
                    <a:stretch>
                      <a:fillRect/>
                    </a:stretch>
                  </pic:blipFill>
                  <pic:spPr>
                    <a:xfrm>
                      <a:off x="0" y="0"/>
                      <a:ext cx="4849444" cy="8077009"/>
                    </a:xfrm>
                    <a:prstGeom prst="rect">
                      <a:avLst/>
                    </a:prstGeom>
                  </pic:spPr>
                </pic:pic>
              </a:graphicData>
            </a:graphic>
          </wp:anchor>
        </w:drawing>
      </w:r>
    </w:p>
    <w:p>
      <w:pPr>
        <w:spacing w:after="0"/>
        <w:rPr>
          <w:sz w:val="10"/>
        </w:rPr>
        <w:sectPr>
          <w:pgSz w:w="11910" w:h="16840"/>
          <w:pgMar w:header="0" w:footer="1035" w:top="1480" w:bottom="1220" w:left="1020" w:right="560"/>
        </w:sectPr>
      </w:pPr>
    </w:p>
    <w:p>
      <w:pPr>
        <w:spacing w:line="709" w:lineRule="exact" w:before="0"/>
        <w:ind w:left="780" w:right="0" w:firstLine="0"/>
        <w:jc w:val="left"/>
        <w:rPr>
          <w:rFonts w:ascii="黑体" w:eastAsia="黑体" w:hint="eastAsia"/>
          <w:b/>
          <w:sz w:val="56"/>
        </w:rPr>
      </w:pPr>
      <w:bookmarkStart w:name="_TOC_250000" w:id="27"/>
      <w:bookmarkEnd w:id="27"/>
      <w:r>
        <w:rPr>
          <w:rFonts w:ascii="黑体" w:eastAsia="黑体" w:hint="eastAsia"/>
          <w:b/>
          <w:sz w:val="56"/>
        </w:rPr>
        <w:t>附件六：简报样稿</w:t>
      </w:r>
    </w:p>
    <w:p>
      <w:pPr>
        <w:pStyle w:val="BodyText"/>
        <w:spacing w:before="1"/>
        <w:rPr>
          <w:rFonts w:ascii="黑体"/>
          <w:b/>
          <w:sz w:val="53"/>
        </w:rPr>
      </w:pPr>
    </w:p>
    <w:p>
      <w:pPr>
        <w:spacing w:line="235" w:lineRule="auto" w:before="0"/>
        <w:ind w:left="2412" w:right="2873" w:firstLine="360"/>
        <w:jc w:val="left"/>
        <w:rPr>
          <w:rFonts w:ascii="方正小标宋简体" w:eastAsia="方正小标宋简体" w:hint="eastAsia"/>
          <w:sz w:val="36"/>
        </w:rPr>
      </w:pPr>
      <w:r>
        <w:rPr>
          <w:rFonts w:ascii="方正小标宋简体" w:eastAsia="方正小标宋简体" w:hint="eastAsia"/>
          <w:sz w:val="36"/>
        </w:rPr>
        <w:t>科学基金聚焦关键科学问题 </w:t>
      </w:r>
      <w:r>
        <w:rPr>
          <w:rFonts w:ascii="方正小标宋简体" w:eastAsia="方正小标宋简体" w:hint="eastAsia"/>
          <w:spacing w:val="-2"/>
          <w:sz w:val="36"/>
        </w:rPr>
        <w:t>推动环境污染影响健康前沿研究</w:t>
      </w:r>
    </w:p>
    <w:p>
      <w:pPr>
        <w:pStyle w:val="BodyText"/>
        <w:spacing w:before="8"/>
        <w:rPr>
          <w:rFonts w:ascii="方正小标宋简体"/>
          <w:sz w:val="42"/>
        </w:rPr>
      </w:pPr>
    </w:p>
    <w:p>
      <w:pPr>
        <w:pStyle w:val="BodyText"/>
        <w:spacing w:line="417" w:lineRule="auto"/>
        <w:ind w:left="780" w:right="1234" w:firstLine="559"/>
        <w:jc w:val="both"/>
      </w:pPr>
      <w:r>
        <w:rPr>
          <w:spacing w:val="-10"/>
        </w:rPr>
        <w:t>本文提要：环境污染对健康的影响日益成为社会关注的热点。国</w:t>
      </w:r>
      <w:r>
        <w:rPr>
          <w:spacing w:val="-12"/>
        </w:rPr>
        <w:t>家自然科学基金委员会</w:t>
      </w:r>
      <w:r>
        <w:rPr/>
        <w:t>（</w:t>
      </w:r>
      <w:r>
        <w:rPr>
          <w:spacing w:val="-3"/>
        </w:rPr>
        <w:t>以下简称自然科学基金委</w:t>
      </w:r>
      <w:r>
        <w:rPr>
          <w:spacing w:val="-49"/>
        </w:rPr>
        <w:t>）</w:t>
      </w:r>
      <w:r>
        <w:rPr>
          <w:spacing w:val="-5"/>
        </w:rPr>
        <w:t>近期举办了主题</w:t>
      </w:r>
      <w:r>
        <w:rPr/>
        <w:t>为</w:t>
      </w:r>
      <w:r>
        <w:rPr>
          <w:rFonts w:ascii="Times New Roman" w:hAnsi="Times New Roman" w:eastAsia="Times New Roman"/>
          <w:spacing w:val="-5"/>
        </w:rPr>
        <w:t>“</w:t>
      </w:r>
      <w:r>
        <w:rPr>
          <w:spacing w:val="-3"/>
        </w:rPr>
        <w:t>环境污染的毒理与健康研究方法学</w:t>
      </w:r>
      <w:r>
        <w:rPr>
          <w:rFonts w:ascii="Times New Roman" w:hAnsi="Times New Roman" w:eastAsia="Times New Roman"/>
          <w:spacing w:val="-3"/>
        </w:rPr>
        <w:t>”</w:t>
      </w:r>
      <w:r>
        <w:rPr>
          <w:spacing w:val="-9"/>
        </w:rPr>
        <w:t>双清论坛，聚焦环境污染对健</w:t>
      </w:r>
      <w:r>
        <w:rPr>
          <w:spacing w:val="-13"/>
        </w:rPr>
        <w:t>康影响的关键科学问题，组织化学、生命科学及医学等多个学科的专</w:t>
      </w:r>
      <w:r>
        <w:rPr>
          <w:spacing w:val="-12"/>
        </w:rPr>
        <w:t>家进行战略研讨，建议设立</w:t>
      </w:r>
      <w:r>
        <w:rPr>
          <w:rFonts w:ascii="Times New Roman" w:hAnsi="Times New Roman" w:eastAsia="Times New Roman"/>
          <w:spacing w:val="-8"/>
        </w:rPr>
        <w:t>“</w:t>
      </w:r>
      <w:r>
        <w:rPr>
          <w:spacing w:val="-2"/>
        </w:rPr>
        <w:t>大气污染毒理学评价研究</w:t>
      </w:r>
      <w:r>
        <w:rPr>
          <w:rFonts w:ascii="Times New Roman" w:hAnsi="Times New Roman" w:eastAsia="Times New Roman"/>
          <w:spacing w:val="-3"/>
        </w:rPr>
        <w:t>”</w:t>
      </w:r>
      <w:r>
        <w:rPr>
          <w:spacing w:val="-3"/>
        </w:rPr>
        <w:t>重大研究计划推动环境污染影响健康前沿研究。</w:t>
      </w:r>
    </w:p>
    <w:p>
      <w:pPr>
        <w:pStyle w:val="BodyText"/>
        <w:spacing w:line="417" w:lineRule="auto"/>
        <w:ind w:left="780" w:right="1236" w:firstLine="559"/>
        <w:jc w:val="both"/>
      </w:pPr>
      <w:r>
        <w:rPr>
          <w:spacing w:val="-10"/>
        </w:rPr>
        <w:t>环境污染对健康影响极为复杂。数据显示，常见癌症</w:t>
      </w:r>
      <w:r>
        <w:rPr>
          <w:spacing w:val="-3"/>
        </w:rPr>
        <w:t>（</w:t>
      </w:r>
      <w:r>
        <w:rPr/>
        <w:t>如泌尿系统肿瘤</w:t>
      </w:r>
      <w:r>
        <w:rPr>
          <w:spacing w:val="-34"/>
        </w:rPr>
        <w:t>）</w:t>
      </w:r>
      <w:r>
        <w:rPr>
          <w:spacing w:val="-8"/>
        </w:rPr>
        <w:t>和慢性疾病</w:t>
      </w:r>
      <w:r>
        <w:rPr/>
        <w:t>（</w:t>
      </w:r>
      <w:r>
        <w:rPr>
          <w:spacing w:val="-3"/>
        </w:rPr>
        <w:t>如呼吸道疾病</w:t>
      </w:r>
      <w:r>
        <w:rPr>
          <w:spacing w:val="-32"/>
        </w:rPr>
        <w:t>）</w:t>
      </w:r>
      <w:r>
        <w:rPr>
          <w:spacing w:val="-1"/>
        </w:rPr>
        <w:t>的风险大约</w:t>
      </w:r>
      <w:r>
        <w:rPr>
          <w:rFonts w:ascii="Times New Roman" w:eastAsia="Times New Roman"/>
        </w:rPr>
        <w:t>70%-90%</w:t>
      </w:r>
      <w:r>
        <w:rPr/>
        <w:t>来自环境</w:t>
      </w:r>
      <w:r>
        <w:rPr>
          <w:spacing w:val="-9"/>
        </w:rPr>
        <w:t>暴露或环境暴露与基因的交互作用。环境污染对健康影响的研究不仅</w:t>
      </w:r>
      <w:r>
        <w:rPr>
          <w:spacing w:val="-13"/>
        </w:rPr>
        <w:t>是环境科学的制高点，也是环境、生物和医学等多学科交叉的新生长</w:t>
      </w:r>
      <w:r>
        <w:rPr>
          <w:spacing w:val="-12"/>
        </w:rPr>
        <w:t>点。美国已连续数十年投入大量经费，资助美国国家环境健康研究所等机构开展相关研究。我国的环境污染特点决定了其污染的毒理评价</w:t>
      </w:r>
      <w:r>
        <w:rPr>
          <w:spacing w:val="-7"/>
        </w:rPr>
        <w:t>研究不能照搬国外模式，需要理论与方法创新。</w:t>
      </w:r>
    </w:p>
    <w:p>
      <w:pPr>
        <w:pStyle w:val="BodyText"/>
        <w:spacing w:line="358" w:lineRule="exact"/>
        <w:ind w:left="1339"/>
        <w:rPr>
          <w:rFonts w:ascii="黑体" w:eastAsia="黑体" w:hint="eastAsia"/>
        </w:rPr>
      </w:pPr>
      <w:r>
        <w:rPr>
          <w:rFonts w:ascii="黑体" w:eastAsia="黑体" w:hint="eastAsia"/>
        </w:rPr>
        <w:t>一、我国当前环境污染与健康研究面临的挑战</w:t>
      </w:r>
    </w:p>
    <w:p>
      <w:pPr>
        <w:pStyle w:val="BodyText"/>
        <w:spacing w:before="8"/>
        <w:rPr>
          <w:rFonts w:ascii="黑体"/>
          <w:sz w:val="20"/>
        </w:rPr>
      </w:pPr>
    </w:p>
    <w:p>
      <w:pPr>
        <w:pStyle w:val="BodyText"/>
        <w:spacing w:line="417" w:lineRule="auto" w:before="1"/>
        <w:ind w:left="780" w:right="1236" w:firstLine="559"/>
        <w:jc w:val="both"/>
      </w:pPr>
      <w:r>
        <w:rPr>
          <w:spacing w:val="-9"/>
        </w:rPr>
        <w:t>我国正处于工业化中后期和城镇化加速发展的阶段，环境问题集</w:t>
      </w:r>
      <w:r>
        <w:rPr>
          <w:spacing w:val="-12"/>
        </w:rPr>
        <w:t>中显现，环境总体恶化的趋势尚未根本改变，居民全方位暴露于严重的复合污染。从三次全国死因调查数据看，肺癌等受环境因素影响较</w:t>
      </w:r>
    </w:p>
    <w:p>
      <w:pPr>
        <w:spacing w:after="0" w:line="417" w:lineRule="auto"/>
        <w:jc w:val="both"/>
        <w:sectPr>
          <w:pgSz w:w="11910" w:h="16840"/>
          <w:pgMar w:header="0" w:footer="1035" w:top="1540" w:bottom="1300" w:left="1020" w:right="560"/>
        </w:sectPr>
      </w:pPr>
    </w:p>
    <w:p>
      <w:pPr>
        <w:pStyle w:val="BodyText"/>
        <w:spacing w:line="417" w:lineRule="auto" w:before="34"/>
        <w:ind w:left="780" w:right="1238"/>
        <w:jc w:val="both"/>
      </w:pPr>
      <w:r>
        <w:rPr>
          <w:spacing w:val="-9"/>
        </w:rPr>
        <w:t>大的肿瘤发病率和死亡率在不断增高，肿瘤死亡率居世界前列。目前</w:t>
      </w:r>
      <w:r>
        <w:rPr>
          <w:spacing w:val="-8"/>
        </w:rPr>
        <w:t>我国对污染引发代谢异常和肿瘤等疾病的分子机制仍不清楚，对环境</w:t>
      </w:r>
      <w:r>
        <w:rPr>
          <w:spacing w:val="-9"/>
        </w:rPr>
        <w:t>污染的毒性及健康效应还缺乏深入的科学研究。环境污染与健康影响</w:t>
      </w:r>
      <w:r>
        <w:rPr>
          <w:spacing w:val="-3"/>
        </w:rPr>
        <w:t>的研究工作仍处于起步阶段，面临诸多挑战。</w:t>
      </w:r>
    </w:p>
    <w:p>
      <w:pPr>
        <w:pStyle w:val="BodyText"/>
        <w:spacing w:line="417" w:lineRule="auto"/>
        <w:ind w:left="780" w:right="1235" w:firstLine="559"/>
        <w:jc w:val="both"/>
      </w:pPr>
      <w:r>
        <w:rPr>
          <w:spacing w:val="-8"/>
        </w:rPr>
        <w:t>一是环境混合物的健康效应研究有待深入。我国人群面临着传统</w:t>
      </w:r>
      <w:r>
        <w:rPr>
          <w:spacing w:val="-12"/>
        </w:rPr>
        <w:t>与现代环境污染暴露的双重挑战。目前的暴露研究割裂了内外暴露关</w:t>
      </w:r>
      <w:r>
        <w:rPr>
          <w:spacing w:val="3"/>
        </w:rPr>
        <w:t>联，难以体现区域复合暴露与环境污染的全生命周期影响。例如， </w:t>
      </w:r>
      <w:r>
        <w:rPr>
          <w:rFonts w:ascii="Times New Roman" w:eastAsia="Times New Roman"/>
          <w:spacing w:val="3"/>
        </w:rPr>
        <w:t>PM2.5</w:t>
      </w:r>
      <w:r>
        <w:rPr>
          <w:spacing w:val="-5"/>
        </w:rPr>
        <w:t>就是一种典型的环境污染混合物，不同国家和区域在不同经济</w:t>
      </w:r>
      <w:r>
        <w:rPr>
          <w:spacing w:val="-12"/>
        </w:rPr>
        <w:t>发展阶段，其细颗粒物组成差异是极为显著的，影响真实环境的污染</w:t>
      </w:r>
      <w:r>
        <w:rPr>
          <w:spacing w:val="-11"/>
        </w:rPr>
        <w:t>均以混合物形式暴露。针对这一情况，美国国家环境健康研究所将阐</w:t>
      </w:r>
      <w:r>
        <w:rPr>
          <w:spacing w:val="-7"/>
        </w:rPr>
        <w:t>明环境混合物的健康效应作为其未来优先研究重点。</w:t>
      </w:r>
    </w:p>
    <w:p>
      <w:pPr>
        <w:pStyle w:val="BodyText"/>
        <w:spacing w:line="417" w:lineRule="auto"/>
        <w:ind w:left="780" w:right="1232" w:firstLine="559"/>
        <w:jc w:val="both"/>
      </w:pPr>
      <w:r>
        <w:rPr>
          <w:spacing w:val="-8"/>
        </w:rPr>
        <w:t>二是污染物与生物分子作用机理的认识亟待加强。探求污染物与</w:t>
      </w:r>
      <w:r>
        <w:rPr>
          <w:spacing w:val="3"/>
        </w:rPr>
        <w:t>生物分子交互作用及其对关键毒性作用通路的扰动机制已成为破解</w:t>
      </w:r>
      <w:r>
        <w:rPr>
          <w:spacing w:val="-10"/>
        </w:rPr>
        <w:t>环境污染与健康因果奥秘的关键。环境污染物与生物分子作用是公认</w:t>
      </w:r>
      <w:r>
        <w:rPr>
          <w:spacing w:val="-13"/>
        </w:rPr>
        <w:t>的污染致病起点，目前对这一连接污染与健康的关键环节缺乏深入认</w:t>
      </w:r>
      <w:r>
        <w:rPr>
          <w:spacing w:val="3"/>
        </w:rPr>
        <w:t>识，导致难以厘清污染导致机体损伤并与特定疾病表型相关联的机</w:t>
      </w:r>
      <w:r>
        <w:rPr>
          <w:spacing w:val="-11"/>
        </w:rPr>
        <w:t>制。环境污染物与生物靶点化学结构的多样性决定了污染物对生物分</w:t>
      </w:r>
      <w:r>
        <w:rPr>
          <w:spacing w:val="-2"/>
        </w:rPr>
        <w:t>子相关毒性通路扰动机制的复杂性，污染物的人体致癌</w:t>
      </w:r>
      <w:r>
        <w:rPr>
          <w:rFonts w:ascii="Times New Roman" w:eastAsia="Times New Roman"/>
        </w:rPr>
        <w:t>/</w:t>
      </w:r>
      <w:r>
        <w:rPr/>
        <w:t>代谢干扰分</w:t>
      </w:r>
      <w:r>
        <w:rPr>
          <w:spacing w:val="-9"/>
        </w:rPr>
        <w:t>子机制和通路研究仍存在诸多瓶颈问题，如污染物的生物靶点选择机</w:t>
      </w:r>
      <w:r>
        <w:rPr>
          <w:spacing w:val="-11"/>
        </w:rPr>
        <w:t>制及共存组分与生物大分子作用的竞争机制；混合物组分间毒性作用机制等。</w:t>
      </w:r>
    </w:p>
    <w:p>
      <w:pPr>
        <w:pStyle w:val="BodyText"/>
        <w:spacing w:line="357" w:lineRule="exact"/>
        <w:ind w:left="1129" w:right="1035"/>
        <w:jc w:val="center"/>
      </w:pPr>
      <w:r>
        <w:rPr/>
        <w:t>三是环境污染的健康危害机制研究亟需重视。与污染物相关的</w:t>
      </w:r>
    </w:p>
    <w:p>
      <w:pPr>
        <w:spacing w:after="0" w:line="357" w:lineRule="exact"/>
        <w:jc w:val="center"/>
        <w:sectPr>
          <w:pgSz w:w="11910" w:h="16840"/>
          <w:pgMar w:header="0" w:footer="1035" w:top="1520" w:bottom="1300" w:left="1020" w:right="560"/>
        </w:sectPr>
      </w:pPr>
    </w:p>
    <w:p>
      <w:pPr>
        <w:pStyle w:val="BodyText"/>
        <w:spacing w:line="417" w:lineRule="auto" w:before="54"/>
        <w:ind w:left="780" w:right="1236"/>
        <w:jc w:val="both"/>
      </w:pPr>
      <w:r>
        <w:rPr>
          <w:rFonts w:ascii="Times New Roman" w:hAnsi="Times New Roman" w:eastAsia="Times New Roman"/>
        </w:rPr>
        <w:t>DNA </w:t>
      </w:r>
      <w:r>
        <w:rPr>
          <w:spacing w:val="-5"/>
        </w:rPr>
        <w:t>损伤与修复研究一直是环境与健康领域研究前沿。</w:t>
      </w:r>
      <w:r>
        <w:rPr>
          <w:rFonts w:ascii="Times New Roman" w:hAnsi="Times New Roman" w:eastAsia="Times New Roman"/>
          <w:spacing w:val="-3"/>
        </w:rPr>
        <w:t>DNA</w:t>
      </w:r>
      <w:r>
        <w:rPr>
          <w:spacing w:val="-4"/>
        </w:rPr>
        <w:t>损伤和</w:t>
      </w:r>
      <w:r>
        <w:rPr>
          <w:spacing w:val="-10"/>
        </w:rPr>
        <w:t>遗传变异并非所有健康结局的诱因。机体损伤过程中表观遗传变异与传统意义的遗传变异是共存的，且表观遗传的变化很可能是相关健康</w:t>
      </w:r>
      <w:r>
        <w:rPr>
          <w:spacing w:val="-11"/>
        </w:rPr>
        <w:t>结局发生的早期事件并显著影响环境污染所致健康风险。同时，环境</w:t>
      </w:r>
      <w:r>
        <w:rPr>
          <w:spacing w:val="-7"/>
        </w:rPr>
        <w:t>污染毒性剂量</w:t>
      </w:r>
      <w:r>
        <w:rPr>
          <w:rFonts w:ascii="Times New Roman" w:hAnsi="Times New Roman" w:eastAsia="Times New Roman"/>
        </w:rPr>
        <w:t>—</w:t>
      </w:r>
      <w:r>
        <w:rPr>
          <w:spacing w:val="-3"/>
        </w:rPr>
        <w:t>反应关系研究的匮乏还致使难以确定其风险阈值。</w:t>
      </w:r>
    </w:p>
    <w:p>
      <w:pPr>
        <w:pStyle w:val="BodyText"/>
        <w:spacing w:line="417" w:lineRule="auto"/>
        <w:ind w:left="780" w:right="1099" w:firstLine="559"/>
      </w:pPr>
      <w:r>
        <w:rPr>
          <w:spacing w:val="-3"/>
        </w:rPr>
        <w:t>四是科学运用大数据以探寻环境疾病的污染归因研究亟待攻坚。</w:t>
      </w:r>
      <w:r>
        <w:rPr>
          <w:spacing w:val="-18"/>
        </w:rPr>
        <w:t>如何科学运用大数据，结合分子生物学、毒理学乃至流行病学等信息， </w:t>
      </w:r>
      <w:r>
        <w:rPr>
          <w:spacing w:val="-3"/>
        </w:rPr>
        <w:t>以探寻环境疾病的污染归因是环境与健康领域亟待解决的方法瓶颈。</w:t>
      </w:r>
      <w:r>
        <w:rPr>
          <w:spacing w:val="-7"/>
        </w:rPr>
        <w:t>环境污染的复杂性使得单纯依赖实验评价其毒理效应难以实现，以构</w:t>
      </w:r>
      <w:r>
        <w:rPr>
          <w:spacing w:val="-9"/>
        </w:rPr>
        <w:t>效关系为核心的计算毒理是污染毒理评价的有力工具。目前亟需发展</w:t>
      </w:r>
      <w:r>
        <w:rPr>
          <w:spacing w:val="-13"/>
        </w:rPr>
        <w:t>相应的计算毒理手段，以评估大气污染作用的关键生物靶并预测其对</w:t>
      </w:r>
      <w:r>
        <w:rPr>
          <w:spacing w:val="-8"/>
        </w:rPr>
        <w:t>相关信号通路的可能扰动。</w:t>
      </w:r>
    </w:p>
    <w:p>
      <w:pPr>
        <w:pStyle w:val="BodyText"/>
        <w:spacing w:line="358" w:lineRule="exact"/>
        <w:ind w:left="1339"/>
        <w:rPr>
          <w:rFonts w:ascii="黑体" w:eastAsia="黑体" w:hint="eastAsia"/>
        </w:rPr>
      </w:pPr>
      <w:r>
        <w:rPr>
          <w:rFonts w:ascii="黑体" w:eastAsia="黑体" w:hint="eastAsia"/>
        </w:rPr>
        <w:t>二、关键科学问题和重点研究方向</w:t>
      </w:r>
    </w:p>
    <w:p>
      <w:pPr>
        <w:pStyle w:val="BodyText"/>
        <w:spacing w:before="8"/>
        <w:rPr>
          <w:rFonts w:ascii="黑体"/>
          <w:sz w:val="20"/>
        </w:rPr>
      </w:pPr>
    </w:p>
    <w:p>
      <w:pPr>
        <w:pStyle w:val="BodyText"/>
        <w:spacing w:line="417" w:lineRule="auto"/>
        <w:ind w:left="780" w:right="1236" w:firstLine="559"/>
        <w:jc w:val="both"/>
      </w:pPr>
      <w:r>
        <w:rPr>
          <w:spacing w:val="-11"/>
        </w:rPr>
        <w:t>当前，环境污染与健康影响研究的方法学正处于一个全面革新的</w:t>
      </w:r>
      <w:r>
        <w:rPr>
          <w:spacing w:val="-12"/>
        </w:rPr>
        <w:t>时期。专家建议抓住这一契机，立足于对机体损伤的污染归因新理论</w:t>
      </w:r>
      <w:r>
        <w:rPr>
          <w:spacing w:val="-11"/>
        </w:rPr>
        <w:t>与新方法的探索，瞄准当前环境污染与健康研究存在的方法瓶颈，整</w:t>
      </w:r>
      <w:r>
        <w:rPr>
          <w:spacing w:val="-12"/>
        </w:rPr>
        <w:t>合多学科研究力量攻关，逐步占领环境污染与健康影响科学研究的战</w:t>
      </w:r>
      <w:r>
        <w:rPr>
          <w:spacing w:val="-7"/>
        </w:rPr>
        <w:t>略制高点。重点开展以下四个方向的研究：</w:t>
      </w:r>
    </w:p>
    <w:p>
      <w:pPr>
        <w:pStyle w:val="BodyText"/>
        <w:spacing w:line="417" w:lineRule="auto"/>
        <w:ind w:left="780" w:right="1236" w:firstLine="559"/>
        <w:jc w:val="both"/>
      </w:pPr>
      <w:r>
        <w:rPr>
          <w:spacing w:val="-11"/>
        </w:rPr>
        <w:t>一是污染暴露组及其方法学研究。包括区域污染人群长期暴露的无偏评估方法；区域人群超痕量污染物溯源甄别；建立同时基于外暴</w:t>
      </w:r>
      <w:r>
        <w:rPr>
          <w:spacing w:val="-9"/>
        </w:rPr>
        <w:t>露特征和内暴露效应指示的暴露组学研究方法；低剂量环境暴露方法</w:t>
      </w:r>
      <w:r>
        <w:rPr/>
        <w:t>学。</w:t>
      </w:r>
    </w:p>
    <w:p>
      <w:pPr>
        <w:spacing w:after="0" w:line="417" w:lineRule="auto"/>
        <w:jc w:val="both"/>
        <w:sectPr>
          <w:pgSz w:w="11910" w:h="16840"/>
          <w:pgMar w:header="0" w:footer="1035" w:top="1500" w:bottom="1300" w:left="1020" w:right="560"/>
        </w:sectPr>
      </w:pPr>
    </w:p>
    <w:p>
      <w:pPr>
        <w:pStyle w:val="BodyText"/>
        <w:spacing w:line="417" w:lineRule="auto" w:before="34"/>
        <w:ind w:left="780" w:right="1238" w:firstLine="559"/>
        <w:jc w:val="both"/>
      </w:pPr>
      <w:r>
        <w:rPr>
          <w:spacing w:val="-10"/>
        </w:rPr>
        <w:t>二是污染物与生物分子的交互作用。包括污染物引发的自由基产</w:t>
      </w:r>
      <w:r>
        <w:rPr>
          <w:spacing w:val="-11"/>
        </w:rPr>
        <w:t>生与生物损伤；污染物诱发表观遗传的变化与调控机制；污染物诱发</w:t>
      </w:r>
      <w:r>
        <w:rPr>
          <w:spacing w:val="7"/>
        </w:rPr>
        <w:t>的</w:t>
      </w:r>
      <w:r>
        <w:rPr>
          <w:rFonts w:ascii="Times New Roman" w:eastAsia="Times New Roman"/>
        </w:rPr>
        <w:t>DNA</w:t>
      </w:r>
      <w:r>
        <w:rPr/>
        <w:t>损伤、修复与基因突变的分子机制；典型污染物生物作用靶</w:t>
      </w:r>
      <w:r>
        <w:rPr>
          <w:spacing w:val="-3"/>
        </w:rPr>
        <w:t>点及其效应的关联机制。</w:t>
      </w:r>
    </w:p>
    <w:p>
      <w:pPr>
        <w:pStyle w:val="BodyText"/>
        <w:spacing w:line="417" w:lineRule="auto"/>
        <w:ind w:left="780" w:right="1238" w:firstLine="559"/>
        <w:jc w:val="both"/>
      </w:pPr>
      <w:r>
        <w:rPr>
          <w:spacing w:val="-11"/>
        </w:rPr>
        <w:t>三是污染物毒性与健康危害机制。包括污染物的内分泌干扰效应与发育毒性机制；典型污染物引发机体糖和脂肪代谢紊乱的机制；污</w:t>
      </w:r>
      <w:r>
        <w:rPr>
          <w:spacing w:val="-3"/>
        </w:rPr>
        <w:t>染物对肿瘤细胞增殖与转移的影响机制。</w:t>
      </w:r>
    </w:p>
    <w:p>
      <w:pPr>
        <w:pStyle w:val="BodyText"/>
        <w:spacing w:line="417" w:lineRule="auto"/>
        <w:ind w:left="780" w:right="1238" w:firstLine="559"/>
        <w:jc w:val="both"/>
      </w:pPr>
      <w:r>
        <w:rPr>
          <w:spacing w:val="-8"/>
        </w:rPr>
        <w:t>四是污染物影响健康计算毒理学评价方法与预测模型。包括发展相应的计算毒理手段以评估污染物作用的关键生物靶；建立污染物流行病学评估方法以解决广义估计模型的合理收敛问题；形成以构效关</w:t>
      </w:r>
      <w:r>
        <w:rPr>
          <w:spacing w:val="-3"/>
        </w:rPr>
        <w:t>系为核心的计算毒理。</w:t>
      </w:r>
    </w:p>
    <w:p>
      <w:pPr>
        <w:pStyle w:val="BodyText"/>
        <w:spacing w:line="358" w:lineRule="exact"/>
        <w:ind w:left="1339"/>
      </w:pPr>
      <w:r>
        <w:rPr/>
        <w:t>三、科学基金的政策措施和资助安排</w:t>
      </w:r>
    </w:p>
    <w:p>
      <w:pPr>
        <w:pStyle w:val="BodyText"/>
        <w:spacing w:before="9"/>
        <w:rPr>
          <w:sz w:val="20"/>
        </w:rPr>
      </w:pPr>
    </w:p>
    <w:p>
      <w:pPr>
        <w:pStyle w:val="BodyText"/>
        <w:spacing w:line="417" w:lineRule="auto"/>
        <w:ind w:left="780" w:right="1145" w:firstLine="559"/>
        <w:jc w:val="both"/>
      </w:pPr>
      <w:r>
        <w:rPr>
          <w:spacing w:val="-11"/>
        </w:rPr>
        <w:t>目前，自然科学基金委有关部门正在依据论坛研讨形成的科学目</w:t>
      </w:r>
      <w:r>
        <w:rPr>
          <w:spacing w:val="-12"/>
        </w:rPr>
        <w:t>标、科学问题和政策建议，在前期部分面上项目资助的基础上，结合</w:t>
      </w:r>
      <w:r>
        <w:rPr>
          <w:spacing w:val="-11"/>
        </w:rPr>
        <w:t>国家《加强大气污染治理科技支撑工作方案》的整体安排和任务分工情况，进一步组织论证，争取设立</w:t>
      </w:r>
      <w:r>
        <w:rPr>
          <w:rFonts w:ascii="Times New Roman" w:hAnsi="Times New Roman" w:eastAsia="Times New Roman"/>
          <w:spacing w:val="-8"/>
        </w:rPr>
        <w:t>“</w:t>
      </w:r>
      <w:r>
        <w:rPr>
          <w:spacing w:val="-3"/>
        </w:rPr>
        <w:t>大气污染毒理学评价研究</w:t>
      </w:r>
      <w:r>
        <w:rPr>
          <w:rFonts w:ascii="Times New Roman" w:hAnsi="Times New Roman" w:eastAsia="Times New Roman"/>
          <w:spacing w:val="-3"/>
        </w:rPr>
        <w:t>”</w:t>
      </w:r>
      <w:r>
        <w:rPr/>
        <w:t>重大研</w:t>
      </w:r>
      <w:r>
        <w:rPr>
          <w:spacing w:val="-4"/>
        </w:rPr>
        <w:t>究计划支持大气污染对健康影响的研究。目前重点考虑的六个方向：</w:t>
      </w:r>
    </w:p>
    <w:p>
      <w:pPr>
        <w:pStyle w:val="BodyText"/>
        <w:spacing w:line="417" w:lineRule="auto"/>
        <w:ind w:left="780" w:right="1235" w:firstLine="559"/>
        <w:jc w:val="both"/>
      </w:pPr>
      <w:r>
        <w:rPr>
          <w:spacing w:val="-8"/>
        </w:rPr>
        <w:t>一是大气污染关键毒性组分的分离与鉴定方法；二是大气污染的</w:t>
      </w:r>
      <w:r>
        <w:rPr>
          <w:spacing w:val="-12"/>
        </w:rPr>
        <w:t>环境暴露组学与人群暴露评价；三是大气污染物与生物分子的交互作</w:t>
      </w:r>
      <w:r>
        <w:rPr>
          <w:spacing w:val="-13"/>
        </w:rPr>
        <w:t>用及其潜在健康风险；四是大气污染的毒理学效应及其剂量</w:t>
      </w:r>
      <w:r>
        <w:rPr>
          <w:rFonts w:ascii="Times New Roman" w:hAnsi="Times New Roman" w:eastAsia="Times New Roman"/>
          <w:spacing w:val="-3"/>
        </w:rPr>
        <w:t>—</w:t>
      </w:r>
      <w:r>
        <w:rPr>
          <w:spacing w:val="-4"/>
        </w:rPr>
        <w:t>反应关</w:t>
      </w:r>
      <w:r>
        <w:rPr>
          <w:spacing w:val="-12"/>
        </w:rPr>
        <w:t>系；五是大气污染的健康危害机制；六是大气污染对健康影响的计算</w:t>
      </w:r>
      <w:r>
        <w:rPr>
          <w:spacing w:val="-3"/>
        </w:rPr>
        <w:t>毒理学评价方法与预测模型等。</w:t>
      </w:r>
    </w:p>
    <w:p>
      <w:pPr>
        <w:spacing w:after="0" w:line="417" w:lineRule="auto"/>
        <w:jc w:val="both"/>
        <w:sectPr>
          <w:pgSz w:w="11910" w:h="16840"/>
          <w:pgMar w:header="0" w:footer="1035" w:top="1520" w:bottom="1300" w:left="1020" w:right="560"/>
        </w:sectPr>
      </w:pPr>
    </w:p>
    <w:p>
      <w:pPr>
        <w:pStyle w:val="BodyText"/>
        <w:spacing w:line="417" w:lineRule="auto" w:before="54"/>
        <w:ind w:left="780" w:right="1237" w:firstLine="559"/>
        <w:jc w:val="both"/>
      </w:pPr>
      <w:r>
        <w:rPr/>
        <w:t>预期通过</w:t>
      </w:r>
      <w:r>
        <w:rPr>
          <w:rFonts w:ascii="Times New Roman" w:hAnsi="Times New Roman" w:eastAsia="Times New Roman"/>
        </w:rPr>
        <w:t>5</w:t>
      </w:r>
      <w:r>
        <w:rPr>
          <w:spacing w:val="-1"/>
        </w:rPr>
        <w:t>年的连续资助，建立大气污染毒理学评价方法体系， </w:t>
      </w:r>
      <w:r>
        <w:rPr>
          <w:spacing w:val="-10"/>
        </w:rPr>
        <w:t>制定我国大气污染的毒理学评价路线图；阐明我国特征大气污染健康</w:t>
      </w:r>
      <w:r>
        <w:rPr>
          <w:spacing w:val="-3"/>
        </w:rPr>
        <w:t>危害的毒理学基础和剂量</w:t>
      </w:r>
      <w:r>
        <w:rPr>
          <w:rFonts w:ascii="Times New Roman" w:hAnsi="Times New Roman" w:eastAsia="Times New Roman"/>
          <w:spacing w:val="-3"/>
        </w:rPr>
        <w:t>—</w:t>
      </w:r>
      <w:r>
        <w:rPr>
          <w:spacing w:val="-11"/>
        </w:rPr>
        <w:t>反应关系，提出我国特征大气污染的人体健康影响阈值，为系统研究大气污染的健康影响及制定相应控制对策</w:t>
      </w:r>
      <w:r>
        <w:rPr>
          <w:spacing w:val="-3"/>
        </w:rPr>
        <w:t>提供方法学和技术支撑。</w:t>
      </w:r>
    </w:p>
    <w:sectPr>
      <w:pgSz w:w="11910" w:h="16840"/>
      <w:pgMar w:header="0" w:footer="1035" w:top="1500" w:bottom="1300" w:left="1020" w:right="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等线">
    <w:altName w:val="等线"/>
    <w:charset w:val="86"/>
    <w:family w:val="auto"/>
    <w:pitch w:val="variable"/>
  </w:font>
  <w:font w:name="华文中宋">
    <w:altName w:val="华文中宋"/>
    <w:charset w:val="86"/>
    <w:family w:val="auto"/>
    <w:pitch w:val="variable"/>
  </w:font>
  <w:font w:name="黑体">
    <w:altName w:val="黑体"/>
    <w:charset w:val="86"/>
    <w:family w:val="modern"/>
    <w:pitch w:val="fixed"/>
  </w:font>
  <w:font w:name="Calibri">
    <w:altName w:val="Calibri"/>
    <w:charset w:val="0"/>
    <w:family w:val="swiss"/>
    <w:pitch w:val="variable"/>
  </w:font>
  <w:font w:name="Microsoft JhengHei">
    <w:altName w:val="Microsoft JhengHei"/>
    <w:charset w:val="0"/>
    <w:family w:val="swiss"/>
    <w:pitch w:val="variable"/>
  </w:font>
  <w:font w:name="方正小标宋简体">
    <w:altName w:val="方正小标宋简体"/>
    <w:charset w:val="86"/>
    <w:family w:val="script"/>
    <w:pitch w:val="fixed"/>
  </w:font>
  <w:font w:name="华文宋体">
    <w:altName w:val="华文宋体"/>
    <w:charset w:val="86"/>
    <w:family w:val="auto"/>
    <w:pitch w:val="variable"/>
  </w:font>
  <w:font w:name="Arial Unicode MS">
    <w:altName w:val="Arial Unicode MS"/>
    <w:charset w:val="86"/>
    <w:family w:val="swiss"/>
    <w:pitch w:val="variable"/>
  </w:font>
  <w:font w:name="新宋体">
    <w:altName w:val="新宋体"/>
    <w:charset w:val="86"/>
    <w:family w:val="modern"/>
    <w:pitch w:val="fixed"/>
  </w:font>
  <w:font w:name="Symbol">
    <w:altName w:val="Symbol"/>
    <w:charset w:val="2"/>
    <w:family w:val="roman"/>
    <w:pitch w:val="variable"/>
  </w:font>
  <w:font w:name="楷体">
    <w:altName w:val="楷体"/>
    <w:charset w:val="86"/>
    <w:family w:val="modern"/>
    <w:pitch w:val="fixed"/>
  </w:font>
  <w:font w:name="华文细黑">
    <w:altName w:val="华文细黑"/>
    <w:charset w:val="86"/>
    <w:family w:val="auto"/>
    <w:pitch w:val="variable"/>
  </w:font>
  <w:font w:name="Wingdings">
    <w:altName w:val="Wingdings"/>
    <w:charset w:val="2"/>
    <w:family w:val="auto"/>
    <w:pitch w:val="variable"/>
  </w:font>
  <w:font w:name="仿宋">
    <w:altName w:val="仿宋"/>
    <w:charset w:val="86"/>
    <w:family w:val="modern"/>
    <w:pitch w:val="fixed"/>
  </w:font>
  <w:font w:name="微软雅黑">
    <w:altName w:val="微软雅黑"/>
    <w:charset w:val="86"/>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84.209991pt;margin-top:775.190369pt;width:27.05pt;height:16.05pt;mso-position-horizontal-relative:page;mso-position-vertical-relative:page;z-index:-255548416" type="#_x0000_t202" filled="false" stroked="false">
          <v:textbox inset="0,0,0,0">
            <w:txbxContent>
              <w:p>
                <w:pPr>
                  <w:pStyle w:val="BodyText"/>
                  <w:spacing w:line="321" w:lineRule="exact"/>
                  <w:ind w:left="60"/>
                </w:pPr>
                <w:r>
                  <w:rPr/>
                  <w:fldChar w:fldCharType="begin"/>
                </w:r>
                <w:r>
                  <w:rPr/>
                  <w:instrText> PAGE </w:instrText>
                </w:r>
                <w:r>
                  <w:rPr/>
                  <w:fldChar w:fldCharType="separate"/>
                </w:r>
                <w:r>
                  <w:rPr/>
                  <w:t>100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1742" w:hanging="322"/>
        <w:jc w:val="left"/>
      </w:pPr>
      <w:rPr>
        <w:rFonts w:hint="default" w:ascii="仿宋" w:hAnsi="仿宋" w:eastAsia="仿宋" w:cs="仿宋"/>
        <w:spacing w:val="1"/>
        <w:w w:val="99"/>
        <w:sz w:val="30"/>
        <w:szCs w:val="30"/>
        <w:lang w:val="zh-cn" w:eastAsia="zh-cn" w:bidi="zh-cn"/>
      </w:rPr>
    </w:lvl>
    <w:lvl w:ilvl="1">
      <w:start w:val="0"/>
      <w:numFmt w:val="bullet"/>
      <w:lvlText w:val="•"/>
      <w:lvlJc w:val="left"/>
      <w:pPr>
        <w:ind w:left="2598" w:hanging="322"/>
      </w:pPr>
      <w:rPr>
        <w:rFonts w:hint="default"/>
        <w:lang w:val="zh-cn" w:eastAsia="zh-cn" w:bidi="zh-cn"/>
      </w:rPr>
    </w:lvl>
    <w:lvl w:ilvl="2">
      <w:start w:val="0"/>
      <w:numFmt w:val="bullet"/>
      <w:lvlText w:val="•"/>
      <w:lvlJc w:val="left"/>
      <w:pPr>
        <w:ind w:left="3457" w:hanging="322"/>
      </w:pPr>
      <w:rPr>
        <w:rFonts w:hint="default"/>
        <w:lang w:val="zh-cn" w:eastAsia="zh-cn" w:bidi="zh-cn"/>
      </w:rPr>
    </w:lvl>
    <w:lvl w:ilvl="3">
      <w:start w:val="0"/>
      <w:numFmt w:val="bullet"/>
      <w:lvlText w:val="•"/>
      <w:lvlJc w:val="left"/>
      <w:pPr>
        <w:ind w:left="4315" w:hanging="322"/>
      </w:pPr>
      <w:rPr>
        <w:rFonts w:hint="default"/>
        <w:lang w:val="zh-cn" w:eastAsia="zh-cn" w:bidi="zh-cn"/>
      </w:rPr>
    </w:lvl>
    <w:lvl w:ilvl="4">
      <w:start w:val="0"/>
      <w:numFmt w:val="bullet"/>
      <w:lvlText w:val="•"/>
      <w:lvlJc w:val="left"/>
      <w:pPr>
        <w:ind w:left="5174" w:hanging="322"/>
      </w:pPr>
      <w:rPr>
        <w:rFonts w:hint="default"/>
        <w:lang w:val="zh-cn" w:eastAsia="zh-cn" w:bidi="zh-cn"/>
      </w:rPr>
    </w:lvl>
    <w:lvl w:ilvl="5">
      <w:start w:val="0"/>
      <w:numFmt w:val="bullet"/>
      <w:lvlText w:val="•"/>
      <w:lvlJc w:val="left"/>
      <w:pPr>
        <w:ind w:left="6033" w:hanging="322"/>
      </w:pPr>
      <w:rPr>
        <w:rFonts w:hint="default"/>
        <w:lang w:val="zh-cn" w:eastAsia="zh-cn" w:bidi="zh-cn"/>
      </w:rPr>
    </w:lvl>
    <w:lvl w:ilvl="6">
      <w:start w:val="0"/>
      <w:numFmt w:val="bullet"/>
      <w:lvlText w:val="•"/>
      <w:lvlJc w:val="left"/>
      <w:pPr>
        <w:ind w:left="6891" w:hanging="322"/>
      </w:pPr>
      <w:rPr>
        <w:rFonts w:hint="default"/>
        <w:lang w:val="zh-cn" w:eastAsia="zh-cn" w:bidi="zh-cn"/>
      </w:rPr>
    </w:lvl>
    <w:lvl w:ilvl="7">
      <w:start w:val="0"/>
      <w:numFmt w:val="bullet"/>
      <w:lvlText w:val="•"/>
      <w:lvlJc w:val="left"/>
      <w:pPr>
        <w:ind w:left="7750" w:hanging="322"/>
      </w:pPr>
      <w:rPr>
        <w:rFonts w:hint="default"/>
        <w:lang w:val="zh-cn" w:eastAsia="zh-cn" w:bidi="zh-cn"/>
      </w:rPr>
    </w:lvl>
    <w:lvl w:ilvl="8">
      <w:start w:val="0"/>
      <w:numFmt w:val="bullet"/>
      <w:lvlText w:val="•"/>
      <w:lvlJc w:val="left"/>
      <w:pPr>
        <w:ind w:left="8609" w:hanging="322"/>
      </w:pPr>
      <w:rPr>
        <w:rFonts w:hint="default"/>
        <w:lang w:val="zh-cn" w:eastAsia="zh-cn" w:bidi="zh-cn"/>
      </w:rPr>
    </w:lvl>
  </w:abstractNum>
  <w:abstractNum w:abstractNumId="3">
    <w:multiLevelType w:val="hybridMultilevel"/>
    <w:lvl w:ilvl="0">
      <w:start w:val="1"/>
      <w:numFmt w:val="decimal"/>
      <w:lvlText w:val="%1."/>
      <w:lvlJc w:val="left"/>
      <w:pPr>
        <w:ind w:left="1742" w:hanging="322"/>
        <w:jc w:val="left"/>
      </w:pPr>
      <w:rPr>
        <w:rFonts w:hint="default" w:ascii="宋体" w:hAnsi="宋体" w:eastAsia="宋体" w:cs="宋体"/>
        <w:spacing w:val="1"/>
        <w:w w:val="99"/>
        <w:sz w:val="30"/>
        <w:szCs w:val="30"/>
        <w:lang w:val="zh-cn" w:eastAsia="zh-cn" w:bidi="zh-cn"/>
      </w:rPr>
    </w:lvl>
    <w:lvl w:ilvl="1">
      <w:start w:val="2"/>
      <w:numFmt w:val="decimal"/>
      <w:lvlText w:val="%2."/>
      <w:lvlJc w:val="left"/>
      <w:pPr>
        <w:ind w:left="2669" w:hanging="320"/>
        <w:jc w:val="left"/>
      </w:pPr>
      <w:rPr>
        <w:rFonts w:hint="default" w:ascii="宋体" w:hAnsi="宋体" w:eastAsia="宋体" w:cs="宋体"/>
        <w:spacing w:val="-2"/>
        <w:w w:val="99"/>
        <w:sz w:val="30"/>
        <w:szCs w:val="30"/>
        <w:lang w:val="zh-cn" w:eastAsia="zh-cn" w:bidi="zh-cn"/>
      </w:rPr>
    </w:lvl>
    <w:lvl w:ilvl="2">
      <w:start w:val="0"/>
      <w:numFmt w:val="bullet"/>
      <w:lvlText w:val="•"/>
      <w:lvlJc w:val="left"/>
      <w:pPr>
        <w:ind w:left="3511" w:hanging="320"/>
      </w:pPr>
      <w:rPr>
        <w:rFonts w:hint="default"/>
        <w:lang w:val="zh-cn" w:eastAsia="zh-cn" w:bidi="zh-cn"/>
      </w:rPr>
    </w:lvl>
    <w:lvl w:ilvl="3">
      <w:start w:val="0"/>
      <w:numFmt w:val="bullet"/>
      <w:lvlText w:val="•"/>
      <w:lvlJc w:val="left"/>
      <w:pPr>
        <w:ind w:left="4363" w:hanging="320"/>
      </w:pPr>
      <w:rPr>
        <w:rFonts w:hint="default"/>
        <w:lang w:val="zh-cn" w:eastAsia="zh-cn" w:bidi="zh-cn"/>
      </w:rPr>
    </w:lvl>
    <w:lvl w:ilvl="4">
      <w:start w:val="0"/>
      <w:numFmt w:val="bullet"/>
      <w:lvlText w:val="•"/>
      <w:lvlJc w:val="left"/>
      <w:pPr>
        <w:ind w:left="5215" w:hanging="320"/>
      </w:pPr>
      <w:rPr>
        <w:rFonts w:hint="default"/>
        <w:lang w:val="zh-cn" w:eastAsia="zh-cn" w:bidi="zh-cn"/>
      </w:rPr>
    </w:lvl>
    <w:lvl w:ilvl="5">
      <w:start w:val="0"/>
      <w:numFmt w:val="bullet"/>
      <w:lvlText w:val="•"/>
      <w:lvlJc w:val="left"/>
      <w:pPr>
        <w:ind w:left="6067" w:hanging="320"/>
      </w:pPr>
      <w:rPr>
        <w:rFonts w:hint="default"/>
        <w:lang w:val="zh-cn" w:eastAsia="zh-cn" w:bidi="zh-cn"/>
      </w:rPr>
    </w:lvl>
    <w:lvl w:ilvl="6">
      <w:start w:val="0"/>
      <w:numFmt w:val="bullet"/>
      <w:lvlText w:val="•"/>
      <w:lvlJc w:val="left"/>
      <w:pPr>
        <w:ind w:left="6919" w:hanging="320"/>
      </w:pPr>
      <w:rPr>
        <w:rFonts w:hint="default"/>
        <w:lang w:val="zh-cn" w:eastAsia="zh-cn" w:bidi="zh-cn"/>
      </w:rPr>
    </w:lvl>
    <w:lvl w:ilvl="7">
      <w:start w:val="0"/>
      <w:numFmt w:val="bullet"/>
      <w:lvlText w:val="•"/>
      <w:lvlJc w:val="left"/>
      <w:pPr>
        <w:ind w:left="7770" w:hanging="320"/>
      </w:pPr>
      <w:rPr>
        <w:rFonts w:hint="default"/>
        <w:lang w:val="zh-cn" w:eastAsia="zh-cn" w:bidi="zh-cn"/>
      </w:rPr>
    </w:lvl>
    <w:lvl w:ilvl="8">
      <w:start w:val="0"/>
      <w:numFmt w:val="bullet"/>
      <w:lvlText w:val="•"/>
      <w:lvlJc w:val="left"/>
      <w:pPr>
        <w:ind w:left="8622" w:hanging="320"/>
      </w:pPr>
      <w:rPr>
        <w:rFonts w:hint="default"/>
        <w:lang w:val="zh-cn" w:eastAsia="zh-cn" w:bidi="zh-cn"/>
      </w:rPr>
    </w:lvl>
  </w:abstractNum>
  <w:abstractNum w:abstractNumId="1">
    <w:multiLevelType w:val="hybridMultilevel"/>
    <w:lvl w:ilvl="0">
      <w:start w:val="1"/>
      <w:numFmt w:val="decimal"/>
      <w:lvlText w:val="%1."/>
      <w:lvlJc w:val="left"/>
      <w:pPr>
        <w:ind w:left="1560" w:hanging="360"/>
        <w:jc w:val="left"/>
      </w:pPr>
      <w:rPr>
        <w:rFonts w:hint="default" w:ascii="宋体" w:hAnsi="宋体" w:eastAsia="宋体" w:cs="宋体"/>
        <w:spacing w:val="0"/>
        <w:w w:val="99"/>
        <w:sz w:val="32"/>
        <w:szCs w:val="32"/>
        <w:lang w:val="zh-cn" w:eastAsia="zh-cn" w:bidi="zh-cn"/>
      </w:rPr>
    </w:lvl>
    <w:lvl w:ilvl="1">
      <w:start w:val="0"/>
      <w:numFmt w:val="bullet"/>
      <w:lvlText w:val="•"/>
      <w:lvlJc w:val="left"/>
      <w:pPr>
        <w:ind w:left="2436" w:hanging="360"/>
      </w:pPr>
      <w:rPr>
        <w:rFonts w:hint="default"/>
        <w:lang w:val="zh-cn" w:eastAsia="zh-cn" w:bidi="zh-cn"/>
      </w:rPr>
    </w:lvl>
    <w:lvl w:ilvl="2">
      <w:start w:val="0"/>
      <w:numFmt w:val="bullet"/>
      <w:lvlText w:val="•"/>
      <w:lvlJc w:val="left"/>
      <w:pPr>
        <w:ind w:left="3313" w:hanging="360"/>
      </w:pPr>
      <w:rPr>
        <w:rFonts w:hint="default"/>
        <w:lang w:val="zh-cn" w:eastAsia="zh-cn" w:bidi="zh-cn"/>
      </w:rPr>
    </w:lvl>
    <w:lvl w:ilvl="3">
      <w:start w:val="0"/>
      <w:numFmt w:val="bullet"/>
      <w:lvlText w:val="•"/>
      <w:lvlJc w:val="left"/>
      <w:pPr>
        <w:ind w:left="4189" w:hanging="360"/>
      </w:pPr>
      <w:rPr>
        <w:rFonts w:hint="default"/>
        <w:lang w:val="zh-cn" w:eastAsia="zh-cn" w:bidi="zh-cn"/>
      </w:rPr>
    </w:lvl>
    <w:lvl w:ilvl="4">
      <w:start w:val="0"/>
      <w:numFmt w:val="bullet"/>
      <w:lvlText w:val="•"/>
      <w:lvlJc w:val="left"/>
      <w:pPr>
        <w:ind w:left="5066" w:hanging="360"/>
      </w:pPr>
      <w:rPr>
        <w:rFonts w:hint="default"/>
        <w:lang w:val="zh-cn" w:eastAsia="zh-cn" w:bidi="zh-cn"/>
      </w:rPr>
    </w:lvl>
    <w:lvl w:ilvl="5">
      <w:start w:val="0"/>
      <w:numFmt w:val="bullet"/>
      <w:lvlText w:val="•"/>
      <w:lvlJc w:val="left"/>
      <w:pPr>
        <w:ind w:left="5943" w:hanging="360"/>
      </w:pPr>
      <w:rPr>
        <w:rFonts w:hint="default"/>
        <w:lang w:val="zh-cn" w:eastAsia="zh-cn" w:bidi="zh-cn"/>
      </w:rPr>
    </w:lvl>
    <w:lvl w:ilvl="6">
      <w:start w:val="0"/>
      <w:numFmt w:val="bullet"/>
      <w:lvlText w:val="•"/>
      <w:lvlJc w:val="left"/>
      <w:pPr>
        <w:ind w:left="6819" w:hanging="360"/>
      </w:pPr>
      <w:rPr>
        <w:rFonts w:hint="default"/>
        <w:lang w:val="zh-cn" w:eastAsia="zh-cn" w:bidi="zh-cn"/>
      </w:rPr>
    </w:lvl>
    <w:lvl w:ilvl="7">
      <w:start w:val="0"/>
      <w:numFmt w:val="bullet"/>
      <w:lvlText w:val="•"/>
      <w:lvlJc w:val="left"/>
      <w:pPr>
        <w:ind w:left="7696" w:hanging="360"/>
      </w:pPr>
      <w:rPr>
        <w:rFonts w:hint="default"/>
        <w:lang w:val="zh-cn" w:eastAsia="zh-cn" w:bidi="zh-cn"/>
      </w:rPr>
    </w:lvl>
    <w:lvl w:ilvl="8">
      <w:start w:val="0"/>
      <w:numFmt w:val="bullet"/>
      <w:lvlText w:val="•"/>
      <w:lvlJc w:val="left"/>
      <w:pPr>
        <w:ind w:left="8573" w:hanging="360"/>
      </w:pPr>
      <w:rPr>
        <w:rFonts w:hint="default"/>
        <w:lang w:val="zh-cn" w:eastAsia="zh-cn" w:bidi="zh-cn"/>
      </w:rPr>
    </w:lvl>
  </w:abstractNum>
  <w:abstractNum w:abstractNumId="0">
    <w:multiLevelType w:val="hybridMultilevel"/>
    <w:lvl w:ilvl="0">
      <w:start w:val="1"/>
      <w:numFmt w:val="decimal"/>
      <w:lvlText w:val="%1."/>
      <w:lvlJc w:val="left"/>
      <w:pPr>
        <w:ind w:left="1654" w:hanging="243"/>
        <w:jc w:val="left"/>
      </w:pPr>
      <w:rPr>
        <w:rFonts w:hint="default" w:ascii="Times New Roman" w:hAnsi="Times New Roman" w:eastAsia="Times New Roman" w:cs="Times New Roman"/>
        <w:b/>
        <w:bCs/>
        <w:spacing w:val="1"/>
        <w:w w:val="99"/>
        <w:sz w:val="30"/>
        <w:szCs w:val="30"/>
        <w:lang w:val="zh-cn" w:eastAsia="zh-cn" w:bidi="zh-cn"/>
      </w:rPr>
    </w:lvl>
    <w:lvl w:ilvl="1">
      <w:start w:val="0"/>
      <w:numFmt w:val="bullet"/>
      <w:lvlText w:val="•"/>
      <w:lvlJc w:val="left"/>
      <w:pPr>
        <w:ind w:left="2526" w:hanging="243"/>
      </w:pPr>
      <w:rPr>
        <w:rFonts w:hint="default"/>
        <w:lang w:val="zh-cn" w:eastAsia="zh-cn" w:bidi="zh-cn"/>
      </w:rPr>
    </w:lvl>
    <w:lvl w:ilvl="2">
      <w:start w:val="0"/>
      <w:numFmt w:val="bullet"/>
      <w:lvlText w:val="•"/>
      <w:lvlJc w:val="left"/>
      <w:pPr>
        <w:ind w:left="3393" w:hanging="243"/>
      </w:pPr>
      <w:rPr>
        <w:rFonts w:hint="default"/>
        <w:lang w:val="zh-cn" w:eastAsia="zh-cn" w:bidi="zh-cn"/>
      </w:rPr>
    </w:lvl>
    <w:lvl w:ilvl="3">
      <w:start w:val="0"/>
      <w:numFmt w:val="bullet"/>
      <w:lvlText w:val="•"/>
      <w:lvlJc w:val="left"/>
      <w:pPr>
        <w:ind w:left="4259" w:hanging="243"/>
      </w:pPr>
      <w:rPr>
        <w:rFonts w:hint="default"/>
        <w:lang w:val="zh-cn" w:eastAsia="zh-cn" w:bidi="zh-cn"/>
      </w:rPr>
    </w:lvl>
    <w:lvl w:ilvl="4">
      <w:start w:val="0"/>
      <w:numFmt w:val="bullet"/>
      <w:lvlText w:val="•"/>
      <w:lvlJc w:val="left"/>
      <w:pPr>
        <w:ind w:left="5126" w:hanging="243"/>
      </w:pPr>
      <w:rPr>
        <w:rFonts w:hint="default"/>
        <w:lang w:val="zh-cn" w:eastAsia="zh-cn" w:bidi="zh-cn"/>
      </w:rPr>
    </w:lvl>
    <w:lvl w:ilvl="5">
      <w:start w:val="0"/>
      <w:numFmt w:val="bullet"/>
      <w:lvlText w:val="•"/>
      <w:lvlJc w:val="left"/>
      <w:pPr>
        <w:ind w:left="5993" w:hanging="243"/>
      </w:pPr>
      <w:rPr>
        <w:rFonts w:hint="default"/>
        <w:lang w:val="zh-cn" w:eastAsia="zh-cn" w:bidi="zh-cn"/>
      </w:rPr>
    </w:lvl>
    <w:lvl w:ilvl="6">
      <w:start w:val="0"/>
      <w:numFmt w:val="bullet"/>
      <w:lvlText w:val="•"/>
      <w:lvlJc w:val="left"/>
      <w:pPr>
        <w:ind w:left="6859" w:hanging="243"/>
      </w:pPr>
      <w:rPr>
        <w:rFonts w:hint="default"/>
        <w:lang w:val="zh-cn" w:eastAsia="zh-cn" w:bidi="zh-cn"/>
      </w:rPr>
    </w:lvl>
    <w:lvl w:ilvl="7">
      <w:start w:val="0"/>
      <w:numFmt w:val="bullet"/>
      <w:lvlText w:val="•"/>
      <w:lvlJc w:val="left"/>
      <w:pPr>
        <w:ind w:left="7726" w:hanging="243"/>
      </w:pPr>
      <w:rPr>
        <w:rFonts w:hint="default"/>
        <w:lang w:val="zh-cn" w:eastAsia="zh-cn" w:bidi="zh-cn"/>
      </w:rPr>
    </w:lvl>
    <w:lvl w:ilvl="8">
      <w:start w:val="0"/>
      <w:numFmt w:val="bullet"/>
      <w:lvlText w:val="•"/>
      <w:lvlJc w:val="left"/>
      <w:pPr>
        <w:ind w:left="8593" w:hanging="243"/>
      </w:pPr>
      <w:rPr>
        <w:rFonts w:hint="default"/>
        <w:lang w:val="zh-cn" w:eastAsia="zh-cn" w:bidi="zh-cn"/>
      </w:rPr>
    </w:lvl>
  </w:abstractNum>
  <w:abstractNum w:abstractNumId="15">
    <w:multiLevelType w:val="hybridMultilevel"/>
    <w:lvl w:ilvl="0">
      <w:start w:val="1"/>
      <w:numFmt w:val="decimal"/>
      <w:lvlText w:val="[%1]"/>
      <w:lvlJc w:val="left"/>
      <w:pPr>
        <w:ind w:left="780" w:hanging="478"/>
        <w:jc w:val="left"/>
      </w:pPr>
      <w:rPr>
        <w:rFonts w:hint="default" w:ascii="Times New Roman" w:hAnsi="Times New Roman" w:eastAsia="Times New Roman" w:cs="Times New Roman"/>
        <w:w w:val="100"/>
        <w:sz w:val="28"/>
        <w:szCs w:val="28"/>
        <w:lang w:val="zh-cn" w:eastAsia="zh-cn" w:bidi="zh-cn"/>
      </w:rPr>
    </w:lvl>
    <w:lvl w:ilvl="1">
      <w:start w:val="0"/>
      <w:numFmt w:val="bullet"/>
      <w:lvlText w:val="•"/>
      <w:lvlJc w:val="left"/>
      <w:pPr>
        <w:ind w:left="1734" w:hanging="478"/>
      </w:pPr>
      <w:rPr>
        <w:rFonts w:hint="default"/>
        <w:lang w:val="zh-cn" w:eastAsia="zh-cn" w:bidi="zh-cn"/>
      </w:rPr>
    </w:lvl>
    <w:lvl w:ilvl="2">
      <w:start w:val="0"/>
      <w:numFmt w:val="bullet"/>
      <w:lvlText w:val="•"/>
      <w:lvlJc w:val="left"/>
      <w:pPr>
        <w:ind w:left="2689" w:hanging="478"/>
      </w:pPr>
      <w:rPr>
        <w:rFonts w:hint="default"/>
        <w:lang w:val="zh-cn" w:eastAsia="zh-cn" w:bidi="zh-cn"/>
      </w:rPr>
    </w:lvl>
    <w:lvl w:ilvl="3">
      <w:start w:val="0"/>
      <w:numFmt w:val="bullet"/>
      <w:lvlText w:val="•"/>
      <w:lvlJc w:val="left"/>
      <w:pPr>
        <w:ind w:left="3643" w:hanging="478"/>
      </w:pPr>
      <w:rPr>
        <w:rFonts w:hint="default"/>
        <w:lang w:val="zh-cn" w:eastAsia="zh-cn" w:bidi="zh-cn"/>
      </w:rPr>
    </w:lvl>
    <w:lvl w:ilvl="4">
      <w:start w:val="0"/>
      <w:numFmt w:val="bullet"/>
      <w:lvlText w:val="•"/>
      <w:lvlJc w:val="left"/>
      <w:pPr>
        <w:ind w:left="4598" w:hanging="478"/>
      </w:pPr>
      <w:rPr>
        <w:rFonts w:hint="default"/>
        <w:lang w:val="zh-cn" w:eastAsia="zh-cn" w:bidi="zh-cn"/>
      </w:rPr>
    </w:lvl>
    <w:lvl w:ilvl="5">
      <w:start w:val="0"/>
      <w:numFmt w:val="bullet"/>
      <w:lvlText w:val="•"/>
      <w:lvlJc w:val="left"/>
      <w:pPr>
        <w:ind w:left="5553" w:hanging="478"/>
      </w:pPr>
      <w:rPr>
        <w:rFonts w:hint="default"/>
        <w:lang w:val="zh-cn" w:eastAsia="zh-cn" w:bidi="zh-cn"/>
      </w:rPr>
    </w:lvl>
    <w:lvl w:ilvl="6">
      <w:start w:val="0"/>
      <w:numFmt w:val="bullet"/>
      <w:lvlText w:val="•"/>
      <w:lvlJc w:val="left"/>
      <w:pPr>
        <w:ind w:left="6507" w:hanging="478"/>
      </w:pPr>
      <w:rPr>
        <w:rFonts w:hint="default"/>
        <w:lang w:val="zh-cn" w:eastAsia="zh-cn" w:bidi="zh-cn"/>
      </w:rPr>
    </w:lvl>
    <w:lvl w:ilvl="7">
      <w:start w:val="0"/>
      <w:numFmt w:val="bullet"/>
      <w:lvlText w:val="•"/>
      <w:lvlJc w:val="left"/>
      <w:pPr>
        <w:ind w:left="7462" w:hanging="478"/>
      </w:pPr>
      <w:rPr>
        <w:rFonts w:hint="default"/>
        <w:lang w:val="zh-cn" w:eastAsia="zh-cn" w:bidi="zh-cn"/>
      </w:rPr>
    </w:lvl>
    <w:lvl w:ilvl="8">
      <w:start w:val="0"/>
      <w:numFmt w:val="bullet"/>
      <w:lvlText w:val="•"/>
      <w:lvlJc w:val="left"/>
      <w:pPr>
        <w:ind w:left="8417" w:hanging="478"/>
      </w:pPr>
      <w:rPr>
        <w:rFonts w:hint="default"/>
        <w:lang w:val="zh-cn" w:eastAsia="zh-cn" w:bidi="zh-cn"/>
      </w:rPr>
    </w:lvl>
  </w:abstractNum>
  <w:abstractNum w:abstractNumId="14">
    <w:multiLevelType w:val="hybridMultilevel"/>
    <w:lvl w:ilvl="0">
      <w:start w:val="3"/>
      <w:numFmt w:val="decimal"/>
      <w:lvlText w:val="%1"/>
      <w:lvlJc w:val="left"/>
      <w:pPr>
        <w:ind w:left="1058" w:hanging="279"/>
        <w:jc w:val="left"/>
      </w:pPr>
      <w:rPr>
        <w:rFonts w:hint="default" w:ascii="Times New Roman" w:hAnsi="Times New Roman" w:eastAsia="Times New Roman" w:cs="Times New Roman"/>
        <w:b/>
        <w:bCs/>
        <w:w w:val="100"/>
        <w:sz w:val="28"/>
        <w:szCs w:val="28"/>
        <w:lang w:val="zh-cn" w:eastAsia="zh-cn" w:bidi="zh-cn"/>
      </w:rPr>
    </w:lvl>
    <w:lvl w:ilvl="1">
      <w:start w:val="1"/>
      <w:numFmt w:val="decimal"/>
      <w:lvlText w:val="%1.%2"/>
      <w:lvlJc w:val="left"/>
      <w:pPr>
        <w:ind w:left="1270" w:hanging="490"/>
        <w:jc w:val="left"/>
      </w:pPr>
      <w:rPr>
        <w:rFonts w:hint="default" w:ascii="Times New Roman" w:hAnsi="Times New Roman" w:eastAsia="Times New Roman" w:cs="Times New Roman"/>
        <w:b/>
        <w:bCs/>
        <w:w w:val="100"/>
        <w:sz w:val="28"/>
        <w:szCs w:val="28"/>
        <w:lang w:val="zh-cn" w:eastAsia="zh-cn" w:bidi="zh-cn"/>
      </w:rPr>
    </w:lvl>
    <w:lvl w:ilvl="2">
      <w:start w:val="1"/>
      <w:numFmt w:val="decimal"/>
      <w:lvlText w:val="%1.%2.%3"/>
      <w:lvlJc w:val="left"/>
      <w:pPr>
        <w:ind w:left="1478" w:hanging="699"/>
        <w:jc w:val="left"/>
      </w:pPr>
      <w:rPr>
        <w:rFonts w:hint="default" w:ascii="Times New Roman" w:hAnsi="Times New Roman" w:eastAsia="Times New Roman" w:cs="Times New Roman"/>
        <w:b/>
        <w:bCs/>
        <w:spacing w:val="-3"/>
        <w:w w:val="100"/>
        <w:sz w:val="28"/>
        <w:szCs w:val="28"/>
        <w:lang w:val="zh-cn" w:eastAsia="zh-cn" w:bidi="zh-cn"/>
      </w:rPr>
    </w:lvl>
    <w:lvl w:ilvl="3">
      <w:start w:val="0"/>
      <w:numFmt w:val="bullet"/>
      <w:lvlText w:val="•"/>
      <w:lvlJc w:val="left"/>
      <w:pPr>
        <w:ind w:left="2585" w:hanging="699"/>
      </w:pPr>
      <w:rPr>
        <w:rFonts w:hint="default"/>
        <w:lang w:val="zh-cn" w:eastAsia="zh-cn" w:bidi="zh-cn"/>
      </w:rPr>
    </w:lvl>
    <w:lvl w:ilvl="4">
      <w:start w:val="0"/>
      <w:numFmt w:val="bullet"/>
      <w:lvlText w:val="•"/>
      <w:lvlJc w:val="left"/>
      <w:pPr>
        <w:ind w:left="3691" w:hanging="699"/>
      </w:pPr>
      <w:rPr>
        <w:rFonts w:hint="default"/>
        <w:lang w:val="zh-cn" w:eastAsia="zh-cn" w:bidi="zh-cn"/>
      </w:rPr>
    </w:lvl>
    <w:lvl w:ilvl="5">
      <w:start w:val="0"/>
      <w:numFmt w:val="bullet"/>
      <w:lvlText w:val="•"/>
      <w:lvlJc w:val="left"/>
      <w:pPr>
        <w:ind w:left="4797" w:hanging="699"/>
      </w:pPr>
      <w:rPr>
        <w:rFonts w:hint="default"/>
        <w:lang w:val="zh-cn" w:eastAsia="zh-cn" w:bidi="zh-cn"/>
      </w:rPr>
    </w:lvl>
    <w:lvl w:ilvl="6">
      <w:start w:val="0"/>
      <w:numFmt w:val="bullet"/>
      <w:lvlText w:val="•"/>
      <w:lvlJc w:val="left"/>
      <w:pPr>
        <w:ind w:left="5903" w:hanging="699"/>
      </w:pPr>
      <w:rPr>
        <w:rFonts w:hint="default"/>
        <w:lang w:val="zh-cn" w:eastAsia="zh-cn" w:bidi="zh-cn"/>
      </w:rPr>
    </w:lvl>
    <w:lvl w:ilvl="7">
      <w:start w:val="0"/>
      <w:numFmt w:val="bullet"/>
      <w:lvlText w:val="•"/>
      <w:lvlJc w:val="left"/>
      <w:pPr>
        <w:ind w:left="7009" w:hanging="699"/>
      </w:pPr>
      <w:rPr>
        <w:rFonts w:hint="default"/>
        <w:lang w:val="zh-cn" w:eastAsia="zh-cn" w:bidi="zh-cn"/>
      </w:rPr>
    </w:lvl>
    <w:lvl w:ilvl="8">
      <w:start w:val="0"/>
      <w:numFmt w:val="bullet"/>
      <w:lvlText w:val="•"/>
      <w:lvlJc w:val="left"/>
      <w:pPr>
        <w:ind w:left="8114" w:hanging="699"/>
      </w:pPr>
      <w:rPr>
        <w:rFonts w:hint="default"/>
        <w:lang w:val="zh-cn" w:eastAsia="zh-cn" w:bidi="zh-cn"/>
      </w:rPr>
    </w:lvl>
  </w:abstractNum>
  <w:abstractNum w:abstractNumId="13">
    <w:multiLevelType w:val="hybridMultilevel"/>
    <w:lvl w:ilvl="0">
      <w:start w:val="2"/>
      <w:numFmt w:val="decimal"/>
      <w:lvlText w:val="%1"/>
      <w:lvlJc w:val="left"/>
      <w:pPr>
        <w:ind w:left="1133" w:hanging="353"/>
        <w:jc w:val="left"/>
      </w:pPr>
      <w:rPr>
        <w:rFonts w:hint="default"/>
        <w:lang w:val="zh-cn" w:eastAsia="zh-cn" w:bidi="zh-cn"/>
      </w:rPr>
    </w:lvl>
    <w:lvl w:ilvl="1">
      <w:start w:val="1"/>
      <w:numFmt w:val="decimal"/>
      <w:lvlText w:val="%1.%2"/>
      <w:lvlJc w:val="left"/>
      <w:pPr>
        <w:ind w:left="1133" w:hanging="353"/>
        <w:jc w:val="left"/>
      </w:pPr>
      <w:rPr>
        <w:rFonts w:hint="default" w:ascii="Times New Roman" w:hAnsi="Times New Roman" w:eastAsia="Times New Roman" w:cs="Times New Roman"/>
        <w:b/>
        <w:bCs/>
        <w:spacing w:val="-2"/>
        <w:w w:val="100"/>
        <w:sz w:val="26"/>
        <w:szCs w:val="26"/>
        <w:lang w:val="zh-cn" w:eastAsia="zh-cn" w:bidi="zh-cn"/>
      </w:rPr>
    </w:lvl>
    <w:lvl w:ilvl="2">
      <w:start w:val="1"/>
      <w:numFmt w:val="decimal"/>
      <w:lvlText w:val="%1.%2.%3"/>
      <w:lvlJc w:val="left"/>
      <w:pPr>
        <w:ind w:left="1341" w:hanging="561"/>
        <w:jc w:val="left"/>
      </w:pPr>
      <w:rPr>
        <w:rFonts w:hint="default" w:ascii="Times New Roman" w:hAnsi="Times New Roman" w:eastAsia="Times New Roman" w:cs="Times New Roman"/>
        <w:b/>
        <w:bCs/>
        <w:spacing w:val="-3"/>
        <w:w w:val="100"/>
        <w:sz w:val="26"/>
        <w:szCs w:val="26"/>
        <w:lang w:val="zh-cn" w:eastAsia="zh-cn" w:bidi="zh-cn"/>
      </w:rPr>
    </w:lvl>
    <w:lvl w:ilvl="3">
      <w:start w:val="0"/>
      <w:numFmt w:val="bullet"/>
      <w:lvlText w:val="•"/>
      <w:lvlJc w:val="left"/>
      <w:pPr>
        <w:ind w:left="3336" w:hanging="561"/>
      </w:pPr>
      <w:rPr>
        <w:rFonts w:hint="default"/>
        <w:lang w:val="zh-cn" w:eastAsia="zh-cn" w:bidi="zh-cn"/>
      </w:rPr>
    </w:lvl>
    <w:lvl w:ilvl="4">
      <w:start w:val="0"/>
      <w:numFmt w:val="bullet"/>
      <w:lvlText w:val="•"/>
      <w:lvlJc w:val="left"/>
      <w:pPr>
        <w:ind w:left="4335" w:hanging="561"/>
      </w:pPr>
      <w:rPr>
        <w:rFonts w:hint="default"/>
        <w:lang w:val="zh-cn" w:eastAsia="zh-cn" w:bidi="zh-cn"/>
      </w:rPr>
    </w:lvl>
    <w:lvl w:ilvl="5">
      <w:start w:val="0"/>
      <w:numFmt w:val="bullet"/>
      <w:lvlText w:val="•"/>
      <w:lvlJc w:val="left"/>
      <w:pPr>
        <w:ind w:left="5333" w:hanging="561"/>
      </w:pPr>
      <w:rPr>
        <w:rFonts w:hint="default"/>
        <w:lang w:val="zh-cn" w:eastAsia="zh-cn" w:bidi="zh-cn"/>
      </w:rPr>
    </w:lvl>
    <w:lvl w:ilvl="6">
      <w:start w:val="0"/>
      <w:numFmt w:val="bullet"/>
      <w:lvlText w:val="•"/>
      <w:lvlJc w:val="left"/>
      <w:pPr>
        <w:ind w:left="6332" w:hanging="561"/>
      </w:pPr>
      <w:rPr>
        <w:rFonts w:hint="default"/>
        <w:lang w:val="zh-cn" w:eastAsia="zh-cn" w:bidi="zh-cn"/>
      </w:rPr>
    </w:lvl>
    <w:lvl w:ilvl="7">
      <w:start w:val="0"/>
      <w:numFmt w:val="bullet"/>
      <w:lvlText w:val="•"/>
      <w:lvlJc w:val="left"/>
      <w:pPr>
        <w:ind w:left="7330" w:hanging="561"/>
      </w:pPr>
      <w:rPr>
        <w:rFonts w:hint="default"/>
        <w:lang w:val="zh-cn" w:eastAsia="zh-cn" w:bidi="zh-cn"/>
      </w:rPr>
    </w:lvl>
    <w:lvl w:ilvl="8">
      <w:start w:val="0"/>
      <w:numFmt w:val="bullet"/>
      <w:lvlText w:val="•"/>
      <w:lvlJc w:val="left"/>
      <w:pPr>
        <w:ind w:left="8329" w:hanging="561"/>
      </w:pPr>
      <w:rPr>
        <w:rFonts w:hint="default"/>
        <w:lang w:val="zh-cn" w:eastAsia="zh-cn" w:bidi="zh-cn"/>
      </w:rPr>
    </w:lvl>
  </w:abstractNum>
  <w:abstractNum w:abstractNumId="12">
    <w:multiLevelType w:val="hybridMultilevel"/>
    <w:lvl w:ilvl="0">
      <w:start w:val="1"/>
      <w:numFmt w:val="decimal"/>
      <w:lvlText w:val="%1"/>
      <w:lvlJc w:val="left"/>
      <w:pPr>
        <w:ind w:left="1058" w:hanging="279"/>
        <w:jc w:val="left"/>
      </w:pPr>
      <w:rPr>
        <w:rFonts w:hint="default" w:ascii="Times New Roman" w:hAnsi="Times New Roman" w:eastAsia="Times New Roman" w:cs="Times New Roman"/>
        <w:b/>
        <w:bCs/>
        <w:w w:val="100"/>
        <w:sz w:val="28"/>
        <w:szCs w:val="28"/>
        <w:lang w:val="zh-cn" w:eastAsia="zh-cn" w:bidi="zh-cn"/>
      </w:rPr>
    </w:lvl>
    <w:lvl w:ilvl="1">
      <w:start w:val="1"/>
      <w:numFmt w:val="decimal"/>
      <w:lvlText w:val="%1.%2"/>
      <w:lvlJc w:val="left"/>
      <w:pPr>
        <w:ind w:left="1270" w:hanging="490"/>
        <w:jc w:val="left"/>
      </w:pPr>
      <w:rPr>
        <w:rFonts w:hint="default" w:ascii="Times New Roman" w:hAnsi="Times New Roman" w:eastAsia="Times New Roman" w:cs="Times New Roman"/>
        <w:b/>
        <w:bCs/>
        <w:w w:val="100"/>
        <w:sz w:val="28"/>
        <w:szCs w:val="28"/>
        <w:lang w:val="zh-cn" w:eastAsia="zh-cn" w:bidi="zh-cn"/>
      </w:rPr>
    </w:lvl>
    <w:lvl w:ilvl="2">
      <w:start w:val="0"/>
      <w:numFmt w:val="bullet"/>
      <w:lvlText w:val="•"/>
      <w:lvlJc w:val="left"/>
      <w:pPr>
        <w:ind w:left="2285" w:hanging="490"/>
      </w:pPr>
      <w:rPr>
        <w:rFonts w:hint="default"/>
        <w:lang w:val="zh-cn" w:eastAsia="zh-cn" w:bidi="zh-cn"/>
      </w:rPr>
    </w:lvl>
    <w:lvl w:ilvl="3">
      <w:start w:val="0"/>
      <w:numFmt w:val="bullet"/>
      <w:lvlText w:val="•"/>
      <w:lvlJc w:val="left"/>
      <w:pPr>
        <w:ind w:left="3290" w:hanging="490"/>
      </w:pPr>
      <w:rPr>
        <w:rFonts w:hint="default"/>
        <w:lang w:val="zh-cn" w:eastAsia="zh-cn" w:bidi="zh-cn"/>
      </w:rPr>
    </w:lvl>
    <w:lvl w:ilvl="4">
      <w:start w:val="0"/>
      <w:numFmt w:val="bullet"/>
      <w:lvlText w:val="•"/>
      <w:lvlJc w:val="left"/>
      <w:pPr>
        <w:ind w:left="4295" w:hanging="490"/>
      </w:pPr>
      <w:rPr>
        <w:rFonts w:hint="default"/>
        <w:lang w:val="zh-cn" w:eastAsia="zh-cn" w:bidi="zh-cn"/>
      </w:rPr>
    </w:lvl>
    <w:lvl w:ilvl="5">
      <w:start w:val="0"/>
      <w:numFmt w:val="bullet"/>
      <w:lvlText w:val="•"/>
      <w:lvlJc w:val="left"/>
      <w:pPr>
        <w:ind w:left="5300" w:hanging="490"/>
      </w:pPr>
      <w:rPr>
        <w:rFonts w:hint="default"/>
        <w:lang w:val="zh-cn" w:eastAsia="zh-cn" w:bidi="zh-cn"/>
      </w:rPr>
    </w:lvl>
    <w:lvl w:ilvl="6">
      <w:start w:val="0"/>
      <w:numFmt w:val="bullet"/>
      <w:lvlText w:val="•"/>
      <w:lvlJc w:val="left"/>
      <w:pPr>
        <w:ind w:left="6305" w:hanging="490"/>
      </w:pPr>
      <w:rPr>
        <w:rFonts w:hint="default"/>
        <w:lang w:val="zh-cn" w:eastAsia="zh-cn" w:bidi="zh-cn"/>
      </w:rPr>
    </w:lvl>
    <w:lvl w:ilvl="7">
      <w:start w:val="0"/>
      <w:numFmt w:val="bullet"/>
      <w:lvlText w:val="•"/>
      <w:lvlJc w:val="left"/>
      <w:pPr>
        <w:ind w:left="7310" w:hanging="490"/>
      </w:pPr>
      <w:rPr>
        <w:rFonts w:hint="default"/>
        <w:lang w:val="zh-cn" w:eastAsia="zh-cn" w:bidi="zh-cn"/>
      </w:rPr>
    </w:lvl>
    <w:lvl w:ilvl="8">
      <w:start w:val="0"/>
      <w:numFmt w:val="bullet"/>
      <w:lvlText w:val="•"/>
      <w:lvlJc w:val="left"/>
      <w:pPr>
        <w:ind w:left="8316" w:hanging="490"/>
      </w:pPr>
      <w:rPr>
        <w:rFonts w:hint="default"/>
        <w:lang w:val="zh-cn" w:eastAsia="zh-cn" w:bidi="zh-cn"/>
      </w:rPr>
    </w:lvl>
  </w:abstractNum>
  <w:abstractNum w:abstractNumId="11">
    <w:multiLevelType w:val="hybridMultilevel"/>
    <w:lvl w:ilvl="0">
      <w:start w:val="6"/>
      <w:numFmt w:val="decimal"/>
      <w:lvlText w:val="%1）"/>
      <w:lvlJc w:val="left"/>
      <w:pPr>
        <w:ind w:left="2017" w:hanging="421"/>
        <w:jc w:val="left"/>
      </w:pPr>
      <w:rPr>
        <w:rFonts w:hint="default" w:ascii="宋体" w:hAnsi="宋体" w:eastAsia="宋体" w:cs="宋体"/>
        <w:spacing w:val="-3"/>
        <w:w w:val="100"/>
        <w:sz w:val="26"/>
        <w:szCs w:val="26"/>
        <w:lang w:val="zh-cn" w:eastAsia="zh-cn" w:bidi="zh-cn"/>
      </w:rPr>
    </w:lvl>
    <w:lvl w:ilvl="1">
      <w:start w:val="0"/>
      <w:numFmt w:val="bullet"/>
      <w:lvlText w:val="•"/>
      <w:lvlJc w:val="left"/>
      <w:pPr>
        <w:ind w:left="2850" w:hanging="421"/>
      </w:pPr>
      <w:rPr>
        <w:rFonts w:hint="default"/>
        <w:lang w:val="zh-cn" w:eastAsia="zh-cn" w:bidi="zh-cn"/>
      </w:rPr>
    </w:lvl>
    <w:lvl w:ilvl="2">
      <w:start w:val="0"/>
      <w:numFmt w:val="bullet"/>
      <w:lvlText w:val="•"/>
      <w:lvlJc w:val="left"/>
      <w:pPr>
        <w:ind w:left="3681" w:hanging="421"/>
      </w:pPr>
      <w:rPr>
        <w:rFonts w:hint="default"/>
        <w:lang w:val="zh-cn" w:eastAsia="zh-cn" w:bidi="zh-cn"/>
      </w:rPr>
    </w:lvl>
    <w:lvl w:ilvl="3">
      <w:start w:val="0"/>
      <w:numFmt w:val="bullet"/>
      <w:lvlText w:val="•"/>
      <w:lvlJc w:val="left"/>
      <w:pPr>
        <w:ind w:left="4511" w:hanging="421"/>
      </w:pPr>
      <w:rPr>
        <w:rFonts w:hint="default"/>
        <w:lang w:val="zh-cn" w:eastAsia="zh-cn" w:bidi="zh-cn"/>
      </w:rPr>
    </w:lvl>
    <w:lvl w:ilvl="4">
      <w:start w:val="0"/>
      <w:numFmt w:val="bullet"/>
      <w:lvlText w:val="•"/>
      <w:lvlJc w:val="left"/>
      <w:pPr>
        <w:ind w:left="5342" w:hanging="421"/>
      </w:pPr>
      <w:rPr>
        <w:rFonts w:hint="default"/>
        <w:lang w:val="zh-cn" w:eastAsia="zh-cn" w:bidi="zh-cn"/>
      </w:rPr>
    </w:lvl>
    <w:lvl w:ilvl="5">
      <w:start w:val="0"/>
      <w:numFmt w:val="bullet"/>
      <w:lvlText w:val="•"/>
      <w:lvlJc w:val="left"/>
      <w:pPr>
        <w:ind w:left="6173" w:hanging="421"/>
      </w:pPr>
      <w:rPr>
        <w:rFonts w:hint="default"/>
        <w:lang w:val="zh-cn" w:eastAsia="zh-cn" w:bidi="zh-cn"/>
      </w:rPr>
    </w:lvl>
    <w:lvl w:ilvl="6">
      <w:start w:val="0"/>
      <w:numFmt w:val="bullet"/>
      <w:lvlText w:val="•"/>
      <w:lvlJc w:val="left"/>
      <w:pPr>
        <w:ind w:left="7003" w:hanging="421"/>
      </w:pPr>
      <w:rPr>
        <w:rFonts w:hint="default"/>
        <w:lang w:val="zh-cn" w:eastAsia="zh-cn" w:bidi="zh-cn"/>
      </w:rPr>
    </w:lvl>
    <w:lvl w:ilvl="7">
      <w:start w:val="0"/>
      <w:numFmt w:val="bullet"/>
      <w:lvlText w:val="•"/>
      <w:lvlJc w:val="left"/>
      <w:pPr>
        <w:ind w:left="7834" w:hanging="421"/>
      </w:pPr>
      <w:rPr>
        <w:rFonts w:hint="default"/>
        <w:lang w:val="zh-cn" w:eastAsia="zh-cn" w:bidi="zh-cn"/>
      </w:rPr>
    </w:lvl>
    <w:lvl w:ilvl="8">
      <w:start w:val="0"/>
      <w:numFmt w:val="bullet"/>
      <w:lvlText w:val="•"/>
      <w:lvlJc w:val="left"/>
      <w:pPr>
        <w:ind w:left="8665" w:hanging="421"/>
      </w:pPr>
      <w:rPr>
        <w:rFonts w:hint="default"/>
        <w:lang w:val="zh-cn" w:eastAsia="zh-cn" w:bidi="zh-cn"/>
      </w:rPr>
    </w:lvl>
  </w:abstractNum>
  <w:abstractNum w:abstractNumId="10">
    <w:multiLevelType w:val="hybridMultilevel"/>
    <w:lvl w:ilvl="0">
      <w:start w:val="1"/>
      <w:numFmt w:val="decimal"/>
      <w:lvlText w:val="%1）"/>
      <w:lvlJc w:val="left"/>
      <w:pPr>
        <w:ind w:left="2017" w:hanging="421"/>
        <w:jc w:val="left"/>
      </w:pPr>
      <w:rPr>
        <w:rFonts w:hint="default" w:ascii="宋体" w:hAnsi="宋体" w:eastAsia="宋体" w:cs="宋体"/>
        <w:spacing w:val="-3"/>
        <w:w w:val="100"/>
        <w:sz w:val="26"/>
        <w:szCs w:val="26"/>
        <w:lang w:val="zh-cn" w:eastAsia="zh-cn" w:bidi="zh-cn"/>
      </w:rPr>
    </w:lvl>
    <w:lvl w:ilvl="1">
      <w:start w:val="0"/>
      <w:numFmt w:val="bullet"/>
      <w:lvlText w:val="•"/>
      <w:lvlJc w:val="left"/>
      <w:pPr>
        <w:ind w:left="2850" w:hanging="421"/>
      </w:pPr>
      <w:rPr>
        <w:rFonts w:hint="default"/>
        <w:lang w:val="zh-cn" w:eastAsia="zh-cn" w:bidi="zh-cn"/>
      </w:rPr>
    </w:lvl>
    <w:lvl w:ilvl="2">
      <w:start w:val="0"/>
      <w:numFmt w:val="bullet"/>
      <w:lvlText w:val="•"/>
      <w:lvlJc w:val="left"/>
      <w:pPr>
        <w:ind w:left="3681" w:hanging="421"/>
      </w:pPr>
      <w:rPr>
        <w:rFonts w:hint="default"/>
        <w:lang w:val="zh-cn" w:eastAsia="zh-cn" w:bidi="zh-cn"/>
      </w:rPr>
    </w:lvl>
    <w:lvl w:ilvl="3">
      <w:start w:val="0"/>
      <w:numFmt w:val="bullet"/>
      <w:lvlText w:val="•"/>
      <w:lvlJc w:val="left"/>
      <w:pPr>
        <w:ind w:left="4511" w:hanging="421"/>
      </w:pPr>
      <w:rPr>
        <w:rFonts w:hint="default"/>
        <w:lang w:val="zh-cn" w:eastAsia="zh-cn" w:bidi="zh-cn"/>
      </w:rPr>
    </w:lvl>
    <w:lvl w:ilvl="4">
      <w:start w:val="0"/>
      <w:numFmt w:val="bullet"/>
      <w:lvlText w:val="•"/>
      <w:lvlJc w:val="left"/>
      <w:pPr>
        <w:ind w:left="5342" w:hanging="421"/>
      </w:pPr>
      <w:rPr>
        <w:rFonts w:hint="default"/>
        <w:lang w:val="zh-cn" w:eastAsia="zh-cn" w:bidi="zh-cn"/>
      </w:rPr>
    </w:lvl>
    <w:lvl w:ilvl="5">
      <w:start w:val="0"/>
      <w:numFmt w:val="bullet"/>
      <w:lvlText w:val="•"/>
      <w:lvlJc w:val="left"/>
      <w:pPr>
        <w:ind w:left="6173" w:hanging="421"/>
      </w:pPr>
      <w:rPr>
        <w:rFonts w:hint="default"/>
        <w:lang w:val="zh-cn" w:eastAsia="zh-cn" w:bidi="zh-cn"/>
      </w:rPr>
    </w:lvl>
    <w:lvl w:ilvl="6">
      <w:start w:val="0"/>
      <w:numFmt w:val="bullet"/>
      <w:lvlText w:val="•"/>
      <w:lvlJc w:val="left"/>
      <w:pPr>
        <w:ind w:left="7003" w:hanging="421"/>
      </w:pPr>
      <w:rPr>
        <w:rFonts w:hint="default"/>
        <w:lang w:val="zh-cn" w:eastAsia="zh-cn" w:bidi="zh-cn"/>
      </w:rPr>
    </w:lvl>
    <w:lvl w:ilvl="7">
      <w:start w:val="0"/>
      <w:numFmt w:val="bullet"/>
      <w:lvlText w:val="•"/>
      <w:lvlJc w:val="left"/>
      <w:pPr>
        <w:ind w:left="7834" w:hanging="421"/>
      </w:pPr>
      <w:rPr>
        <w:rFonts w:hint="default"/>
        <w:lang w:val="zh-cn" w:eastAsia="zh-cn" w:bidi="zh-cn"/>
      </w:rPr>
    </w:lvl>
    <w:lvl w:ilvl="8">
      <w:start w:val="0"/>
      <w:numFmt w:val="bullet"/>
      <w:lvlText w:val="•"/>
      <w:lvlJc w:val="left"/>
      <w:pPr>
        <w:ind w:left="8665" w:hanging="421"/>
      </w:pPr>
      <w:rPr>
        <w:rFonts w:hint="default"/>
        <w:lang w:val="zh-cn" w:eastAsia="zh-cn" w:bidi="zh-cn"/>
      </w:rPr>
    </w:lvl>
  </w:abstractNum>
  <w:abstractNum w:abstractNumId="9">
    <w:multiLevelType w:val="hybridMultilevel"/>
    <w:lvl w:ilvl="0">
      <w:start w:val="1"/>
      <w:numFmt w:val="decimal"/>
      <w:lvlText w:val="%1."/>
      <w:lvlJc w:val="left"/>
      <w:pPr>
        <w:ind w:left="1754" w:hanging="423"/>
        <w:jc w:val="left"/>
      </w:pPr>
      <w:rPr>
        <w:rFonts w:hint="default" w:ascii="等线" w:hAnsi="等线" w:eastAsia="等线" w:cs="等线"/>
        <w:b/>
        <w:bCs/>
        <w:spacing w:val="0"/>
        <w:w w:val="125"/>
        <w:sz w:val="28"/>
        <w:szCs w:val="28"/>
        <w:lang w:val="zh-cn" w:eastAsia="zh-cn" w:bidi="zh-cn"/>
      </w:rPr>
    </w:lvl>
    <w:lvl w:ilvl="1">
      <w:start w:val="1"/>
      <w:numFmt w:val="decimal"/>
      <w:lvlText w:val="%2）"/>
      <w:lvlJc w:val="left"/>
      <w:pPr>
        <w:ind w:left="1995" w:hanging="421"/>
        <w:jc w:val="left"/>
      </w:pPr>
      <w:rPr>
        <w:rFonts w:hint="default" w:ascii="宋体" w:hAnsi="宋体" w:eastAsia="宋体" w:cs="宋体"/>
        <w:spacing w:val="-3"/>
        <w:w w:val="100"/>
        <w:sz w:val="26"/>
        <w:szCs w:val="26"/>
        <w:lang w:val="zh-cn" w:eastAsia="zh-cn" w:bidi="zh-cn"/>
      </w:rPr>
    </w:lvl>
    <w:lvl w:ilvl="2">
      <w:start w:val="0"/>
      <w:numFmt w:val="bullet"/>
      <w:lvlText w:val="•"/>
      <w:lvlJc w:val="left"/>
      <w:pPr>
        <w:ind w:left="2925" w:hanging="421"/>
      </w:pPr>
      <w:rPr>
        <w:rFonts w:hint="default"/>
        <w:lang w:val="zh-cn" w:eastAsia="zh-cn" w:bidi="zh-cn"/>
      </w:rPr>
    </w:lvl>
    <w:lvl w:ilvl="3">
      <w:start w:val="0"/>
      <w:numFmt w:val="bullet"/>
      <w:lvlText w:val="•"/>
      <w:lvlJc w:val="left"/>
      <w:pPr>
        <w:ind w:left="3850" w:hanging="421"/>
      </w:pPr>
      <w:rPr>
        <w:rFonts w:hint="default"/>
        <w:lang w:val="zh-cn" w:eastAsia="zh-cn" w:bidi="zh-cn"/>
      </w:rPr>
    </w:lvl>
    <w:lvl w:ilvl="4">
      <w:start w:val="0"/>
      <w:numFmt w:val="bullet"/>
      <w:lvlText w:val="•"/>
      <w:lvlJc w:val="left"/>
      <w:pPr>
        <w:ind w:left="4775" w:hanging="421"/>
      </w:pPr>
      <w:rPr>
        <w:rFonts w:hint="default"/>
        <w:lang w:val="zh-cn" w:eastAsia="zh-cn" w:bidi="zh-cn"/>
      </w:rPr>
    </w:lvl>
    <w:lvl w:ilvl="5">
      <w:start w:val="0"/>
      <w:numFmt w:val="bullet"/>
      <w:lvlText w:val="•"/>
      <w:lvlJc w:val="left"/>
      <w:pPr>
        <w:ind w:left="5700" w:hanging="421"/>
      </w:pPr>
      <w:rPr>
        <w:rFonts w:hint="default"/>
        <w:lang w:val="zh-cn" w:eastAsia="zh-cn" w:bidi="zh-cn"/>
      </w:rPr>
    </w:lvl>
    <w:lvl w:ilvl="6">
      <w:start w:val="0"/>
      <w:numFmt w:val="bullet"/>
      <w:lvlText w:val="•"/>
      <w:lvlJc w:val="left"/>
      <w:pPr>
        <w:ind w:left="6625" w:hanging="421"/>
      </w:pPr>
      <w:rPr>
        <w:rFonts w:hint="default"/>
        <w:lang w:val="zh-cn" w:eastAsia="zh-cn" w:bidi="zh-cn"/>
      </w:rPr>
    </w:lvl>
    <w:lvl w:ilvl="7">
      <w:start w:val="0"/>
      <w:numFmt w:val="bullet"/>
      <w:lvlText w:val="•"/>
      <w:lvlJc w:val="left"/>
      <w:pPr>
        <w:ind w:left="7550" w:hanging="421"/>
      </w:pPr>
      <w:rPr>
        <w:rFonts w:hint="default"/>
        <w:lang w:val="zh-cn" w:eastAsia="zh-cn" w:bidi="zh-cn"/>
      </w:rPr>
    </w:lvl>
    <w:lvl w:ilvl="8">
      <w:start w:val="0"/>
      <w:numFmt w:val="bullet"/>
      <w:lvlText w:val="•"/>
      <w:lvlJc w:val="left"/>
      <w:pPr>
        <w:ind w:left="8476" w:hanging="421"/>
      </w:pPr>
      <w:rPr>
        <w:rFonts w:hint="default"/>
        <w:lang w:val="zh-cn" w:eastAsia="zh-cn" w:bidi="zh-cn"/>
      </w:rPr>
    </w:lvl>
  </w:abstractNum>
  <w:abstractNum w:abstractNumId="8">
    <w:multiLevelType w:val="hybridMultilevel"/>
    <w:lvl w:ilvl="0">
      <w:start w:val="1"/>
      <w:numFmt w:val="decimal"/>
      <w:lvlText w:val="%1."/>
      <w:lvlJc w:val="left"/>
      <w:pPr>
        <w:ind w:left="1764" w:hanging="423"/>
        <w:jc w:val="left"/>
      </w:pPr>
      <w:rPr>
        <w:rFonts w:hint="default" w:ascii="等线" w:hAnsi="等线" w:eastAsia="等线" w:cs="等线"/>
        <w:b/>
        <w:bCs/>
        <w:spacing w:val="0"/>
        <w:w w:val="125"/>
        <w:sz w:val="28"/>
        <w:szCs w:val="28"/>
        <w:lang w:val="zh-cn" w:eastAsia="zh-cn" w:bidi="zh-cn"/>
      </w:rPr>
    </w:lvl>
    <w:lvl w:ilvl="1">
      <w:start w:val="0"/>
      <w:numFmt w:val="bullet"/>
      <w:lvlText w:val="•"/>
      <w:lvlJc w:val="left"/>
      <w:pPr>
        <w:ind w:left="2616" w:hanging="423"/>
      </w:pPr>
      <w:rPr>
        <w:rFonts w:hint="default"/>
        <w:lang w:val="zh-cn" w:eastAsia="zh-cn" w:bidi="zh-cn"/>
      </w:rPr>
    </w:lvl>
    <w:lvl w:ilvl="2">
      <w:start w:val="0"/>
      <w:numFmt w:val="bullet"/>
      <w:lvlText w:val="•"/>
      <w:lvlJc w:val="left"/>
      <w:pPr>
        <w:ind w:left="3473" w:hanging="423"/>
      </w:pPr>
      <w:rPr>
        <w:rFonts w:hint="default"/>
        <w:lang w:val="zh-cn" w:eastAsia="zh-cn" w:bidi="zh-cn"/>
      </w:rPr>
    </w:lvl>
    <w:lvl w:ilvl="3">
      <w:start w:val="0"/>
      <w:numFmt w:val="bullet"/>
      <w:lvlText w:val="•"/>
      <w:lvlJc w:val="left"/>
      <w:pPr>
        <w:ind w:left="4329" w:hanging="423"/>
      </w:pPr>
      <w:rPr>
        <w:rFonts w:hint="default"/>
        <w:lang w:val="zh-cn" w:eastAsia="zh-cn" w:bidi="zh-cn"/>
      </w:rPr>
    </w:lvl>
    <w:lvl w:ilvl="4">
      <w:start w:val="0"/>
      <w:numFmt w:val="bullet"/>
      <w:lvlText w:val="•"/>
      <w:lvlJc w:val="left"/>
      <w:pPr>
        <w:ind w:left="5186" w:hanging="423"/>
      </w:pPr>
      <w:rPr>
        <w:rFonts w:hint="default"/>
        <w:lang w:val="zh-cn" w:eastAsia="zh-cn" w:bidi="zh-cn"/>
      </w:rPr>
    </w:lvl>
    <w:lvl w:ilvl="5">
      <w:start w:val="0"/>
      <w:numFmt w:val="bullet"/>
      <w:lvlText w:val="•"/>
      <w:lvlJc w:val="left"/>
      <w:pPr>
        <w:ind w:left="6043" w:hanging="423"/>
      </w:pPr>
      <w:rPr>
        <w:rFonts w:hint="default"/>
        <w:lang w:val="zh-cn" w:eastAsia="zh-cn" w:bidi="zh-cn"/>
      </w:rPr>
    </w:lvl>
    <w:lvl w:ilvl="6">
      <w:start w:val="0"/>
      <w:numFmt w:val="bullet"/>
      <w:lvlText w:val="•"/>
      <w:lvlJc w:val="left"/>
      <w:pPr>
        <w:ind w:left="6899" w:hanging="423"/>
      </w:pPr>
      <w:rPr>
        <w:rFonts w:hint="default"/>
        <w:lang w:val="zh-cn" w:eastAsia="zh-cn" w:bidi="zh-cn"/>
      </w:rPr>
    </w:lvl>
    <w:lvl w:ilvl="7">
      <w:start w:val="0"/>
      <w:numFmt w:val="bullet"/>
      <w:lvlText w:val="•"/>
      <w:lvlJc w:val="left"/>
      <w:pPr>
        <w:ind w:left="7756" w:hanging="423"/>
      </w:pPr>
      <w:rPr>
        <w:rFonts w:hint="default"/>
        <w:lang w:val="zh-cn" w:eastAsia="zh-cn" w:bidi="zh-cn"/>
      </w:rPr>
    </w:lvl>
    <w:lvl w:ilvl="8">
      <w:start w:val="0"/>
      <w:numFmt w:val="bullet"/>
      <w:lvlText w:val="•"/>
      <w:lvlJc w:val="left"/>
      <w:pPr>
        <w:ind w:left="8613" w:hanging="423"/>
      </w:pPr>
      <w:rPr>
        <w:rFonts w:hint="default"/>
        <w:lang w:val="zh-cn" w:eastAsia="zh-cn" w:bidi="zh-cn"/>
      </w:rPr>
    </w:lvl>
  </w:abstractNum>
  <w:abstractNum w:abstractNumId="7">
    <w:multiLevelType w:val="hybridMultilevel"/>
    <w:lvl w:ilvl="0">
      <w:start w:val="1"/>
      <w:numFmt w:val="decimal"/>
      <w:lvlText w:val="%1."/>
      <w:lvlJc w:val="left"/>
      <w:pPr>
        <w:ind w:left="467" w:hanging="360"/>
        <w:jc w:val="left"/>
      </w:pPr>
      <w:rPr>
        <w:rFonts w:hint="default" w:ascii="宋体" w:hAnsi="宋体" w:eastAsia="宋体" w:cs="宋体"/>
        <w:w w:val="100"/>
        <w:sz w:val="24"/>
        <w:szCs w:val="24"/>
        <w:lang w:val="zh-cn" w:eastAsia="zh-cn" w:bidi="zh-cn"/>
      </w:rPr>
    </w:lvl>
    <w:lvl w:ilvl="1">
      <w:start w:val="0"/>
      <w:numFmt w:val="bullet"/>
      <w:lvlText w:val="•"/>
      <w:lvlJc w:val="left"/>
      <w:pPr>
        <w:ind w:left="1077" w:hanging="360"/>
      </w:pPr>
      <w:rPr>
        <w:rFonts w:hint="default"/>
        <w:lang w:val="zh-cn" w:eastAsia="zh-cn" w:bidi="zh-cn"/>
      </w:rPr>
    </w:lvl>
    <w:lvl w:ilvl="2">
      <w:start w:val="0"/>
      <w:numFmt w:val="bullet"/>
      <w:lvlText w:val="•"/>
      <w:lvlJc w:val="left"/>
      <w:pPr>
        <w:ind w:left="1694" w:hanging="360"/>
      </w:pPr>
      <w:rPr>
        <w:rFonts w:hint="default"/>
        <w:lang w:val="zh-cn" w:eastAsia="zh-cn" w:bidi="zh-cn"/>
      </w:rPr>
    </w:lvl>
    <w:lvl w:ilvl="3">
      <w:start w:val="0"/>
      <w:numFmt w:val="bullet"/>
      <w:lvlText w:val="•"/>
      <w:lvlJc w:val="left"/>
      <w:pPr>
        <w:ind w:left="2311" w:hanging="360"/>
      </w:pPr>
      <w:rPr>
        <w:rFonts w:hint="default"/>
        <w:lang w:val="zh-cn" w:eastAsia="zh-cn" w:bidi="zh-cn"/>
      </w:rPr>
    </w:lvl>
    <w:lvl w:ilvl="4">
      <w:start w:val="0"/>
      <w:numFmt w:val="bullet"/>
      <w:lvlText w:val="•"/>
      <w:lvlJc w:val="left"/>
      <w:pPr>
        <w:ind w:left="2928" w:hanging="360"/>
      </w:pPr>
      <w:rPr>
        <w:rFonts w:hint="default"/>
        <w:lang w:val="zh-cn" w:eastAsia="zh-cn" w:bidi="zh-cn"/>
      </w:rPr>
    </w:lvl>
    <w:lvl w:ilvl="5">
      <w:start w:val="0"/>
      <w:numFmt w:val="bullet"/>
      <w:lvlText w:val="•"/>
      <w:lvlJc w:val="left"/>
      <w:pPr>
        <w:ind w:left="3546" w:hanging="360"/>
      </w:pPr>
      <w:rPr>
        <w:rFonts w:hint="default"/>
        <w:lang w:val="zh-cn" w:eastAsia="zh-cn" w:bidi="zh-cn"/>
      </w:rPr>
    </w:lvl>
    <w:lvl w:ilvl="6">
      <w:start w:val="0"/>
      <w:numFmt w:val="bullet"/>
      <w:lvlText w:val="•"/>
      <w:lvlJc w:val="left"/>
      <w:pPr>
        <w:ind w:left="4163" w:hanging="360"/>
      </w:pPr>
      <w:rPr>
        <w:rFonts w:hint="default"/>
        <w:lang w:val="zh-cn" w:eastAsia="zh-cn" w:bidi="zh-cn"/>
      </w:rPr>
    </w:lvl>
    <w:lvl w:ilvl="7">
      <w:start w:val="0"/>
      <w:numFmt w:val="bullet"/>
      <w:lvlText w:val="•"/>
      <w:lvlJc w:val="left"/>
      <w:pPr>
        <w:ind w:left="4780" w:hanging="360"/>
      </w:pPr>
      <w:rPr>
        <w:rFonts w:hint="default"/>
        <w:lang w:val="zh-cn" w:eastAsia="zh-cn" w:bidi="zh-cn"/>
      </w:rPr>
    </w:lvl>
    <w:lvl w:ilvl="8">
      <w:start w:val="0"/>
      <w:numFmt w:val="bullet"/>
      <w:lvlText w:val="•"/>
      <w:lvlJc w:val="left"/>
      <w:pPr>
        <w:ind w:left="5397" w:hanging="360"/>
      </w:pPr>
      <w:rPr>
        <w:rFonts w:hint="default"/>
        <w:lang w:val="zh-cn" w:eastAsia="zh-cn" w:bidi="zh-cn"/>
      </w:rPr>
    </w:lvl>
  </w:abstractNum>
  <w:abstractNum w:abstractNumId="6">
    <w:multiLevelType w:val="hybridMultilevel"/>
    <w:lvl w:ilvl="0">
      <w:start w:val="1"/>
      <w:numFmt w:val="decimal"/>
      <w:lvlText w:val="%1."/>
      <w:lvlJc w:val="left"/>
      <w:pPr>
        <w:ind w:left="1346" w:hanging="420"/>
        <w:jc w:val="left"/>
      </w:pPr>
      <w:rPr>
        <w:rFonts w:hint="default" w:ascii="仿宋" w:hAnsi="仿宋" w:eastAsia="仿宋" w:cs="仿宋"/>
        <w:spacing w:val="0"/>
        <w:w w:val="100"/>
        <w:sz w:val="28"/>
        <w:szCs w:val="28"/>
        <w:lang w:val="zh-cn" w:eastAsia="zh-cn" w:bidi="zh-cn"/>
      </w:rPr>
    </w:lvl>
    <w:lvl w:ilvl="1">
      <w:start w:val="1"/>
      <w:numFmt w:val="decimal"/>
      <w:lvlText w:val="%2."/>
      <w:lvlJc w:val="left"/>
      <w:pPr>
        <w:ind w:left="1754" w:hanging="423"/>
        <w:jc w:val="left"/>
      </w:pPr>
      <w:rPr>
        <w:rFonts w:hint="default" w:ascii="等线" w:hAnsi="等线" w:eastAsia="等线" w:cs="等线"/>
        <w:b/>
        <w:bCs/>
        <w:spacing w:val="0"/>
        <w:w w:val="125"/>
        <w:sz w:val="28"/>
        <w:szCs w:val="28"/>
        <w:lang w:val="zh-cn" w:eastAsia="zh-cn" w:bidi="zh-cn"/>
      </w:rPr>
    </w:lvl>
    <w:lvl w:ilvl="2">
      <w:start w:val="0"/>
      <w:numFmt w:val="bullet"/>
      <w:lvlText w:val="•"/>
      <w:lvlJc w:val="left"/>
      <w:pPr>
        <w:ind w:left="2711" w:hanging="423"/>
      </w:pPr>
      <w:rPr>
        <w:rFonts w:hint="default"/>
        <w:lang w:val="zh-cn" w:eastAsia="zh-cn" w:bidi="zh-cn"/>
      </w:rPr>
    </w:lvl>
    <w:lvl w:ilvl="3">
      <w:start w:val="0"/>
      <w:numFmt w:val="bullet"/>
      <w:lvlText w:val="•"/>
      <w:lvlJc w:val="left"/>
      <w:pPr>
        <w:ind w:left="3663" w:hanging="423"/>
      </w:pPr>
      <w:rPr>
        <w:rFonts w:hint="default"/>
        <w:lang w:val="zh-cn" w:eastAsia="zh-cn" w:bidi="zh-cn"/>
      </w:rPr>
    </w:lvl>
    <w:lvl w:ilvl="4">
      <w:start w:val="0"/>
      <w:numFmt w:val="bullet"/>
      <w:lvlText w:val="•"/>
      <w:lvlJc w:val="left"/>
      <w:pPr>
        <w:ind w:left="4615" w:hanging="423"/>
      </w:pPr>
      <w:rPr>
        <w:rFonts w:hint="default"/>
        <w:lang w:val="zh-cn" w:eastAsia="zh-cn" w:bidi="zh-cn"/>
      </w:rPr>
    </w:lvl>
    <w:lvl w:ilvl="5">
      <w:start w:val="0"/>
      <w:numFmt w:val="bullet"/>
      <w:lvlText w:val="•"/>
      <w:lvlJc w:val="left"/>
      <w:pPr>
        <w:ind w:left="5567" w:hanging="423"/>
      </w:pPr>
      <w:rPr>
        <w:rFonts w:hint="default"/>
        <w:lang w:val="zh-cn" w:eastAsia="zh-cn" w:bidi="zh-cn"/>
      </w:rPr>
    </w:lvl>
    <w:lvl w:ilvl="6">
      <w:start w:val="0"/>
      <w:numFmt w:val="bullet"/>
      <w:lvlText w:val="•"/>
      <w:lvlJc w:val="left"/>
      <w:pPr>
        <w:ind w:left="6519" w:hanging="423"/>
      </w:pPr>
      <w:rPr>
        <w:rFonts w:hint="default"/>
        <w:lang w:val="zh-cn" w:eastAsia="zh-cn" w:bidi="zh-cn"/>
      </w:rPr>
    </w:lvl>
    <w:lvl w:ilvl="7">
      <w:start w:val="0"/>
      <w:numFmt w:val="bullet"/>
      <w:lvlText w:val="•"/>
      <w:lvlJc w:val="left"/>
      <w:pPr>
        <w:ind w:left="7470" w:hanging="423"/>
      </w:pPr>
      <w:rPr>
        <w:rFonts w:hint="default"/>
        <w:lang w:val="zh-cn" w:eastAsia="zh-cn" w:bidi="zh-cn"/>
      </w:rPr>
    </w:lvl>
    <w:lvl w:ilvl="8">
      <w:start w:val="0"/>
      <w:numFmt w:val="bullet"/>
      <w:lvlText w:val="•"/>
      <w:lvlJc w:val="left"/>
      <w:pPr>
        <w:ind w:left="8422" w:hanging="423"/>
      </w:pPr>
      <w:rPr>
        <w:rFonts w:hint="default"/>
        <w:lang w:val="zh-cn" w:eastAsia="zh-cn" w:bidi="zh-cn"/>
      </w:rPr>
    </w:lvl>
  </w:abstractNum>
  <w:abstractNum w:abstractNumId="4">
    <w:multiLevelType w:val="hybridMultilevel"/>
    <w:lvl w:ilvl="0">
      <w:start w:val="0"/>
      <w:numFmt w:val="bullet"/>
      <w:lvlText w:val=""/>
      <w:lvlJc w:val="left"/>
      <w:pPr>
        <w:ind w:left="2157" w:hanging="386"/>
      </w:pPr>
      <w:rPr>
        <w:rFonts w:hint="default" w:ascii="Wingdings" w:hAnsi="Wingdings" w:eastAsia="Wingdings" w:cs="Wingdings"/>
        <w:color w:val="C00000"/>
        <w:w w:val="99"/>
        <w:sz w:val="28"/>
        <w:szCs w:val="28"/>
        <w:lang w:val="zh-cn" w:eastAsia="zh-cn" w:bidi="zh-cn"/>
      </w:rPr>
    </w:lvl>
    <w:lvl w:ilvl="1">
      <w:start w:val="0"/>
      <w:numFmt w:val="bullet"/>
      <w:lvlText w:val="•"/>
      <w:lvlJc w:val="left"/>
      <w:pPr>
        <w:ind w:left="2632" w:hanging="386"/>
      </w:pPr>
      <w:rPr>
        <w:rFonts w:hint="default"/>
        <w:lang w:val="zh-cn" w:eastAsia="zh-cn" w:bidi="zh-cn"/>
      </w:rPr>
    </w:lvl>
    <w:lvl w:ilvl="2">
      <w:start w:val="0"/>
      <w:numFmt w:val="bullet"/>
      <w:lvlText w:val="•"/>
      <w:lvlJc w:val="left"/>
      <w:pPr>
        <w:ind w:left="3105" w:hanging="386"/>
      </w:pPr>
      <w:rPr>
        <w:rFonts w:hint="default"/>
        <w:lang w:val="zh-cn" w:eastAsia="zh-cn" w:bidi="zh-cn"/>
      </w:rPr>
    </w:lvl>
    <w:lvl w:ilvl="3">
      <w:start w:val="0"/>
      <w:numFmt w:val="bullet"/>
      <w:lvlText w:val="•"/>
      <w:lvlJc w:val="left"/>
      <w:pPr>
        <w:ind w:left="3578" w:hanging="386"/>
      </w:pPr>
      <w:rPr>
        <w:rFonts w:hint="default"/>
        <w:lang w:val="zh-cn" w:eastAsia="zh-cn" w:bidi="zh-cn"/>
      </w:rPr>
    </w:lvl>
    <w:lvl w:ilvl="4">
      <w:start w:val="0"/>
      <w:numFmt w:val="bullet"/>
      <w:lvlText w:val="•"/>
      <w:lvlJc w:val="left"/>
      <w:pPr>
        <w:ind w:left="4050" w:hanging="386"/>
      </w:pPr>
      <w:rPr>
        <w:rFonts w:hint="default"/>
        <w:lang w:val="zh-cn" w:eastAsia="zh-cn" w:bidi="zh-cn"/>
      </w:rPr>
    </w:lvl>
    <w:lvl w:ilvl="5">
      <w:start w:val="0"/>
      <w:numFmt w:val="bullet"/>
      <w:lvlText w:val="•"/>
      <w:lvlJc w:val="left"/>
      <w:pPr>
        <w:ind w:left="4523" w:hanging="386"/>
      </w:pPr>
      <w:rPr>
        <w:rFonts w:hint="default"/>
        <w:lang w:val="zh-cn" w:eastAsia="zh-cn" w:bidi="zh-cn"/>
      </w:rPr>
    </w:lvl>
    <w:lvl w:ilvl="6">
      <w:start w:val="0"/>
      <w:numFmt w:val="bullet"/>
      <w:lvlText w:val="•"/>
      <w:lvlJc w:val="left"/>
      <w:pPr>
        <w:ind w:left="4996" w:hanging="386"/>
      </w:pPr>
      <w:rPr>
        <w:rFonts w:hint="default"/>
        <w:lang w:val="zh-cn" w:eastAsia="zh-cn" w:bidi="zh-cn"/>
      </w:rPr>
    </w:lvl>
    <w:lvl w:ilvl="7">
      <w:start w:val="0"/>
      <w:numFmt w:val="bullet"/>
      <w:lvlText w:val="•"/>
      <w:lvlJc w:val="left"/>
      <w:pPr>
        <w:ind w:left="5468" w:hanging="386"/>
      </w:pPr>
      <w:rPr>
        <w:rFonts w:hint="default"/>
        <w:lang w:val="zh-cn" w:eastAsia="zh-cn" w:bidi="zh-cn"/>
      </w:rPr>
    </w:lvl>
    <w:lvl w:ilvl="8">
      <w:start w:val="0"/>
      <w:numFmt w:val="bullet"/>
      <w:lvlText w:val="•"/>
      <w:lvlJc w:val="left"/>
      <w:pPr>
        <w:ind w:left="5941" w:hanging="386"/>
      </w:pPr>
      <w:rPr>
        <w:rFonts w:hint="default"/>
        <w:lang w:val="zh-cn" w:eastAsia="zh-cn" w:bidi="zh-cn"/>
      </w:rPr>
    </w:lvl>
  </w:abstractNum>
  <w:abstractNum w:abstractNumId="2">
    <w:multiLevelType w:val="hybridMultilevel"/>
    <w:lvl w:ilvl="0">
      <w:start w:val="1"/>
      <w:numFmt w:val="decimal"/>
      <w:lvlText w:val="%1."/>
      <w:lvlJc w:val="left"/>
      <w:pPr>
        <w:ind w:left="1560" w:hanging="360"/>
        <w:jc w:val="left"/>
      </w:pPr>
      <w:rPr>
        <w:rFonts w:hint="default" w:ascii="Times New Roman" w:hAnsi="Times New Roman" w:eastAsia="Times New Roman" w:cs="Times New Roman"/>
        <w:spacing w:val="0"/>
        <w:w w:val="99"/>
        <w:sz w:val="32"/>
        <w:szCs w:val="32"/>
        <w:lang w:val="zh-cn" w:eastAsia="zh-cn" w:bidi="zh-cn"/>
      </w:rPr>
    </w:lvl>
    <w:lvl w:ilvl="1">
      <w:start w:val="0"/>
      <w:numFmt w:val="bullet"/>
      <w:lvlText w:val="•"/>
      <w:lvlJc w:val="left"/>
      <w:pPr>
        <w:ind w:left="2436" w:hanging="360"/>
      </w:pPr>
      <w:rPr>
        <w:rFonts w:hint="default"/>
        <w:lang w:val="zh-cn" w:eastAsia="zh-cn" w:bidi="zh-cn"/>
      </w:rPr>
    </w:lvl>
    <w:lvl w:ilvl="2">
      <w:start w:val="0"/>
      <w:numFmt w:val="bullet"/>
      <w:lvlText w:val="•"/>
      <w:lvlJc w:val="left"/>
      <w:pPr>
        <w:ind w:left="3313" w:hanging="360"/>
      </w:pPr>
      <w:rPr>
        <w:rFonts w:hint="default"/>
        <w:lang w:val="zh-cn" w:eastAsia="zh-cn" w:bidi="zh-cn"/>
      </w:rPr>
    </w:lvl>
    <w:lvl w:ilvl="3">
      <w:start w:val="0"/>
      <w:numFmt w:val="bullet"/>
      <w:lvlText w:val="•"/>
      <w:lvlJc w:val="left"/>
      <w:pPr>
        <w:ind w:left="4189" w:hanging="360"/>
      </w:pPr>
      <w:rPr>
        <w:rFonts w:hint="default"/>
        <w:lang w:val="zh-cn" w:eastAsia="zh-cn" w:bidi="zh-cn"/>
      </w:rPr>
    </w:lvl>
    <w:lvl w:ilvl="4">
      <w:start w:val="0"/>
      <w:numFmt w:val="bullet"/>
      <w:lvlText w:val="•"/>
      <w:lvlJc w:val="left"/>
      <w:pPr>
        <w:ind w:left="5066" w:hanging="360"/>
      </w:pPr>
      <w:rPr>
        <w:rFonts w:hint="default"/>
        <w:lang w:val="zh-cn" w:eastAsia="zh-cn" w:bidi="zh-cn"/>
      </w:rPr>
    </w:lvl>
    <w:lvl w:ilvl="5">
      <w:start w:val="0"/>
      <w:numFmt w:val="bullet"/>
      <w:lvlText w:val="•"/>
      <w:lvlJc w:val="left"/>
      <w:pPr>
        <w:ind w:left="5943" w:hanging="360"/>
      </w:pPr>
      <w:rPr>
        <w:rFonts w:hint="default"/>
        <w:lang w:val="zh-cn" w:eastAsia="zh-cn" w:bidi="zh-cn"/>
      </w:rPr>
    </w:lvl>
    <w:lvl w:ilvl="6">
      <w:start w:val="0"/>
      <w:numFmt w:val="bullet"/>
      <w:lvlText w:val="•"/>
      <w:lvlJc w:val="left"/>
      <w:pPr>
        <w:ind w:left="6819" w:hanging="360"/>
      </w:pPr>
      <w:rPr>
        <w:rFonts w:hint="default"/>
        <w:lang w:val="zh-cn" w:eastAsia="zh-cn" w:bidi="zh-cn"/>
      </w:rPr>
    </w:lvl>
    <w:lvl w:ilvl="7">
      <w:start w:val="0"/>
      <w:numFmt w:val="bullet"/>
      <w:lvlText w:val="•"/>
      <w:lvlJc w:val="left"/>
      <w:pPr>
        <w:ind w:left="7696" w:hanging="360"/>
      </w:pPr>
      <w:rPr>
        <w:rFonts w:hint="default"/>
        <w:lang w:val="zh-cn" w:eastAsia="zh-cn" w:bidi="zh-cn"/>
      </w:rPr>
    </w:lvl>
    <w:lvl w:ilvl="8">
      <w:start w:val="0"/>
      <w:numFmt w:val="bullet"/>
      <w:lvlText w:val="•"/>
      <w:lvlJc w:val="left"/>
      <w:pPr>
        <w:ind w:left="8573" w:hanging="360"/>
      </w:pPr>
      <w:rPr>
        <w:rFonts w:hint="default"/>
        <w:lang w:val="zh-cn" w:eastAsia="zh-cn" w:bidi="zh-cn"/>
      </w:rPr>
    </w:lvl>
  </w:abstractNum>
  <w:num w:numId="6">
    <w:abstractNumId w:val="5"/>
  </w:num>
  <w:num w:numId="4">
    <w:abstractNumId w:val="3"/>
  </w:num>
  <w:num w:numId="2">
    <w:abstractNumId w:val="1"/>
  </w:num>
  <w:num w:numId="1">
    <w:abstractNumId w:val="0"/>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5">
    <w:abstractNumId w:val="4"/>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zh-cn" w:eastAsia="zh-cn" w:bidi="zh-cn"/>
    </w:rPr>
  </w:style>
  <w:style w:styleId="TOC1" w:type="paragraph">
    <w:name w:val="TOC 1"/>
    <w:basedOn w:val="Normal"/>
    <w:uiPriority w:val="1"/>
    <w:qFormat/>
    <w:pPr>
      <w:spacing w:before="240"/>
      <w:ind w:right="42"/>
      <w:jc w:val="center"/>
    </w:pPr>
    <w:rPr>
      <w:rFonts w:ascii="宋体" w:hAnsi="宋体" w:eastAsia="宋体" w:cs="宋体"/>
      <w:sz w:val="30"/>
      <w:szCs w:val="30"/>
      <w:lang w:val="zh-cn" w:eastAsia="zh-cn" w:bidi="zh-cn"/>
    </w:rPr>
  </w:style>
  <w:style w:styleId="TOC2" w:type="paragraph">
    <w:name w:val="TOC 2"/>
    <w:basedOn w:val="Normal"/>
    <w:uiPriority w:val="1"/>
    <w:qFormat/>
    <w:pPr>
      <w:spacing w:before="287"/>
      <w:ind w:left="780"/>
    </w:pPr>
    <w:rPr>
      <w:rFonts w:ascii="方正小标宋简体" w:hAnsi="方正小标宋简体" w:eastAsia="方正小标宋简体" w:cs="方正小标宋简体"/>
      <w:b/>
      <w:bCs/>
      <w:sz w:val="30"/>
      <w:szCs w:val="30"/>
      <w:lang w:val="zh-cn" w:eastAsia="zh-cn" w:bidi="zh-cn"/>
    </w:rPr>
  </w:style>
  <w:style w:styleId="TOC3" w:type="paragraph">
    <w:name w:val="TOC 3"/>
    <w:basedOn w:val="Normal"/>
    <w:uiPriority w:val="1"/>
    <w:qFormat/>
    <w:pPr>
      <w:spacing w:before="240"/>
      <w:ind w:left="991"/>
    </w:pPr>
    <w:rPr>
      <w:rFonts w:ascii="黑体" w:hAnsi="黑体" w:eastAsia="黑体" w:cs="黑体"/>
      <w:sz w:val="30"/>
      <w:szCs w:val="30"/>
      <w:lang w:val="zh-cn" w:eastAsia="zh-cn" w:bidi="zh-cn"/>
    </w:rPr>
  </w:style>
  <w:style w:styleId="BodyText" w:type="paragraph">
    <w:name w:val="Body Text"/>
    <w:basedOn w:val="Normal"/>
    <w:uiPriority w:val="1"/>
    <w:qFormat/>
    <w:pPr/>
    <w:rPr>
      <w:rFonts w:ascii="宋体" w:hAnsi="宋体" w:eastAsia="宋体" w:cs="宋体"/>
      <w:sz w:val="28"/>
      <w:szCs w:val="28"/>
      <w:lang w:val="zh-cn" w:eastAsia="zh-cn" w:bidi="zh-cn"/>
    </w:rPr>
  </w:style>
  <w:style w:styleId="Heading1" w:type="paragraph">
    <w:name w:val="Heading 1"/>
    <w:basedOn w:val="Normal"/>
    <w:uiPriority w:val="1"/>
    <w:qFormat/>
    <w:pPr>
      <w:ind w:left="780"/>
      <w:outlineLvl w:val="1"/>
    </w:pPr>
    <w:rPr>
      <w:rFonts w:ascii="黑体" w:hAnsi="黑体" w:eastAsia="黑体" w:cs="黑体"/>
      <w:b/>
      <w:bCs/>
      <w:sz w:val="56"/>
      <w:szCs w:val="56"/>
      <w:lang w:val="zh-cn" w:eastAsia="zh-cn" w:bidi="zh-cn"/>
    </w:rPr>
  </w:style>
  <w:style w:styleId="Heading2" w:type="paragraph">
    <w:name w:val="Heading 2"/>
    <w:basedOn w:val="Normal"/>
    <w:uiPriority w:val="1"/>
    <w:qFormat/>
    <w:pPr>
      <w:ind w:right="460"/>
      <w:jc w:val="center"/>
      <w:outlineLvl w:val="2"/>
    </w:pPr>
    <w:rPr>
      <w:rFonts w:ascii="方正小标宋简体" w:hAnsi="方正小标宋简体" w:eastAsia="方正小标宋简体" w:cs="方正小标宋简体"/>
      <w:b/>
      <w:bCs/>
      <w:sz w:val="48"/>
      <w:szCs w:val="48"/>
      <w:lang w:val="zh-cn" w:eastAsia="zh-cn" w:bidi="zh-cn"/>
    </w:rPr>
  </w:style>
  <w:style w:styleId="Heading3" w:type="paragraph">
    <w:name w:val="Heading 3"/>
    <w:basedOn w:val="Normal"/>
    <w:uiPriority w:val="1"/>
    <w:qFormat/>
    <w:pPr>
      <w:outlineLvl w:val="3"/>
    </w:pPr>
    <w:rPr>
      <w:rFonts w:ascii="方正小标宋简体" w:hAnsi="方正小标宋简体" w:eastAsia="方正小标宋简体" w:cs="方正小标宋简体"/>
      <w:b/>
      <w:bCs/>
      <w:sz w:val="44"/>
      <w:szCs w:val="44"/>
      <w:lang w:val="zh-cn" w:eastAsia="zh-cn" w:bidi="zh-cn"/>
    </w:rPr>
  </w:style>
  <w:style w:styleId="Heading4" w:type="paragraph">
    <w:name w:val="Heading 4"/>
    <w:basedOn w:val="Normal"/>
    <w:uiPriority w:val="1"/>
    <w:qFormat/>
    <w:pPr>
      <w:jc w:val="center"/>
      <w:outlineLvl w:val="4"/>
    </w:pPr>
    <w:rPr>
      <w:rFonts w:ascii="方正小标宋简体" w:hAnsi="方正小标宋简体" w:eastAsia="方正小标宋简体" w:cs="方正小标宋简体"/>
      <w:b/>
      <w:bCs/>
      <w:sz w:val="36"/>
      <w:szCs w:val="36"/>
      <w:lang w:val="zh-cn" w:eastAsia="zh-cn" w:bidi="zh-cn"/>
    </w:rPr>
  </w:style>
  <w:style w:styleId="Heading5" w:type="paragraph">
    <w:name w:val="Heading 5"/>
    <w:basedOn w:val="Normal"/>
    <w:uiPriority w:val="1"/>
    <w:qFormat/>
    <w:pPr>
      <w:spacing w:line="631" w:lineRule="exact"/>
      <w:ind w:right="459"/>
      <w:jc w:val="center"/>
      <w:outlineLvl w:val="5"/>
    </w:pPr>
    <w:rPr>
      <w:rFonts w:ascii="方正小标宋简体" w:hAnsi="方正小标宋简体" w:eastAsia="方正小标宋简体" w:cs="方正小标宋简体"/>
      <w:sz w:val="36"/>
      <w:szCs w:val="36"/>
      <w:lang w:val="zh-cn" w:eastAsia="zh-cn" w:bidi="zh-cn"/>
    </w:rPr>
  </w:style>
  <w:style w:styleId="Heading6" w:type="paragraph">
    <w:name w:val="Heading 6"/>
    <w:basedOn w:val="Normal"/>
    <w:uiPriority w:val="1"/>
    <w:qFormat/>
    <w:pPr>
      <w:ind w:left="780"/>
      <w:outlineLvl w:val="6"/>
    </w:pPr>
    <w:rPr>
      <w:rFonts w:ascii="黑体" w:hAnsi="黑体" w:eastAsia="黑体" w:cs="黑体"/>
      <w:b/>
      <w:bCs/>
      <w:sz w:val="32"/>
      <w:szCs w:val="32"/>
      <w:lang w:val="zh-cn" w:eastAsia="zh-cn" w:bidi="zh-cn"/>
    </w:rPr>
  </w:style>
  <w:style w:styleId="Heading7" w:type="paragraph">
    <w:name w:val="Heading 7"/>
    <w:basedOn w:val="Normal"/>
    <w:uiPriority w:val="1"/>
    <w:qFormat/>
    <w:pPr>
      <w:ind w:left="780"/>
      <w:outlineLvl w:val="7"/>
    </w:pPr>
    <w:rPr>
      <w:rFonts w:ascii="宋体" w:hAnsi="宋体" w:eastAsia="宋体" w:cs="宋体"/>
      <w:sz w:val="32"/>
      <w:szCs w:val="32"/>
      <w:lang w:val="zh-cn" w:eastAsia="zh-cn" w:bidi="zh-cn"/>
    </w:rPr>
  </w:style>
  <w:style w:styleId="Heading8" w:type="paragraph">
    <w:name w:val="Heading 8"/>
    <w:basedOn w:val="Normal"/>
    <w:uiPriority w:val="1"/>
    <w:qFormat/>
    <w:pPr>
      <w:ind w:left="780"/>
      <w:outlineLvl w:val="8"/>
    </w:pPr>
    <w:rPr>
      <w:rFonts w:ascii="等线" w:hAnsi="等线" w:eastAsia="等线" w:cs="等线"/>
      <w:b/>
      <w:bCs/>
      <w:sz w:val="28"/>
      <w:szCs w:val="28"/>
      <w:lang w:val="zh-cn" w:eastAsia="zh-cn" w:bidi="zh-cn"/>
    </w:rPr>
  </w:style>
  <w:style w:styleId="ListParagraph" w:type="paragraph">
    <w:name w:val="List Paragraph"/>
    <w:basedOn w:val="Normal"/>
    <w:uiPriority w:val="1"/>
    <w:qFormat/>
    <w:pPr>
      <w:ind w:left="780"/>
    </w:pPr>
    <w:rPr>
      <w:rFonts w:ascii="Times New Roman" w:hAnsi="Times New Roman" w:eastAsia="Times New Roman" w:cs="Times New Roman"/>
      <w:lang w:val="zh-cn" w:eastAsia="zh-cn" w:bidi="zh-cn"/>
    </w:rPr>
  </w:style>
  <w:style w:styleId="TableParagraph" w:type="paragraph">
    <w:name w:val="Table Paragraph"/>
    <w:basedOn w:val="Normal"/>
    <w:uiPriority w:val="1"/>
    <w:qFormat/>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hyperlink" Target="mailto:zhcj@nsfc.gov.cn" TargetMode="External"/><Relationship Id="rId8" Type="http://schemas.openxmlformats.org/officeDocument/2006/relationships/hyperlink" Target="mailto:xierui@scu.edu.cn" TargetMode="External"/><Relationship Id="rId9" Type="http://schemas.openxmlformats.org/officeDocument/2006/relationships/image" Target="media/image2.pn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ahpeasant</dc:creator>
  <dcterms:created xsi:type="dcterms:W3CDTF">2020-09-23T05:51:52Z</dcterms:created>
  <dcterms:modified xsi:type="dcterms:W3CDTF">2020-09-23T05:51:52Z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2020-03-19T00:00:00Z</vt:filetime>
  </property>
  <property fmtid="{D5CDD505-2E9C-101B-9397-08002B2CF9AE}" pid="3" name="Creator">
    <vt:lpwstr>Microsoft® Office Word 2007</vt:lpwstr>
  </property>
  <property fmtid="{D5CDD505-2E9C-101B-9397-08002B2CF9AE}" pid="4" name="LastSaved">
    <vt:filetime>2020-09-23T00:00:00Z</vt:filetime>
  </property>
</Properties>
</file>