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77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30.0</w:t>
      </w:r>
      <w:r>
        <w:br/>
      </w:r>
      <w:r>
        <w:rPr>
          <w:rStyle w:val="VerbatimChar"/>
        </w:rPr>
        <w:t xml:space="preserve">g = 0.0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20.0</w:t>
      </w:r>
      <w:r>
        <w:br/>
      </w:r>
      <w:r>
        <w:rPr>
          <w:rStyle w:val="VerbatimChar"/>
        </w:rPr>
        <w:t xml:space="preserve">g = 10.0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"jl2.png")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3.0</w:t>
      </w:r>
      <w:r>
        <w:br/>
      </w:r>
      <w:r>
        <w:rPr>
          <w:rStyle w:val="VerbatimChar"/>
        </w:rPr>
        <w:t xml:space="preserve">g = 17.0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 + 0.9*cos(10*t)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"jl3.png")</w:t>
      </w:r>
    </w:p>
    <w:bookmarkEnd w:id="24"/>
    <w:bookmarkStart w:id="2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и фазовый портрет для колебания гармонического осциллятора без затуханий и без действий внешней силы на языке Julia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и фазовый портрет для колебания гармонического осциллятора c затуханием и без действий внешней силы на языке Julia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и фазовый портрет для колебания гармонического осциллятора cc затуханием и под действием внешней силы на языке Julia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bookmarkEnd w:id="25"/>
    <w:bookmarkEnd w:id="26"/>
    <w:bookmarkStart w:id="29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lab41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30.0;</w:t>
      </w:r>
      <w:r>
        <w:br/>
      </w:r>
      <w:r>
        <w:rPr>
          <w:rStyle w:val="VerbatimChar"/>
        </w:rPr>
        <w:t xml:space="preserve">Real g = 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g*y;</w:t>
      </w:r>
      <w:r>
        <w:br/>
      </w:r>
      <w:r>
        <w:rPr>
          <w:rStyle w:val="VerbatimChar"/>
        </w:rPr>
        <w:t xml:space="preserve">end lab41;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lab42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20.0;</w:t>
      </w:r>
      <w:r>
        <w:br/>
      </w:r>
      <w:r>
        <w:rPr>
          <w:rStyle w:val="VerbatimChar"/>
        </w:rPr>
        <w:t xml:space="preserve">Real g = 10.0;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g*y;</w:t>
      </w:r>
      <w:r>
        <w:br/>
      </w:r>
      <w:r>
        <w:rPr>
          <w:rStyle w:val="VerbatimChar"/>
        </w:rPr>
        <w:t xml:space="preserve">end lab42;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model lab43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3.0;</w:t>
      </w:r>
      <w:r>
        <w:br/>
      </w:r>
      <w:r>
        <w:rPr>
          <w:rStyle w:val="VerbatimChar"/>
        </w:rPr>
        <w:t xml:space="preserve">Real g = 17.0;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 + 0.9*sin(10*t);</w:t>
      </w:r>
      <w:r>
        <w:br/>
      </w:r>
      <w:r>
        <w:rPr>
          <w:rStyle w:val="VerbatimChar"/>
        </w:rPr>
        <w:t xml:space="preserve">end lab43;</w:t>
      </w:r>
    </w:p>
    <w:bookmarkStart w:id="28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и фазовый портрет для колебания гармонического осциллятора без затуханий и без действий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BodyText"/>
      </w:pPr>
      <w:bookmarkStart w:id="27" w:name="fig:005"/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  <w:bookmarkEnd w:id="27"/>
      <w:r>
        <w:t xml:space="preserve"> </w:t>
      </w: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Решение уравнения и фазовый портрет для колебания гармонического осциллятора cc затуханием и под действием внешней силы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bookmarkEnd w:id="28"/>
    <w:bookmarkEnd w:id="29"/>
    <w:bookmarkEnd w:id="30"/>
    <w:bookmarkStart w:id="31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три графика для вышеуказанных моделей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Выполнил: Мальков Роман Сергеевич, НФИбд-02-21, 1032217048</dc:creator>
  <dc:language>ru-RU</dc:language>
  <cp:keywords/>
  <dcterms:created xsi:type="dcterms:W3CDTF">2024-03-01T10:48:09Z</dcterms:created>
  <dcterms:modified xsi:type="dcterms:W3CDTF">2024-03-01T10:48:09Z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