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CE8" w:rsidRPr="0050636B" w:rsidRDefault="004C5CE8" w:rsidP="004C5CE8">
      <w:pPr>
        <w:shd w:val="clear" w:color="auto" w:fill="F7F6F6"/>
        <w:bidi/>
        <w:spacing w:after="0" w:line="240" w:lineRule="auto"/>
        <w:jc w:val="center"/>
        <w:outlineLvl w:val="1"/>
        <w:rPr>
          <w:rFonts w:ascii="Traditional Arabic" w:eastAsia="Times New Roman" w:hAnsi="Traditional Arabic" w:cs="Traditional Arabic"/>
          <w:color w:val="000000"/>
          <w:sz w:val="36"/>
          <w:szCs w:val="36"/>
        </w:rPr>
      </w:pPr>
      <w:r w:rsidRPr="0050636B">
        <w:rPr>
          <w:rFonts w:ascii="Traditional Arabic" w:eastAsia="Times New Roman" w:hAnsi="Traditional Arabic" w:cs="Traditional Arabic"/>
          <w:color w:val="0000FF"/>
          <w:sz w:val="36"/>
          <w:szCs w:val="36"/>
          <w:rtl/>
        </w:rPr>
        <w:t>بلوغ المرام</w:t>
      </w:r>
    </w:p>
    <w:p w:rsidR="004C5CE8" w:rsidRPr="0050636B" w:rsidRDefault="004C5CE8" w:rsidP="0050636B">
      <w:pPr>
        <w:shd w:val="clear" w:color="auto" w:fill="F7F6F6"/>
        <w:bidi/>
        <w:spacing w:after="0" w:line="240" w:lineRule="auto"/>
        <w:jc w:val="center"/>
        <w:outlineLvl w:val="1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800000"/>
          <w:sz w:val="32"/>
          <w:szCs w:val="32"/>
          <w:rtl/>
        </w:rPr>
        <w:t>كتاب الجامع.. باب الأدب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أي الجامع لأبواب يذكرها بعض الفقهاء في أواخر كتبهم، يعرفونها بالجوامع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(</w:t>
      </w: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  <w:rtl/>
        </w:rPr>
        <w:t>قوله: كتاب الجامع</w:t>
      </w: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)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أي لأبواب، وهي: باب الأدب، وباب البر والصلة، وباب الزهد والورع، وباب الترهيب من مساوئ الأخلاق، وباب الترغيب في مكارم الأخلاق، وباب الذكر والدعاء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000000"/>
          <w:sz w:val="40"/>
          <w:szCs w:val="40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008080"/>
          <w:sz w:val="40"/>
          <w:szCs w:val="40"/>
          <w:rtl/>
        </w:rPr>
        <w:t>باب الأَدَبِ</w:t>
      </w:r>
      <w:r w:rsidRPr="0050636B">
        <w:rPr>
          <w:rFonts w:ascii="Traditional Arabic" w:eastAsia="Times New Roman" w:hAnsi="Traditional Arabic" w:cs="Traditional Arabic"/>
          <w:b/>
          <w:bCs/>
          <w:color w:val="008080"/>
          <w:sz w:val="40"/>
          <w:szCs w:val="40"/>
        </w:rPr>
        <w:t>: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</w:rPr>
        <w:t>1378- </w:t>
      </w:r>
      <w:r w:rsidR="004436FE" w:rsidRPr="0050636B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</w:rPr>
        <w:t>1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rtl/>
        </w:rPr>
        <w:t>عَنْ أَبِي هُرَيْرَةَ - رضي الله عنه - قال: قَالَ رَسُولُ الله -صلى الله عليه وسلم-: «حَقُّ اَلْمُسْلِمِ عَلَى اَلْمُسْلِمِ سِتٌّ: إِذَا لَقِيتَهُ فَسَلِّمْ عَلَيْهِ، وَإِذَا دَعَاكَ فَأَجِبْهُ، وَإِذَا اِسْتَنْصَحَكَ فَانْصَحْهُ، وَإِذَا عَطَسَ فَحَمِدَ اَلله فَشَمِّتْهُ وَإِذَا مَرِضَ فَعُدْهُ، وَإِذَا مَاتَ فَاتْبَعْهُ» رَوَاهُ مُسْلِمٌ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(</w:t>
      </w: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  <w:rtl/>
        </w:rPr>
        <w:t>قوله: حق المسلم على المسلم ستّ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 xml:space="preserve">):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أي خصال، والمراد بالحق ما لا ينبغي تركه، الأولى من الست السلام: أي إفشاؤه لأنه سبب للتحاب، قال الله تعالى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 xml:space="preserve">: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﴿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  <w:rtl/>
        </w:rPr>
        <w:t>وَإِذَا حُيِّيتُمْ بِتَحِيَّةٍ فَحَيُّوا بِأَحْسَنَ مِنْهَا أَوْ رُدُّوهَا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 xml:space="preserve">﴾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[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النساء: 86</w:t>
      </w:r>
      <w:proofErr w:type="gramStart"/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]،</w:t>
      </w:r>
      <w:proofErr w:type="gramEnd"/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 xml:space="preserve"> الثانية: إجابة الدعوة للوليمة وغيرها، الثالثة: النصح، الرابعة: تشميت العاطس إذا حمد الله، الخامسة: عيادة المريض، السادسة: تشييع الجنازة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  <w:t>1379- </w:t>
      </w:r>
      <w:r w:rsidR="004436FE" w:rsidRPr="0050636B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  <w:t>2</w:t>
      </w:r>
      <w:r w:rsidRPr="0050636B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  <w:rtl/>
        </w:rPr>
        <w:t>وَعَنْ أَبِي هُرَيْرَةَ - رضي الله عنه - قَالَ: قَالَ رَسُولُ الله -صلى الله عليه وسلم-: «انْظُرُوا إِلَى مَنْ هُوَ أَسْفَلَ مِنْكُمْ، وَلا تَنْظُرُوا إِلَى مَنْ هُوَ فَوْقَكُمْ، فَهُوَ أَجْدَرُ أَنْ لا تَزْدَرُوا نِعْمَةَ الله عَلَيْكُمْ» مُتَّفَقٌ عَلَيْهِ</w:t>
      </w:r>
      <w:r w:rsidRPr="0050636B">
        <w:rPr>
          <w:rFonts w:ascii="Traditional Arabic" w:eastAsia="Times New Roman" w:hAnsi="Traditional Arabic" w:cs="Traditional Arabic"/>
          <w:b/>
          <w:bCs/>
          <w:color w:val="FF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(</w:t>
      </w: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  <w:rtl/>
        </w:rPr>
        <w:t>قوله: أجدر</w:t>
      </w: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)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أي أحرى، وفيه إرشاد للعبد إلى شكر نعمة الله عليه إذا نظر إلى من هو دونه في الخلق والرزق والصحة وغير ذلك، وقد قال الله تعالى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 xml:space="preserve">: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﴿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  <w:rtl/>
        </w:rPr>
        <w:t xml:space="preserve">انْظُرْ كَيْفَ فَضَّلْنَا بَعْضَهُمْ عَلَى بَعْضٍ وَلَلْآَخِرَةُ أَكْبَرُ 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  <w:rtl/>
        </w:rPr>
        <w:lastRenderedPageBreak/>
        <w:t>دَرَجَاتٍ وَأَكْبَرُ تَفْضِيلًا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 xml:space="preserve">﴾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[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الإسراء: 21</w:t>
      </w:r>
      <w:proofErr w:type="gramStart"/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]،</w:t>
      </w:r>
      <w:proofErr w:type="gramEnd"/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 xml:space="preserve"> وقال تعالى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 xml:space="preserve">: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﴿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8000"/>
          <w:sz w:val="32"/>
          <w:szCs w:val="32"/>
          <w:rtl/>
        </w:rPr>
        <w:t>وَلَقَدْ آَتَيْنَا دَاوُودَ وَسُلَيْمَانَ عِلْمًا وَقَالَا الْحَمْدُ لِلَّهِ الَّذِي فَضَّلَنَا عَلَى كَثِيرٍ مِنْ عِبَادِهِ الْمُؤْمِنِينَ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 xml:space="preserve">﴾ 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[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النمل: 15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].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sz w:val="32"/>
          <w:szCs w:val="32"/>
        </w:rPr>
        <w:t>1380-</w:t>
      </w:r>
      <w:r w:rsidR="008609A9" w:rsidRPr="0050636B">
        <w:rPr>
          <w:rFonts w:ascii="Traditional Arabic" w:eastAsia="Times New Roman" w:hAnsi="Traditional Arabic" w:cs="Traditional Arabic"/>
          <w:sz w:val="32"/>
          <w:szCs w:val="32"/>
        </w:rPr>
        <w:t>3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  <w:rtl/>
        </w:rPr>
        <w:t>وَعَنْ اَلنَوَّاسِ بْنِ سَمْعَانَ - رضي الله عنه - قَالَ: سَأَلْتُ رَسُولَ الله -صلى الله عليه وسلم- عَنْ اَلْبِرِّ وَالإثْمِ؟ فَقَالَ: «اَلْبِرُّ: حُسْنُ اَلْخُلُقِ، وَالإثْمُ: مَا حَاكَ فِي صَدْرِكَ، وَكَرِهْتَ أَنْ يَطَّلِعَ عَلَيْهِ اَلنَّاسُ» أَخْرَجَهُ مُسْلِمٌ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 w:hint="cs"/>
          <w:color w:val="000000"/>
          <w:sz w:val="32"/>
          <w:szCs w:val="32"/>
          <w:rtl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فيه دليل على أن الله تعالى قد جعل للفطرة السليمة إدراكاً لمعرفة الخير والشر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92AD8" w:rsidRPr="00492AD8" w:rsidRDefault="00492AD8" w:rsidP="00492AD8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</w:rPr>
      </w:pPr>
      <w:r w:rsidRPr="00492AD8">
        <w:rPr>
          <w:rFonts w:ascii="inherit" w:eastAsia="Times New Roman" w:hAnsi="inherit" w:cs="Times New Roman"/>
          <w:sz w:val="24"/>
          <w:szCs w:val="24"/>
          <w:rtl/>
        </w:rPr>
        <w:t>قيل لأحمد بن حنبل رحمه الله تعالى: ما حسن الخلق؟ قال: هو أن تحتمل ما يكون من الناس</w:t>
      </w:r>
      <w:r w:rsidRPr="00492AD8">
        <w:rPr>
          <w:rFonts w:ascii="inherit" w:eastAsia="Times New Roman" w:hAnsi="inherit" w:cs="Times New Roman"/>
          <w:sz w:val="24"/>
          <w:szCs w:val="24"/>
        </w:rPr>
        <w:t>.</w:t>
      </w:r>
    </w:p>
    <w:p w:rsidR="00492AD8" w:rsidRPr="00492AD8" w:rsidRDefault="00492AD8" w:rsidP="00492AD8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</w:rPr>
      </w:pPr>
      <w:r w:rsidRPr="00492AD8">
        <w:rPr>
          <w:rFonts w:ascii="inherit" w:eastAsia="Times New Roman" w:hAnsi="inherit" w:cs="Times New Roman"/>
          <w:sz w:val="24"/>
          <w:szCs w:val="24"/>
        </w:rPr>
        <w:t>[</w:t>
      </w:r>
      <w:r w:rsidRPr="00492AD8">
        <w:rPr>
          <w:rFonts w:ascii="inherit" w:eastAsia="Times New Roman" w:hAnsi="inherit" w:cs="Times New Roman"/>
          <w:sz w:val="24"/>
          <w:szCs w:val="24"/>
          <w:rtl/>
        </w:rPr>
        <w:t>شعب الإيمان للبيهقي ٧٧٢٦</w:t>
      </w:r>
      <w:r w:rsidRPr="00492AD8">
        <w:rPr>
          <w:rFonts w:ascii="inherit" w:eastAsia="Times New Roman" w:hAnsi="inherit" w:cs="Times New Roman"/>
          <w:sz w:val="24"/>
          <w:szCs w:val="24"/>
        </w:rPr>
        <w:t>]</w:t>
      </w:r>
    </w:p>
    <w:p w:rsidR="00492AD8" w:rsidRPr="00492AD8" w:rsidRDefault="00492AD8" w:rsidP="00492AD8">
      <w:pPr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</w:rPr>
      </w:pPr>
    </w:p>
    <w:p w:rsidR="00492AD8" w:rsidRPr="0050636B" w:rsidRDefault="00492AD8" w:rsidP="00492AD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sz w:val="32"/>
          <w:szCs w:val="32"/>
        </w:rPr>
        <w:t>1381-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</w:rPr>
        <w:t> </w:t>
      </w:r>
      <w:r w:rsidR="001179F3" w:rsidRPr="0050636B">
        <w:rPr>
          <w:rFonts w:ascii="Traditional Arabic" w:eastAsia="Times New Roman" w:hAnsi="Traditional Arabic" w:cs="Traditional Arabic"/>
          <w:b/>
          <w:bCs/>
          <w:sz w:val="32"/>
          <w:szCs w:val="32"/>
        </w:rPr>
        <w:t>4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  <w:rtl/>
        </w:rPr>
        <w:t>وَعَنْ ابْنِ مَسْعُودٍ - رضي الله عنه - قَالَ: قَالَ رَسُولُ الله -صلى الله عليه وسلم-: «إِذَا كُنْتُمْ ثَلاثَةً، فَلا يَتَنَاجَى اِثْنَانِ دُونَ اَلآخَرِ، حَتَّى تَخْتَلِطُوا بِالنَّاسِ؛ مِنْ أَجْلِ أَنَّ ذَلِكَ يُحْزِنُهُ» مُتَّفَقٌ عَلَيْهِ واللفظ لمسلم</w:t>
      </w:r>
      <w:r w:rsidRPr="0050636B">
        <w:rPr>
          <w:rFonts w:ascii="Traditional Arabic" w:eastAsia="Times New Roman" w:hAnsi="Traditional Arabic" w:cs="Traditional Arabic"/>
          <w:b/>
          <w:bCs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النهي عن تشاور الاثنين دون الثالث إذا أحزنه ذلك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1382- </w:t>
      </w:r>
      <w:r w:rsidR="001179F3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5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ابْنِ عُمَرَ - رضي الله عنهما - قَالَ: قَالَ رَسُولُ الله -صلى الله عليه وسلم-: «لا يُقِيمُ اَلرَّجُلُ اَلرَّجُلَ مِنْ مَجْلِسِهِ، ثُمَّ يَجْلِسُ فِيهِ، وَلَكِنْ تَفَسَّحُوا، وَتَوَسَّعُوا» مُتَّفَقٌ عَلَيْهِ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أنه لا يجوز إقامة الرجل من مجلسه الذي لم يسبقه إليه غيره، وفيه استحباب التفسح والتوسع وإكرام أهل الفضل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1383- </w:t>
      </w:r>
      <w:r w:rsidR="001179F3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6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ابْنِ عَبَّاسٍ - رضي الله عنهما - قَالَ: قَالَ رَسُولُ الله -صلى الله عليه وسلم-: «إِذَا أَكَلَ أَحَدُكُمْ طَعَامًا، فَلا يَمْسَحْ يَدَهُ، حَتَّى يَلْعَقَهَا، أَوْ يُلْعِقَهَا» مُتَّفَقٌ عَلَيْهِ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lastRenderedPageBreak/>
        <w:t>الحديث دليل على استحباب لعق اليد قبل مسحها بالمنديل ونحوه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1384- </w:t>
      </w:r>
      <w:r w:rsidR="006E2EC3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7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أَبِي هُرَيْرَةَ - رضي الله عنه - قَالَ: قَالَ رَسُولُ الله -صلى الله عليه وسلم-: «لِيُسَلِّمْ الصَّغِيرُ عَلَى اَلْكَبِيرِ، وَالْمَارُّ عَلَى اَلْقَاعِدِ، وَالْقَلِيلُ عَلَى اَلْكَثِيرِ» مُتَّفَقٌ عَلَيْهِ. وَفِي رِوَايَةٍ لِمُسْلِمٍ: «وَالرَّاكِبُ عَلَى اَلْمَاشِي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».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مشروعية ابتداء السلام من الصغير على الكبير، لأنه مأمور بتوقيره، وفيه ابتداء السلام من المار للقاعد، ومن الراكب للماشي، ومن الجمع القليل للجمع الكثير، وفي الحديث الآخر: «أنهم قالوا: يا رسول الله إنا نلتقي فأينا يبدأ بالسلام؟ قال: أطوعكم لله تعالى » رواه الطبراني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1385-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 </w:t>
      </w:r>
      <w:r w:rsidR="006E2EC3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8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عَلِيٍّ - رضي الله عنه - قَالَ: قَالَ رَسُولُ الله -صلى الله عليه وسلم-: «يُجْزِئُ عَنْ اَلْجَمَاعَةِ إِذَا مَرُّوا أَنْ يُسَلِّمَ أَحَدُهُمْ، وَيُجْزِئُ عَنْ اَلْجَمَاعَةِ أَنْ يَرُدَّ أَحَدُهُمْ» رَوَاهُ أَحْمَدُ والبَيْهقِيُّ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أنه يجزئ تسليم الواحد عن الجماعة ابتداء وردًّا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1386- </w:t>
      </w:r>
      <w:r w:rsidR="006E2EC3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9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وَعَنْهُ - رضي الله عنه - قَالَ: قَالَ رَسُولُ الله -صلى الله عليه وسلم-: «لا تَبْدَأُوا اَلْيَهُودَ وَالنَّصَارَى بِالسَّلامِ، وَإِذَا لَقَيْتُمُوهُمْ فِي طَرِيقٍ، فَاضْطَرُّوهُمْ إِلَى أَضْيَقِهِ» أَخْرَجَهُ مُسْلِمٌ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أنه لا يجوز ابتداء اليهود والنصارى بالسلام، وهو قول أكثر العلماء، وقال بعضهم: يجوز للحاجة والضرورة، وفيه دليل على جواز الرد عليهم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1387- </w:t>
      </w:r>
      <w:r w:rsidR="00451945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10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 - رضي الله عنه - عن اَلنَّبِيِّ -صلى الله عليه وسلم-: قَالَ: «إِذَا عَطَسَ أَحَدُكُمْ فَلْيَقُلْ: اَلْحَمْدُ لله، وَلْيَقُلْ لَهُ أَخُوهُ يَرْحَمُكَ اللهُ، فَإِذَا قَالَ لَهُ: يَرْحَمُكَ اللهُ، فَلْيَقُلْ: يَهْدِيكُمُ اللهُ، وَيُصْلِحُ بَالَكُمْ» أَخْرَجَهُ اَلْبُخَارِيُّ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مشروعية الحمد عند العطاس والتشميت وجوابه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lastRenderedPageBreak/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1388- </w:t>
      </w:r>
      <w:r w:rsidR="00DE2D0C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11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وَعَنْهُ - رضي الله عنه - قَالَ: قَالَ رَسُولُ الله -صلى الله عليه وسلم-: «لا يَشْرَبَنَّ أَحَدٌ مِنْكُمْ قَائِمًا» أَخْرَجَهُ مُسْلِمٌ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كراهة الشرب قائماً من غير عذر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1389- </w:t>
      </w:r>
      <w:r w:rsidR="00C42311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12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وَعَنْهُ - رضي الله عنه - قَالَ: قَالَ رَسُولُ الله -صلى الله عليه وسلم-: «إِذَا اِنْتَعَلَ أَحَدُكُمْ فَلْيَبْدَأْ بِالْيَمِينِ، وَإِذَا نَزَعَ فَلْيَبْدَأْ بِالشِّمَالِ، وَلْتَكُنْ اَلْيُمْنَى أَوَّلَهُمَا تُنْعَلُ، وَآخِرَهُمَا تُنْزَعُ» أَخْرَجَهُ مُسْلِمٌ إِلَى قَوْلِهِ بِالشِّمَالِ، وَأَخْرَجَ بَاقِيَهُ مَالِكٌ والتِّرْمِذِيُّ وَأَبُو دَاوُدَ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استحباب البداءة باليمين في لبس النعل، وبالشمال في خلعها، وقال ابن العربي: البداءة باليمين مشروعة في جميع الأعمال الصالحة، لفضل اليمين حساً في القوة، وشرعاً في الندب إلى تقديمها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1390-</w:t>
      </w:r>
      <w:r w:rsidR="00F22BCD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وَعَنْهُ - رضي الله عنه - قَالَ: قَالَ رَسُولُ الله -صلى الله عليه وسلم-: «لا يَمْشِ أَحَدُكُمْ فِي نَعْلٍ وَاحِدَةٍ، وَلْيُنْعِلْهُمَا جَمِيعًا، أَوْ لِيَخْلَعْهُمَا جَمِيعًا» مُتَّفَقٌ عَلَيْهِ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كراهة المشي في نعل واحدة لغير ضرورة ولا حاجة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1391-</w:t>
      </w:r>
      <w:r w:rsidR="00F22BCD"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14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 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اِبْنِ عُمَرَ - رضي الله عنهما - قَالَ: قَالَ رَسُولُ الله -صلى الله عليه وسلم-: «لا يَنْظُرُ اللهُ إِلَى مَنْ جَرَّ ثَوْبَهُ خُيَلاءَ» مُتَّفَقٌ عَلَيْهِ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فيه الوعيد الشديد على من جر ثوبه خيلاء، وفي الحديث: «فقالت أم سلمة: فكيف تصنع النساء بذيولهن؟ فقال -صلى الله عليه وسلم-: يزدن فيه شبراً، قالت: إذاً تنكشف أقدمهن، قال: فيرخينه ذراعاً لا يزدن عليه» رواه النسائي والترمذي، ولما سمع أبو بكر هذا الحديث قال: يا رسول الله إن إزاري يسترخي إلا أن أتعاهده، فقال رسول الله -صلى الله عليه وسلم-: (إنك لست ممن يجره خيلاء)، قال ابن العربي: لا يجوز للرجل أن يجاوز ثوبه كعبه، فيقول: لا أجره خيلاء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lastRenderedPageBreak/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80"/>
          <w:sz w:val="32"/>
          <w:szCs w:val="32"/>
        </w:rPr>
        <w:t>1392-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 </w:t>
      </w:r>
      <w:r w:rsidR="00226368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15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وَعَنْهُ - رضي الله عنه - أَنَّ رَسُولَ اللهِ -صلى الله عليه وسلم- قَالَ: «إِذَا أَكَلَ أَحَدُكُمْ فَلْيَأْكُلْ بِيَمِينِهِ، وَإِذَا شَرِبَ فَلْيَشْرَبْ بِيَمِينِهِ، فَإِنَّ اَلشَّيْطَانَ يَأْكُلُ بِشِمَالِهِ، وَيَشْرَبُ بِشِمَالِهِ» أَخْرَجَهُ مُسْلِمٌ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دليل على مشروعية الأكل باليمين والشرب بها، وأن من أكل أو شرب بشماله فقد تشبه بالشيطان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1393- </w:t>
      </w:r>
      <w:r w:rsidR="00226368"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16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  <w:rtl/>
        </w:rPr>
        <w:t>وَعَنْ عَمْرِو بْنِ شُعَيْبٍ، عَنْ أَبِيهِ، عَنْ جَدِّهِ - رضي الله عنهم - قَالَ: قَالَ رَسُولُ الله -صلى الله عليه وسلم-: «كُلْ، وَاشْرَبْ، وَالْبَسْ، وَتَصَدَّقْ فِي غَيْرِ سَرَفٍ، وَلا مَخِيلَةٍ» أَخْرَجَهُ أَبُو دَاوُدَ وأحمد وعلقه البخاريُّ</w:t>
      </w:r>
      <w:r w:rsidRPr="0050636B">
        <w:rPr>
          <w:rFonts w:ascii="Traditional Arabic" w:eastAsia="Times New Roman" w:hAnsi="Traditional Arabic" w:cs="Traditional Arabic"/>
          <w:b/>
          <w:bCs/>
          <w:color w:val="C00000"/>
          <w:sz w:val="32"/>
          <w:szCs w:val="32"/>
        </w:rPr>
        <w:t>.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 </w:t>
      </w:r>
    </w:p>
    <w:p w:rsidR="004C5CE8" w:rsidRPr="0050636B" w:rsidRDefault="004C5CE8" w:rsidP="004C5CE8">
      <w:pPr>
        <w:shd w:val="clear" w:color="auto" w:fill="F7F6F6"/>
        <w:bidi/>
        <w:spacing w:after="0" w:line="240" w:lineRule="auto"/>
        <w:jc w:val="both"/>
        <w:rPr>
          <w:rFonts w:ascii="Traditional Arabic" w:eastAsia="Times New Roman" w:hAnsi="Traditional Arabic" w:cs="Traditional Arabic"/>
          <w:color w:val="000000"/>
          <w:sz w:val="32"/>
          <w:szCs w:val="32"/>
        </w:rPr>
      </w:pP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  <w:rtl/>
        </w:rPr>
        <w:t>الحديث دليل على تحريم الإسراف والكبر، وفيه تدبير مصالح العبد في الدنيا والآخرة، وبالله التوفيق</w:t>
      </w:r>
      <w:r w:rsidRPr="0050636B">
        <w:rPr>
          <w:rFonts w:ascii="Traditional Arabic" w:eastAsia="Times New Roman" w:hAnsi="Traditional Arabic" w:cs="Traditional Arabic"/>
          <w:color w:val="000000"/>
          <w:sz w:val="32"/>
          <w:szCs w:val="32"/>
        </w:rPr>
        <w:t>.</w:t>
      </w:r>
    </w:p>
    <w:p w:rsidR="006340EA" w:rsidRPr="0050636B" w:rsidRDefault="006340EA" w:rsidP="004C5CE8">
      <w:pPr>
        <w:bidi/>
        <w:rPr>
          <w:rFonts w:ascii="Traditional Arabic" w:hAnsi="Traditional Arabic" w:cs="Traditional Arabic"/>
          <w:sz w:val="32"/>
          <w:szCs w:val="32"/>
        </w:rPr>
      </w:pPr>
    </w:p>
    <w:sectPr w:rsidR="006340EA" w:rsidRPr="0050636B" w:rsidSect="00634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F5FDC"/>
    <w:multiLevelType w:val="multilevel"/>
    <w:tmpl w:val="8F8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CE8"/>
    <w:rsid w:val="00085282"/>
    <w:rsid w:val="001179F3"/>
    <w:rsid w:val="0013207E"/>
    <w:rsid w:val="001B76A5"/>
    <w:rsid w:val="00226368"/>
    <w:rsid w:val="003314F6"/>
    <w:rsid w:val="003F34E8"/>
    <w:rsid w:val="004436FE"/>
    <w:rsid w:val="00451945"/>
    <w:rsid w:val="00492AD8"/>
    <w:rsid w:val="004C5CE8"/>
    <w:rsid w:val="0050636B"/>
    <w:rsid w:val="00512624"/>
    <w:rsid w:val="006340EA"/>
    <w:rsid w:val="00696166"/>
    <w:rsid w:val="006E2EC3"/>
    <w:rsid w:val="006E5D0F"/>
    <w:rsid w:val="00834E37"/>
    <w:rsid w:val="008609A9"/>
    <w:rsid w:val="008A08A1"/>
    <w:rsid w:val="009611BA"/>
    <w:rsid w:val="00B066A6"/>
    <w:rsid w:val="00B94EFE"/>
    <w:rsid w:val="00C15EEB"/>
    <w:rsid w:val="00C42311"/>
    <w:rsid w:val="00C86252"/>
    <w:rsid w:val="00D0734B"/>
    <w:rsid w:val="00D658EE"/>
    <w:rsid w:val="00DC2F5C"/>
    <w:rsid w:val="00DE1B76"/>
    <w:rsid w:val="00DE2D0C"/>
    <w:rsid w:val="00DE3D03"/>
    <w:rsid w:val="00E30A64"/>
    <w:rsid w:val="00ED5B40"/>
    <w:rsid w:val="00F22BCD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EA"/>
  </w:style>
  <w:style w:type="paragraph" w:styleId="Heading2">
    <w:name w:val="heading 2"/>
    <w:basedOn w:val="Normal"/>
    <w:link w:val="Heading2Char"/>
    <w:uiPriority w:val="9"/>
    <w:qFormat/>
    <w:rsid w:val="004C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C5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CE8"/>
    <w:rPr>
      <w:color w:val="0000FF"/>
      <w:u w:val="single"/>
    </w:rPr>
  </w:style>
  <w:style w:type="character" w:customStyle="1" w:styleId="m9osqain">
    <w:name w:val="m9osqain"/>
    <w:basedOn w:val="DefaultParagraphFont"/>
    <w:rsid w:val="00492A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3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8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5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4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ramzan</dc:creator>
  <cp:lastModifiedBy>HP</cp:lastModifiedBy>
  <cp:revision>15</cp:revision>
  <dcterms:created xsi:type="dcterms:W3CDTF">2018-12-17T14:13:00Z</dcterms:created>
  <dcterms:modified xsi:type="dcterms:W3CDTF">2021-01-19T05:09:00Z</dcterms:modified>
</cp:coreProperties>
</file>