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B38F" w14:textId="77777777" w:rsidR="00FD2F01" w:rsidRDefault="00FD2F01" w:rsidP="00FD2F01">
      <w:pPr>
        <w:pStyle w:val="Heading1"/>
      </w:pPr>
      <w:r w:rsidRPr="7164ADCF">
        <w:t>Engineering Decision log</w:t>
      </w:r>
    </w:p>
    <w:p w14:paraId="16234700" w14:textId="77777777" w:rsidR="00FD2F01" w:rsidRPr="005D337E" w:rsidRDefault="00FD2F01" w:rsidP="00FD2F01">
      <w:r w:rsidRPr="005D337E">
        <w:rPr>
          <w:b/>
          <w:bCs/>
        </w:rPr>
        <w:t>Rule</w:t>
      </w:r>
      <w:r w:rsidRPr="005D337E">
        <w:t xml:space="preserve">: Only genuine decisions already made are recorded as "Decided." Where evidence is not yet sufficient, the decision is recorded as "Deferred" with reason and the evidence </w:t>
      </w:r>
      <w:proofErr w:type="gramStart"/>
      <w:r w:rsidRPr="005D337E">
        <w:t>still</w:t>
      </w:r>
      <w:proofErr w:type="gramEnd"/>
      <w:r w:rsidRPr="005D337E">
        <w:t xml:space="preserve"> required. This log uses an Architecture Decision Record (ADR) structure to systematically capture context, alternatives, and trade-offs </w:t>
      </w:r>
      <w:sdt>
        <w:sdtPr>
          <w:id w:val="-431047685"/>
          <w:citation/>
        </w:sdtPr>
        <w:sdtContent>
          <w:r>
            <w:fldChar w:fldCharType="begin"/>
          </w:r>
          <w:r>
            <w:rPr>
              <w:lang w:val="en-ZA"/>
            </w:rPr>
            <w:instrText xml:space="preserve"> CITATION Nyg11 \l 7177 </w:instrText>
          </w:r>
          <w:r>
            <w:fldChar w:fldCharType="separate"/>
          </w:r>
          <w:r w:rsidRPr="005D337E">
            <w:rPr>
              <w:noProof/>
              <w:lang w:val="en-ZA"/>
            </w:rPr>
            <w:t>(Nygard, 2011)</w:t>
          </w:r>
          <w:r>
            <w:fldChar w:fldCharType="end"/>
          </w:r>
        </w:sdtContent>
      </w:sdt>
      <w:r w:rsidRPr="005D337E">
        <w:t>.</w:t>
      </w:r>
    </w:p>
    <w:p w14:paraId="62677A81" w14:textId="77777777" w:rsidR="00FD2F01" w:rsidRDefault="00FD2F01" w:rsidP="00FD2F01">
      <w:pPr>
        <w:pStyle w:val="Heading1"/>
        <w:spacing w:line="257" w:lineRule="auto"/>
      </w:pPr>
      <w:r w:rsidRPr="7164ADCF">
        <w:rPr>
          <w:rFonts w:ascii="Aptos Display" w:eastAsia="Aptos Display" w:hAnsi="Aptos Display" w:cs="Aptos Display"/>
          <w:color w:val="0F4761"/>
        </w:rPr>
        <w:t>Index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D2F01" w14:paraId="6BD0A9C7" w14:textId="77777777" w:rsidTr="00123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36D386D9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Engineering Decision ID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6BE90075" w14:textId="77777777" w:rsidR="00FD2F01" w:rsidRDefault="00FD2F01" w:rsidP="00123A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>Title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64C3693C" w14:textId="77777777" w:rsidR="00FD2F01" w:rsidRDefault="00FD2F01" w:rsidP="00123A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>Status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37A90FD2" w14:textId="77777777" w:rsidR="00FD2F01" w:rsidRDefault="00FD2F01" w:rsidP="00123A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>Date</w:t>
            </w:r>
          </w:p>
        </w:tc>
      </w:tr>
      <w:tr w:rsidR="00FD2F01" w14:paraId="25539BE9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3F0E23DD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ED-001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C82B6C5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Branch protection and PR review model for main branch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DAA631B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Decided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6CA8DDD8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 xml:space="preserve"> </w:t>
            </w:r>
          </w:p>
        </w:tc>
      </w:tr>
      <w:tr w:rsidR="00FD2F01" w14:paraId="246325AB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1390F79D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ED-002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3B77FDD4" w14:textId="77777777" w:rsidR="00FD2F01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Technology stack selection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55185E9" w14:textId="77777777" w:rsidR="00FD2F01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Deferred to Milestone 2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38AF198" w14:textId="77777777" w:rsidR="00FD2F01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 xml:space="preserve"> </w:t>
            </w:r>
          </w:p>
        </w:tc>
      </w:tr>
      <w:tr w:rsidR="00FD2F01" w14:paraId="5375575E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AA8D59C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ED-003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A1775E7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Detailed privacy/access-control model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4112C32F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Deferred to Milestone 2</w:t>
            </w:r>
          </w:p>
        </w:tc>
        <w:tc>
          <w:tcPr>
            <w:tcW w:w="22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7D6B89F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</w:rPr>
            </w:pPr>
          </w:p>
        </w:tc>
      </w:tr>
    </w:tbl>
    <w:p w14:paraId="57A5A669" w14:textId="77777777" w:rsidR="00FD2F01" w:rsidRDefault="00FD2F01" w:rsidP="00FD2F01"/>
    <w:p w14:paraId="08EDEE41" w14:textId="77777777" w:rsidR="00FD2F01" w:rsidRDefault="00FD2F01" w:rsidP="00FD2F01">
      <w:pPr>
        <w:pStyle w:val="Heading2"/>
        <w:spacing w:line="257" w:lineRule="auto"/>
      </w:pPr>
      <w:r w:rsidRPr="7164ADCF">
        <w:rPr>
          <w:rFonts w:ascii="Aptos Display" w:eastAsia="Aptos Display" w:hAnsi="Aptos Display" w:cs="Aptos Display"/>
          <w:color w:val="0F4761"/>
        </w:rPr>
        <w:t>ED-001: Branch protection and PR review model for main branch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695"/>
        <w:gridCol w:w="7311"/>
      </w:tblGrid>
      <w:tr w:rsidR="00FD2F01" w14:paraId="597A7B4D" w14:textId="77777777" w:rsidTr="00123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2AD9DA81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Field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2A044C2" w14:textId="77777777" w:rsidR="00FD2F01" w:rsidRDefault="00FD2F01" w:rsidP="00123A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>Detail</w:t>
            </w:r>
          </w:p>
        </w:tc>
      </w:tr>
      <w:tr w:rsidR="00FD2F01" w14:paraId="77C4594F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4AD914FD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Context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506FA7E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 xml:space="preserve">Master Project Brief mandates a protected main branch with a </w:t>
            </w:r>
            <w:proofErr w:type="gramStart"/>
            <w:r w:rsidRPr="7164ADCF">
              <w:rPr>
                <w:rFonts w:ascii="Aptos" w:eastAsia="Aptos" w:hAnsi="Aptos" w:cs="Aptos"/>
                <w:color w:val="000000" w:themeColor="text1"/>
              </w:rPr>
              <w:t>2 reviewer</w:t>
            </w:r>
            <w:proofErr w:type="gramEnd"/>
            <w:r w:rsidRPr="7164ADCF">
              <w:rPr>
                <w:rFonts w:ascii="Aptos" w:eastAsia="Aptos" w:hAnsi="Aptos" w:cs="Aptos"/>
                <w:color w:val="000000" w:themeColor="text1"/>
              </w:rPr>
              <w:t xml:space="preserve"> approval model and requires GitHub governance to be operational from the start of Milestone 1.</w:t>
            </w:r>
          </w:p>
        </w:tc>
      </w:tr>
      <w:tr w:rsidR="00FD2F01" w14:paraId="4D35EEA8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42A32BFA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Constraints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8DAEE77" w14:textId="77777777" w:rsidR="00FD2F01" w:rsidRPr="00110A77" w:rsidRDefault="00FD2F01" w:rsidP="00FD2F01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0A77">
              <w:rPr>
                <w:rFonts w:ascii="Aptos" w:eastAsia="Aptos" w:hAnsi="Aptos" w:cs="Aptos"/>
                <w:color w:val="000000" w:themeColor="text1"/>
              </w:rPr>
              <w:t xml:space="preserve">Team of 3 </w:t>
            </w:r>
          </w:p>
          <w:p w14:paraId="51FAFA23" w14:textId="77777777" w:rsidR="00FD2F01" w:rsidRPr="00110A77" w:rsidRDefault="00FD2F01" w:rsidP="00FD2F01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" w:eastAsia="Aptos" w:hAnsi="Aptos" w:cs="Aptos"/>
                <w:color w:val="000000" w:themeColor="text1"/>
              </w:rPr>
              <w:t>E</w:t>
            </w:r>
            <w:r w:rsidRPr="00110A77">
              <w:rPr>
                <w:rFonts w:ascii="Aptos" w:eastAsia="Aptos" w:hAnsi="Aptos" w:cs="Aptos"/>
                <w:color w:val="000000" w:themeColor="text1"/>
              </w:rPr>
              <w:t xml:space="preserve">very pull request needs the 2 other members to review before merge. </w:t>
            </w:r>
          </w:p>
          <w:p w14:paraId="245ADF51" w14:textId="77777777" w:rsidR="00FD2F01" w:rsidRDefault="00FD2F01" w:rsidP="00FD2F01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0A77">
              <w:rPr>
                <w:rFonts w:ascii="Aptos" w:eastAsia="Aptos" w:hAnsi="Aptos" w:cs="Aptos"/>
                <w:color w:val="000000" w:themeColor="text1"/>
              </w:rPr>
              <w:t>GitHub Free only allows branch protection when repository is public.</w:t>
            </w:r>
          </w:p>
        </w:tc>
      </w:tr>
      <w:tr w:rsidR="00FD2F01" w14:paraId="58602E80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291180C5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Alternatives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F85C1F6" w14:textId="77777777" w:rsidR="00FD2F01" w:rsidRDefault="00FD2F01" w:rsidP="00FD2F01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Single reviewer approval</w:t>
            </w:r>
          </w:p>
          <w:p w14:paraId="696EBD47" w14:textId="77777777" w:rsidR="00FD2F01" w:rsidRDefault="00FD2F01" w:rsidP="00FD2F01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color w:val="000000" w:themeColor="text1"/>
              </w:rPr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No branch protection</w:t>
            </w:r>
          </w:p>
        </w:tc>
      </w:tr>
      <w:tr w:rsidR="00FD2F01" w14:paraId="780F7234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7CE4B8F1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Decision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D97EA96" w14:textId="77777777" w:rsidR="00FD2F01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Adopted protected main, min 2 approvals excluding the author, bypass disabled.</w:t>
            </w:r>
          </w:p>
        </w:tc>
      </w:tr>
      <w:tr w:rsidR="00FD2F01" w14:paraId="07292874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39D1C85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Rationale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3D5BD5E3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337E">
              <w:rPr>
                <w:rFonts w:ascii="Aptos" w:eastAsia="Aptos" w:hAnsi="Aptos" w:cs="Aptos"/>
                <w:color w:val="000000" w:themeColor="text1"/>
              </w:rPr>
              <w:t>Directly satisfies the Master Brief's 2 reviewer control requirement; removes any single-person unreviewed merge path; produces auditable pull request history as required governance evidence, consistent with high-performance code review practices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sdt>
              <w:sdtPr>
                <w:rPr>
                  <w:rFonts w:ascii="Aptos" w:eastAsia="Aptos" w:hAnsi="Aptos" w:cs="Aptos"/>
                  <w:color w:val="000000" w:themeColor="text1"/>
                </w:rPr>
                <w:id w:val="1008717613"/>
                <w:citation/>
              </w:sdtPr>
              <w:sdtContent>
                <w:r>
                  <w:rPr>
                    <w:rFonts w:ascii="Aptos" w:eastAsia="Aptos" w:hAnsi="Aptos" w:cs="Aptos"/>
                    <w:color w:val="000000" w:themeColor="text1"/>
                  </w:rPr>
                  <w:fldChar w:fldCharType="begin"/>
                </w:r>
                <w:r>
                  <w:rPr>
                    <w:rFonts w:ascii="Aptos" w:eastAsia="Aptos" w:hAnsi="Aptos" w:cs="Aptos"/>
                    <w:color w:val="000000" w:themeColor="text1"/>
                    <w:lang w:val="en-ZA"/>
                  </w:rPr>
                  <w:instrText xml:space="preserve"> CITATION For18 \l 7177 </w:instrText>
                </w:r>
                <w:r>
                  <w:rPr>
                    <w:rFonts w:ascii="Aptos" w:eastAsia="Aptos" w:hAnsi="Aptos" w:cs="Aptos"/>
                    <w:color w:val="000000" w:themeColor="text1"/>
                  </w:rPr>
                  <w:fldChar w:fldCharType="separate"/>
                </w:r>
                <w:r w:rsidRPr="005D337E">
                  <w:rPr>
                    <w:rFonts w:ascii="Aptos" w:eastAsia="Aptos" w:hAnsi="Aptos" w:cs="Aptos"/>
                    <w:noProof/>
                    <w:color w:val="000000" w:themeColor="text1"/>
                    <w:lang w:val="en-ZA"/>
                  </w:rPr>
                  <w:t>(Forsgren, et al., 2018)</w:t>
                </w:r>
                <w:r>
                  <w:rPr>
                    <w:rFonts w:ascii="Aptos" w:eastAsia="Aptos" w:hAnsi="Aptos" w:cs="Aptos"/>
                    <w:color w:val="000000" w:themeColor="text1"/>
                  </w:rPr>
                  <w:fldChar w:fldCharType="end"/>
                </w:r>
              </w:sdtContent>
            </w:sdt>
            <w:r>
              <w:rPr>
                <w:rFonts w:ascii="Aptos" w:eastAsia="Aptos" w:hAnsi="Aptos" w:cs="Aptos"/>
                <w:color w:val="000000" w:themeColor="text1"/>
              </w:rPr>
              <w:t>.</w:t>
            </w:r>
          </w:p>
        </w:tc>
      </w:tr>
      <w:tr w:rsidR="00FD2F01" w14:paraId="1ACEDA48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5101AC74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Trade-offs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4841AE77" w14:textId="77777777" w:rsidR="00FD2F01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 xml:space="preserve">Slower merge velocity on a 3-person team every PR </w:t>
            </w:r>
            <w:proofErr w:type="gramStart"/>
            <w:r w:rsidRPr="7164ADCF">
              <w:rPr>
                <w:rFonts w:ascii="Aptos" w:eastAsia="Aptos" w:hAnsi="Aptos" w:cs="Aptos"/>
                <w:color w:val="000000" w:themeColor="text1"/>
              </w:rPr>
              <w:t>blocks</w:t>
            </w:r>
            <w:proofErr w:type="gramEnd"/>
            <w:r w:rsidRPr="7164ADCF">
              <w:rPr>
                <w:rFonts w:ascii="Aptos" w:eastAsia="Aptos" w:hAnsi="Aptos" w:cs="Aptos"/>
                <w:color w:val="000000" w:themeColor="text1"/>
              </w:rPr>
              <w:t xml:space="preserve"> on both other members reviewing. Governance files </w:t>
            </w:r>
            <w:proofErr w:type="gramStart"/>
            <w:r w:rsidRPr="7164ADCF">
              <w:rPr>
                <w:rFonts w:ascii="Aptos" w:eastAsia="Aptos" w:hAnsi="Aptos" w:cs="Aptos"/>
                <w:color w:val="000000" w:themeColor="text1"/>
              </w:rPr>
              <w:t>(.</w:t>
            </w:r>
            <w:proofErr w:type="spellStart"/>
            <w:r w:rsidRPr="7164ADCF">
              <w:rPr>
                <w:rFonts w:ascii="Aptos" w:eastAsia="Aptos" w:hAnsi="Aptos" w:cs="Aptos"/>
                <w:color w:val="000000" w:themeColor="text1"/>
              </w:rPr>
              <w:t>gitignore</w:t>
            </w:r>
            <w:proofErr w:type="spellEnd"/>
            <w:proofErr w:type="gramEnd"/>
            <w:r w:rsidRPr="7164ADCF">
              <w:rPr>
                <w:rFonts w:ascii="Aptos" w:eastAsia="Aptos" w:hAnsi="Aptos" w:cs="Aptos"/>
                <w:color w:val="000000" w:themeColor="text1"/>
              </w:rPr>
              <w:t>, PR template) had to go through this same flow, which is itself the team's first evidence of the review workflow.</w:t>
            </w:r>
          </w:p>
        </w:tc>
      </w:tr>
      <w:tr w:rsidR="00FD2F01" w14:paraId="4A16A7C1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C98C7D6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Risks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5C3721C0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Reviewer availability becomes a bottleneck if a teammate is unreachable near a deadline(R-011)</w:t>
            </w:r>
          </w:p>
        </w:tc>
      </w:tr>
      <w:tr w:rsidR="00FD2F01" w14:paraId="02D3F0C4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622E6B42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Evidence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29D59C25" w14:textId="77777777" w:rsidR="00FD2F01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Repo Settings → Branches ruleset screenshot; first merged PR showing 2 approvals.</w:t>
            </w:r>
          </w:p>
        </w:tc>
      </w:tr>
      <w:tr w:rsidR="00FD2F01" w14:paraId="18C9F103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17C840F5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lastRenderedPageBreak/>
              <w:t>Later consequence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7870C1DB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Every substantive change in docs, config, and eventually application code all routes through this same pull request + 2-person review flow for the rest of the project. This affects M2–M4 velocity planning.</w:t>
            </w:r>
          </w:p>
        </w:tc>
      </w:tr>
    </w:tbl>
    <w:p w14:paraId="162FBCB6" w14:textId="77777777" w:rsidR="00FD2F01" w:rsidRDefault="00FD2F01" w:rsidP="00FD2F01">
      <w:pPr>
        <w:spacing w:line="257" w:lineRule="auto"/>
      </w:pPr>
      <w:r w:rsidRPr="7164ADCF">
        <w:rPr>
          <w:rFonts w:ascii="Aptos" w:eastAsia="Aptos" w:hAnsi="Aptos" w:cs="Aptos"/>
        </w:rPr>
        <w:t xml:space="preserve"> </w:t>
      </w:r>
    </w:p>
    <w:p w14:paraId="40674392" w14:textId="77777777" w:rsidR="00FD2F01" w:rsidRDefault="00FD2F01" w:rsidP="00FD2F01">
      <w:pPr>
        <w:pStyle w:val="Heading2"/>
        <w:spacing w:line="257" w:lineRule="auto"/>
      </w:pPr>
      <w:r w:rsidRPr="7164ADCF">
        <w:rPr>
          <w:rFonts w:ascii="Aptos Display" w:eastAsia="Aptos Display" w:hAnsi="Aptos Display" w:cs="Aptos Display"/>
          <w:color w:val="0F4761"/>
        </w:rPr>
        <w:t>ED-002: Technology stack selection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695"/>
        <w:gridCol w:w="7311"/>
      </w:tblGrid>
      <w:tr w:rsidR="00FD2F01" w14:paraId="69CBE218" w14:textId="77777777" w:rsidTr="00123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54980D62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Field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68463E2B" w14:textId="77777777" w:rsidR="00FD2F01" w:rsidRDefault="00FD2F01" w:rsidP="00123A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>Detail</w:t>
            </w:r>
          </w:p>
        </w:tc>
      </w:tr>
      <w:tr w:rsidR="00FD2F01" w14:paraId="2B3C0FEC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4DAD90D4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Context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699F441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7164ADCF">
              <w:rPr>
                <w:rFonts w:ascii="Aptos" w:eastAsia="Aptos" w:hAnsi="Aptos" w:cs="Aptos"/>
                <w:color w:val="000000" w:themeColor="text1"/>
              </w:rPr>
              <w:t>CivicConnect</w:t>
            </w:r>
            <w:proofErr w:type="spellEnd"/>
            <w:r w:rsidRPr="7164ADCF">
              <w:rPr>
                <w:rFonts w:ascii="Aptos" w:eastAsia="Aptos" w:hAnsi="Aptos" w:cs="Aptos"/>
                <w:color w:val="000000" w:themeColor="text1"/>
              </w:rPr>
              <w:t xml:space="preserve"> will need a confirmed technology stack.</w:t>
            </w:r>
          </w:p>
        </w:tc>
      </w:tr>
      <w:tr w:rsidR="00FD2F01" w14:paraId="3136FF0F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3A3B8DF4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Constraints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9C18C7B" w14:textId="77777777" w:rsidR="00FD2F01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185">
              <w:rPr>
                <w:rFonts w:ascii="Aptos" w:eastAsia="Aptos" w:hAnsi="Aptos" w:cs="Aptos"/>
                <w:color w:val="000000" w:themeColor="text1"/>
              </w:rPr>
              <w:t>Stack choice must be justified against baselined requirements/NFRs (Driston's FR-01 to FR-10, NFR-01 to NFR-06), which are now drafted but not yet formally baselined/signed off.</w:t>
            </w:r>
          </w:p>
        </w:tc>
      </w:tr>
      <w:tr w:rsidR="00FD2F01" w14:paraId="522EFCD5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25E3BB04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Alternatives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2C8A56C1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Formally defer to M2 with documented rationale.</w:t>
            </w:r>
          </w:p>
        </w:tc>
      </w:tr>
      <w:tr w:rsidR="00FD2F01" w14:paraId="24F92C41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6FA66599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Decision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D947FD6" w14:textId="77777777" w:rsidR="00FD2F01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Deferred to Milestone 2.</w:t>
            </w:r>
          </w:p>
        </w:tc>
      </w:tr>
      <w:tr w:rsidR="00FD2F01" w14:paraId="3D49FCCE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6238897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Rationale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C3BCD91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Master Project Brief (M1 boundaries) explicitly excludes final technology-stack selection from M1's required outputs. Deciding now would risk constraining architecture before the requirements baseline is signed off — the exact premature-decision risk the milestone gate exists to prevent.</w:t>
            </w:r>
          </w:p>
        </w:tc>
      </w:tr>
      <w:tr w:rsidR="00FD2F01" w14:paraId="5780C1F6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5A744F77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Trade-offs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3B195FE6" w14:textId="77777777" w:rsidR="00FD2F01" w:rsidRPr="000A0185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0185">
              <w:rPr>
                <w:rFonts w:ascii="Aptos" w:eastAsia="Aptos" w:hAnsi="Aptos" w:cs="Aptos"/>
                <w:color w:val="000000" w:themeColor="text1"/>
              </w:rPr>
              <w:t>M2 will need dedicated time for a weighted decision matrix / ADR against the now-confirmed NFRs (e.g. NFR-01 performance, NFR-04 availability, NFR-06 scalability).</w:t>
            </w:r>
          </w:p>
        </w:tc>
      </w:tr>
      <w:tr w:rsidR="00FD2F01" w14:paraId="518A37B1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19DD82E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Risks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1F7B2013" w14:textId="77777777" w:rsidR="00FD2F01" w:rsidRPr="000A0185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0185">
              <w:rPr>
                <w:rFonts w:ascii="Aptos" w:eastAsia="Aptos" w:hAnsi="Aptos" w:cs="Aptos"/>
                <w:color w:val="000000" w:themeColor="text1"/>
              </w:rPr>
              <w:t>Left too late, it compresses the M2 timeline.</w:t>
            </w:r>
          </w:p>
        </w:tc>
      </w:tr>
      <w:tr w:rsidR="00FD2F01" w14:paraId="11BC1E45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3E876EE2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Evidence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6CB5B3B5" w14:textId="77777777" w:rsidR="00FD2F01" w:rsidRPr="000A0185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2F01" w14:paraId="34EA78E8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78E1E5C0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Later consequence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D37E8CB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Requires a formal ADR at M2</w:t>
            </w:r>
            <w:r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Pr="7164ADCF">
              <w:rPr>
                <w:rFonts w:ascii="Aptos" w:eastAsia="Aptos" w:hAnsi="Aptos" w:cs="Aptos"/>
                <w:color w:val="000000" w:themeColor="text1"/>
              </w:rPr>
              <w:t>(architecture/technology/persistence/integration choices need the full ADR treatment).</w:t>
            </w:r>
          </w:p>
        </w:tc>
      </w:tr>
    </w:tbl>
    <w:p w14:paraId="222D28DC" w14:textId="77777777" w:rsidR="00FD2F01" w:rsidRDefault="00FD2F01" w:rsidP="00FD2F01">
      <w:pPr>
        <w:spacing w:line="257" w:lineRule="auto"/>
      </w:pPr>
      <w:r w:rsidRPr="7164ADCF">
        <w:rPr>
          <w:rFonts w:ascii="Aptos" w:eastAsia="Aptos" w:hAnsi="Aptos" w:cs="Aptos"/>
        </w:rPr>
        <w:t xml:space="preserve"> </w:t>
      </w:r>
    </w:p>
    <w:p w14:paraId="39854BD3" w14:textId="77777777" w:rsidR="00FD2F01" w:rsidRDefault="00FD2F01" w:rsidP="00FD2F01">
      <w:pPr>
        <w:pStyle w:val="Heading2"/>
        <w:spacing w:line="257" w:lineRule="auto"/>
      </w:pPr>
      <w:r w:rsidRPr="7164ADCF">
        <w:rPr>
          <w:rFonts w:ascii="Aptos Display" w:eastAsia="Aptos Display" w:hAnsi="Aptos Display" w:cs="Aptos Display"/>
          <w:color w:val="0F4761"/>
        </w:rPr>
        <w:t>ED-003: Detailed privacy/access-control model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695"/>
        <w:gridCol w:w="7311"/>
      </w:tblGrid>
      <w:tr w:rsidR="00FD2F01" w14:paraId="5E2F0EB1" w14:textId="77777777" w:rsidTr="00123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49BAB791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Field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1B210E52" w14:textId="77777777" w:rsidR="00FD2F01" w:rsidRDefault="00FD2F01" w:rsidP="00123A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>Detail</w:t>
            </w:r>
          </w:p>
        </w:tc>
      </w:tr>
      <w:tr w:rsidR="00FD2F01" w14:paraId="3C029F8F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4E539143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Context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76F8A5EE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 xml:space="preserve"> </w:t>
            </w:r>
          </w:p>
        </w:tc>
      </w:tr>
      <w:tr w:rsidR="00FD2F01" w14:paraId="6ABBCA5A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4BB013C7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Constraints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3CF3A989" w14:textId="77777777" w:rsidR="00FD2F01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 xml:space="preserve"> </w:t>
            </w:r>
          </w:p>
        </w:tc>
      </w:tr>
      <w:tr w:rsidR="00FD2F01" w14:paraId="467DA6C9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414ED9E1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Alternatives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090957E5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</w:rPr>
              <w:t xml:space="preserve"> </w:t>
            </w:r>
          </w:p>
        </w:tc>
      </w:tr>
      <w:tr w:rsidR="00FD2F01" w14:paraId="32A1B534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5D744881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Decision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510E74BF" w14:textId="77777777" w:rsidR="00FD2F01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Deferred to Milestone 2.</w:t>
            </w:r>
          </w:p>
        </w:tc>
      </w:tr>
      <w:tr w:rsidR="00FD2F01" w14:paraId="045CDEA0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0B1625D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Rationale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30172E6D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Committing to a detailed access model before data classification is confirmed risks the same premature-decision problem as ED-</w:t>
            </w:r>
            <w:proofErr w:type="gramStart"/>
            <w:r w:rsidRPr="7164ADCF">
              <w:rPr>
                <w:rFonts w:ascii="Aptos" w:eastAsia="Aptos" w:hAnsi="Aptos" w:cs="Aptos"/>
                <w:color w:val="000000" w:themeColor="text1"/>
              </w:rPr>
              <w:t>002, and</w:t>
            </w:r>
            <w:proofErr w:type="gramEnd"/>
            <w:r w:rsidRPr="7164ADCF">
              <w:rPr>
                <w:rFonts w:ascii="Aptos" w:eastAsia="Aptos" w:hAnsi="Aptos" w:cs="Aptos"/>
                <w:color w:val="000000" w:themeColor="text1"/>
              </w:rPr>
              <w:t xml:space="preserve"> falls outside M1's boundary on detailed security implementation.</w:t>
            </w:r>
          </w:p>
        </w:tc>
      </w:tr>
      <w:tr w:rsidR="00FD2F01" w14:paraId="4DA53297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79D542A0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Trade-offs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0569F9EA" w14:textId="77777777" w:rsidR="00FD2F01" w:rsidRDefault="00FD2F01" w:rsidP="00123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FE-01 (Security and Privacy) stays partially open until this is resolved. NFR-03 alone is not sufficient to demonstrate the access control claims an assessor may probe.</w:t>
            </w:r>
          </w:p>
        </w:tc>
      </w:tr>
      <w:tr w:rsidR="00FD2F01" w14:paraId="7117685D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5592A79E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Risks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76352D4A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 xml:space="preserve">If deferred too long, </w:t>
            </w:r>
            <w:proofErr w:type="gramStart"/>
            <w:r w:rsidRPr="7164ADCF">
              <w:rPr>
                <w:rFonts w:ascii="Aptos" w:eastAsia="Aptos" w:hAnsi="Aptos" w:cs="Aptos"/>
                <w:color w:val="000000" w:themeColor="text1"/>
              </w:rPr>
              <w:t>exposes</w:t>
            </w:r>
            <w:proofErr w:type="gramEnd"/>
            <w:r w:rsidRPr="7164ADCF">
              <w:rPr>
                <w:rFonts w:ascii="Aptos" w:eastAsia="Aptos" w:hAnsi="Aptos" w:cs="Aptos"/>
                <w:color w:val="000000" w:themeColor="text1"/>
              </w:rPr>
              <w:t xml:space="preserve"> report data to inappropriate users, or forces late redesign of FR-08's role model.</w:t>
            </w:r>
          </w:p>
        </w:tc>
      </w:tr>
      <w:tr w:rsidR="00FD2F01" w14:paraId="6D7A4649" w14:textId="77777777" w:rsidTr="00123A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2A0BBAFC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Evidence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CCCCC"/>
            <w:tcMar>
              <w:left w:w="108" w:type="dxa"/>
              <w:right w:w="108" w:type="dxa"/>
            </w:tcMar>
          </w:tcPr>
          <w:p w14:paraId="1F11317C" w14:textId="77777777" w:rsidR="00FD2F01" w:rsidRPr="003C512C" w:rsidRDefault="00FD2F01" w:rsidP="00FD2F01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12C">
              <w:rPr>
                <w:rFonts w:ascii="Aptos" w:eastAsia="Aptos" w:hAnsi="Aptos" w:cs="Aptos"/>
                <w:color w:val="000000" w:themeColor="text1"/>
              </w:rPr>
              <w:t>This log entry</w:t>
            </w:r>
          </w:p>
          <w:p w14:paraId="71A43703" w14:textId="77777777" w:rsidR="00FD2F01" w:rsidRPr="003C512C" w:rsidRDefault="00FD2F01" w:rsidP="00FD2F01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12C">
              <w:rPr>
                <w:rFonts w:ascii="Aptos" w:eastAsia="Aptos" w:hAnsi="Aptos" w:cs="Aptos"/>
                <w:color w:val="000000" w:themeColor="text1"/>
              </w:rPr>
              <w:t>Phenyo’s stakeholder conflict and FE-01</w:t>
            </w:r>
          </w:p>
          <w:p w14:paraId="43DF6D8B" w14:textId="77777777" w:rsidR="00FD2F01" w:rsidRDefault="00FD2F01" w:rsidP="00FD2F01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ptos" w:eastAsia="Aptos" w:hAnsi="Aptos" w:cs="Aptos"/>
                <w:color w:val="000000" w:themeColor="text1"/>
              </w:rPr>
              <w:t>Driston’s</w:t>
            </w:r>
            <w:r w:rsidRPr="003C512C">
              <w:rPr>
                <w:rFonts w:ascii="Aptos" w:eastAsia="Aptos" w:hAnsi="Aptos" w:cs="Aptos"/>
                <w:color w:val="000000" w:themeColor="text1"/>
              </w:rPr>
              <w:t xml:space="preserve"> NFR-03.</w:t>
            </w:r>
          </w:p>
        </w:tc>
      </w:tr>
      <w:tr w:rsidR="00FD2F01" w14:paraId="27016D71" w14:textId="77777777" w:rsidTr="00123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left w:w="108" w:type="dxa"/>
              <w:right w:w="108" w:type="dxa"/>
            </w:tcMar>
          </w:tcPr>
          <w:p w14:paraId="06E741BA" w14:textId="77777777" w:rsidR="00FD2F01" w:rsidRDefault="00FD2F01" w:rsidP="00123AF3">
            <w:r w:rsidRPr="7164ADCF">
              <w:rPr>
                <w:rFonts w:ascii="Aptos" w:eastAsia="Aptos" w:hAnsi="Aptos" w:cs="Aptos"/>
              </w:rPr>
              <w:t>Later consequence</w:t>
            </w:r>
          </w:p>
        </w:tc>
        <w:tc>
          <w:tcPr>
            <w:tcW w:w="73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9999"/>
            <w:tcMar>
              <w:left w:w="108" w:type="dxa"/>
              <w:right w:w="108" w:type="dxa"/>
            </w:tcMar>
          </w:tcPr>
          <w:p w14:paraId="70D142ED" w14:textId="77777777" w:rsidR="00FD2F01" w:rsidRDefault="00FD2F01" w:rsidP="00123A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164ADCF">
              <w:rPr>
                <w:rFonts w:ascii="Aptos" w:eastAsia="Aptos" w:hAnsi="Aptos" w:cs="Aptos"/>
                <w:color w:val="000000" w:themeColor="text1"/>
              </w:rPr>
              <w:t>Feeds directly into FE-01 and NFR-03 hardening at M2, it requires an ADR once the model is chosen.</w:t>
            </w:r>
          </w:p>
        </w:tc>
      </w:tr>
    </w:tbl>
    <w:p w14:paraId="4C178836" w14:textId="24DA3E3C" w:rsidR="007E4B59" w:rsidRPr="00FD2F01" w:rsidRDefault="007E4B59" w:rsidP="00FD2F01"/>
    <w:sectPr w:rsidR="007E4B59" w:rsidRPr="00FD2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E104"/>
    <w:multiLevelType w:val="hybridMultilevel"/>
    <w:tmpl w:val="5734CFAC"/>
    <w:lvl w:ilvl="0" w:tplc="9A36966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F0C5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9E9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6F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E2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16A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62BE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F60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0A9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571A2"/>
    <w:multiLevelType w:val="hybridMultilevel"/>
    <w:tmpl w:val="5D40BD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972E7B"/>
    <w:multiLevelType w:val="hybridMultilevel"/>
    <w:tmpl w:val="A0EAD1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912D5C"/>
    <w:multiLevelType w:val="hybridMultilevel"/>
    <w:tmpl w:val="DA2A29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276388">
    <w:abstractNumId w:val="3"/>
  </w:num>
  <w:num w:numId="2" w16cid:durableId="1929921561">
    <w:abstractNumId w:val="0"/>
  </w:num>
  <w:num w:numId="3" w16cid:durableId="1629585255">
    <w:abstractNumId w:val="2"/>
  </w:num>
  <w:num w:numId="4" w16cid:durableId="456798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C3"/>
    <w:rsid w:val="000F599D"/>
    <w:rsid w:val="0027719F"/>
    <w:rsid w:val="00466B63"/>
    <w:rsid w:val="005A216C"/>
    <w:rsid w:val="00722E35"/>
    <w:rsid w:val="007E4B59"/>
    <w:rsid w:val="00831D89"/>
    <w:rsid w:val="009430FF"/>
    <w:rsid w:val="009659C3"/>
    <w:rsid w:val="00B574F0"/>
    <w:rsid w:val="00BB2D15"/>
    <w:rsid w:val="00BB5A87"/>
    <w:rsid w:val="00C43D82"/>
    <w:rsid w:val="00D535DF"/>
    <w:rsid w:val="00FD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720CF"/>
  <w15:chartTrackingRefBased/>
  <w15:docId w15:val="{92086E70-A702-4241-939D-EBD5EDC7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F01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9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4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7E4B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Nyg11</b:Tag>
    <b:SourceType>InternetSite</b:SourceType>
    <b:Guid>{D31306B7-633B-448E-B6C0-D29F3ED6F46D}</b:Guid>
    <b:Title>Documenting Architecture Decisions</b:Title>
    <b:Year>2011</b:Year>
    <b:YearAccessed>2026</b:YearAccessed>
    <b:MonthAccessed>09</b:MonthAccessed>
    <b:DayAccessed>09</b:DayAccessed>
    <b:URL>https://cognitect.com/blog/2011/11/15/documenting-architecture-decisions</b:URL>
    <b:Author>
      <b:Author>
        <b:NameList>
          <b:Person>
            <b:Last>Nygard</b:Last>
            <b:First>Michael</b:First>
          </b:Person>
        </b:NameList>
      </b:Author>
    </b:Author>
    <b:RefOrder>3</b:RefOrder>
  </b:Source>
  <b:Source>
    <b:Tag>For18</b:Tag>
    <b:SourceType>Book</b:SourceType>
    <b:Guid>{1CFAE69E-E612-43A2-ACBE-73A0FADBA3A0}</b:Guid>
    <b:Title>Accelerate: The Science of Lean Software and DevOps: Building and Scaling High Performing Technology Organizations</b:Title>
    <b:Year>2018</b:Year>
    <b:Publisher>IT Revolution Press</b:Publisher>
    <b:Author>
      <b:Author>
        <b:NameList>
          <b:Person>
            <b:Last>Forsgren</b:Last>
            <b:First>Nicole</b:First>
          </b:Person>
          <b:Person>
            <b:Last>Humble</b:Last>
            <b:First>Jez</b:First>
          </b:Person>
          <b:Person>
            <b:Last>Kim</b:Last>
            <b:First>Gene</b:Fir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EF530B90-F28B-4BB2-9A61-7CB9CBF07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Masilo Pudikabekwa</dc:creator>
  <cp:keywords/>
  <dc:description/>
  <cp:lastModifiedBy>Masilo Pudikabekwa</cp:lastModifiedBy>
  <cp:revision>3</cp:revision>
  <dcterms:created xsi:type="dcterms:W3CDTF">2026-09-09T14:35:00Z</dcterms:created>
  <dcterms:modified xsi:type="dcterms:W3CDTF">2026-09-09T20:44:00Z</dcterms:modified>
</cp:coreProperties>
</file>