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2E22" w14:textId="77777777" w:rsidR="00341B8E" w:rsidRDefault="00341B8E" w:rsidP="00341B8E">
      <w:pPr>
        <w:pStyle w:val="Heading1"/>
      </w:pPr>
      <w:r>
        <w:t>Risk Register</w:t>
      </w:r>
    </w:p>
    <w:p w14:paraId="4FCEC556" w14:textId="77777777" w:rsidR="00341B8E" w:rsidRPr="005D337E" w:rsidRDefault="00341B8E" w:rsidP="00341B8E">
      <w:r w:rsidRPr="005D337E">
        <w:t xml:space="preserve">Probability and impact are rated Low, Medium, or High, and Priority is derived from the matrix below, adapted from standard project risk management frameworks </w:t>
      </w:r>
      <w:sdt>
        <w:sdtPr>
          <w:id w:val="-285578200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Pro21 \l 7177 </w:instrText>
          </w:r>
          <w:r>
            <w:fldChar w:fldCharType="separate"/>
          </w:r>
          <w:r w:rsidRPr="005D337E">
            <w:rPr>
              <w:noProof/>
              <w:lang w:val="en-ZA"/>
            </w:rPr>
            <w:t>(Project Management Institute, 2021)</w:t>
          </w:r>
          <w:r>
            <w:fldChar w:fldCharType="end"/>
          </w:r>
        </w:sdtContent>
      </w:sdt>
      <w:r w:rsidRPr="005D337E">
        <w:t>.</w:t>
      </w:r>
    </w:p>
    <w:p w14:paraId="4A755F2A" w14:textId="77777777" w:rsidR="00341B8E" w:rsidRDefault="00341B8E" w:rsidP="00341B8E">
      <w:pPr>
        <w:pStyle w:val="Quote"/>
        <w:spacing w:line="257" w:lineRule="auto"/>
      </w:pPr>
      <w:r w:rsidRPr="7164ADCF">
        <w:rPr>
          <w:rFonts w:ascii="Aptos" w:eastAsia="Aptos" w:hAnsi="Aptos" w:cs="Aptos"/>
        </w:rPr>
        <w:t>Note: This register is reviewed and updated at every milestone. When a risk</w:t>
      </w:r>
    </w:p>
    <w:p w14:paraId="13D0AFD1" w14:textId="77777777" w:rsidR="00341B8E" w:rsidRDefault="00341B8E" w:rsidP="00341B8E">
      <w:pPr>
        <w:pStyle w:val="Quote"/>
        <w:spacing w:line="257" w:lineRule="auto"/>
      </w:pPr>
      <w:r w:rsidRPr="7164ADCF">
        <w:rPr>
          <w:rFonts w:ascii="Aptos" w:eastAsia="Aptos" w:hAnsi="Aptos" w:cs="Aptos"/>
        </w:rPr>
        <w:t>materializes, it becomes an issue and must be linked to the resulting action/</w:t>
      </w:r>
    </w:p>
    <w:p w14:paraId="47F5AB6F" w14:textId="77777777" w:rsidR="00341B8E" w:rsidRDefault="00341B8E" w:rsidP="00341B8E">
      <w:pPr>
        <w:pStyle w:val="Quote"/>
        <w:spacing w:line="257" w:lineRule="auto"/>
      </w:pPr>
      <w:r w:rsidRPr="7164ADCF">
        <w:rPr>
          <w:rFonts w:ascii="Aptos" w:eastAsia="Aptos" w:hAnsi="Aptos" w:cs="Aptos"/>
        </w:rPr>
        <w:t>decision.</w:t>
      </w:r>
    </w:p>
    <w:p w14:paraId="36BE983E" w14:textId="77777777" w:rsidR="00341B8E" w:rsidRDefault="00341B8E" w:rsidP="00341B8E">
      <w:pPr>
        <w:pStyle w:val="Heading2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Scoring Scale</w:t>
      </w:r>
    </w:p>
    <w:p w14:paraId="48E350F9" w14:textId="77777777" w:rsidR="00341B8E" w:rsidRDefault="00341B8E" w:rsidP="00341B8E">
      <w:pPr>
        <w:spacing w:line="257" w:lineRule="auto"/>
      </w:pPr>
      <w:r w:rsidRPr="7164ADCF">
        <w:rPr>
          <w:rFonts w:ascii="Aptos" w:eastAsia="Aptos" w:hAnsi="Aptos" w:cs="Aptos"/>
        </w:rPr>
        <w:t>Probability and impact are rated Low, Medium, or High. Priority is derived from the matrix below.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341B8E" w14:paraId="372B0953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3A6411D" w14:textId="77777777" w:rsidR="00341B8E" w:rsidRDefault="00341B8E" w:rsidP="00123AF3">
            <w:r w:rsidRPr="7164ADCF">
              <w:rPr>
                <w:rFonts w:ascii="Aptos" w:eastAsia="Aptos" w:hAnsi="Aptos" w:cs="Aptos"/>
              </w:rPr>
              <w:t>Probability/ Impact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2C1CDB84" w14:textId="77777777" w:rsidR="00341B8E" w:rsidRDefault="00341B8E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Low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A1E1298" w14:textId="77777777" w:rsidR="00341B8E" w:rsidRDefault="00341B8E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Medium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EBC418A" w14:textId="77777777" w:rsidR="00341B8E" w:rsidRDefault="00341B8E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High</w:t>
            </w:r>
          </w:p>
        </w:tc>
      </w:tr>
      <w:tr w:rsidR="00341B8E" w14:paraId="1E4BA96D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91185DB" w14:textId="77777777" w:rsidR="00341B8E" w:rsidRDefault="00341B8E" w:rsidP="00123AF3">
            <w:r w:rsidRPr="7164ADCF">
              <w:rPr>
                <w:rFonts w:ascii="Aptos" w:eastAsia="Aptos" w:hAnsi="Aptos" w:cs="Aptos"/>
              </w:rPr>
              <w:t xml:space="preserve">Low 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048C7BA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Low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322E1A6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Low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C373DD3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Medium</w:t>
            </w:r>
          </w:p>
        </w:tc>
      </w:tr>
      <w:tr w:rsidR="00341B8E" w14:paraId="7ECB1070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7AF6FDF" w14:textId="77777777" w:rsidR="00341B8E" w:rsidRDefault="00341B8E" w:rsidP="00123AF3">
            <w:r w:rsidRPr="7164ADCF">
              <w:rPr>
                <w:rFonts w:ascii="Aptos" w:eastAsia="Aptos" w:hAnsi="Aptos" w:cs="Aptos"/>
              </w:rPr>
              <w:t xml:space="preserve">Medium 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0639D79" w14:textId="77777777" w:rsidR="00341B8E" w:rsidRDefault="00341B8E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Low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89CEE2C" w14:textId="77777777" w:rsidR="00341B8E" w:rsidRDefault="00341B8E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Medium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769BED8" w14:textId="77777777" w:rsidR="00341B8E" w:rsidRDefault="00341B8E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High</w:t>
            </w:r>
          </w:p>
        </w:tc>
      </w:tr>
      <w:tr w:rsidR="00341B8E" w14:paraId="0029C758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F42A189" w14:textId="77777777" w:rsidR="00341B8E" w:rsidRDefault="00341B8E" w:rsidP="00123AF3">
            <w:r w:rsidRPr="7164ADCF">
              <w:rPr>
                <w:rFonts w:ascii="Aptos" w:eastAsia="Aptos" w:hAnsi="Aptos" w:cs="Aptos"/>
              </w:rPr>
              <w:t>High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A3BD9AA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Medium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51A20E0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High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66C3494" w14:textId="77777777" w:rsidR="00341B8E" w:rsidRDefault="00341B8E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Critical</w:t>
            </w:r>
          </w:p>
        </w:tc>
      </w:tr>
    </w:tbl>
    <w:p w14:paraId="5DD12993" w14:textId="77777777" w:rsidR="00341B8E" w:rsidRDefault="00341B8E" w:rsidP="00341B8E">
      <w:pPr>
        <w:spacing w:line="257" w:lineRule="auto"/>
      </w:pPr>
      <w:r w:rsidRPr="7164ADCF">
        <w:rPr>
          <w:rFonts w:ascii="Aptos" w:eastAsia="Aptos" w:hAnsi="Aptos" w:cs="Aptos"/>
        </w:rPr>
        <w:t xml:space="preserve"> </w:t>
      </w:r>
    </w:p>
    <w:p w14:paraId="3C34C57E" w14:textId="77777777" w:rsidR="00341B8E" w:rsidRDefault="00341B8E" w:rsidP="00341B8E">
      <w:pPr>
        <w:pStyle w:val="Heading2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Risk register Table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89"/>
        <w:gridCol w:w="1125"/>
        <w:gridCol w:w="1555"/>
        <w:gridCol w:w="906"/>
        <w:gridCol w:w="666"/>
        <w:gridCol w:w="676"/>
        <w:gridCol w:w="1124"/>
        <w:gridCol w:w="1017"/>
        <w:gridCol w:w="820"/>
        <w:gridCol w:w="628"/>
      </w:tblGrid>
      <w:tr w:rsidR="00341B8E" w14:paraId="2ABF5BCD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F8959E0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Risk ID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349BDD1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Description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F03D3CB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Cause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0E0D68E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Probability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C93EE2F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Impact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22570CB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Priority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164EEFF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Mitigation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831588C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Contingency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81EB745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Owner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D69B131" w14:textId="77777777" w:rsidR="00341B8E" w:rsidRDefault="00341B8E" w:rsidP="00123AF3">
            <w:pPr>
              <w:spacing w:after="160" w:line="257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 w:val="0"/>
                <w:bCs w:val="0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Status</w:t>
            </w:r>
          </w:p>
        </w:tc>
      </w:tr>
      <w:tr w:rsidR="00341B8E" w14:paraId="23371887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A318764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R-001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923B87C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Uncontrolled scope creep after the requirements baseline is signed off.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A69268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Pressure to keep adding Requester/Staff/Management capabilities post-baseline; brief allows "additional features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"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but scope discipline is easy to underestimate.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EF77C02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75D1B5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9EE9E70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241139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Baseline scope explicitly in PED with in/out/deferred lists; any new capability goes through the Change Management flow before it's built.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59A619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Reject or formally defer the change; log it in the Decision Log with rationale instead of silently absorbing it.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E9E21B1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Masilo Pudikabekwa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37F3C3F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481553BD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3B4AC24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R-002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53CA44B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Misinterpreted or internally conflicting stakeholder needs.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2778219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No real client — Requester/Staff/Management needs are simulated by the team, so disagreements on interpretation surface late.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DC6E36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20EDCF4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F3F641D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DF0A6D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Document stakeholder assumptions explicitly in the Stakeholder Analysis; cross-check derived requirements against all three capability groups before baselining.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43C8A8C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Re-run the affected requirement through stakeholder analysis and re-baseline before it propagates further.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19C08FB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Phenyo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Phooko</w:t>
            </w:r>
            <w:proofErr w:type="spellEnd"/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A116325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42683163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53A5691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R-003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A1801D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Team lacks production experience with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the technology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stack still under evaluation.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60C91F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Prior team project experience is entirely Node.js/Express/MongoDB; Assignment 1 researched an alternative (Stack B: ASP.NET Core/PostgreSQL) not yet used in a real build.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B48954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A93E23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65A49E0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0D0CD73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Run a small technical spike/prototype before the M2 architecture decision is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finalised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; budget extra learning time into the M2 schedule.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5667BA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Fall back to the stack with existing team experience (Stack A) if the spike shows the learning curve threatens M2 delivery.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7A2D5C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Dristen Venter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CF0869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1CFE19DF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23B7756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lastRenderedPageBreak/>
              <w:t>R-004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E5DE5F3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Single point of failure per individually owned deliverable.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34B6E99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Exactly 3 team members, each holding fixed individual milestone responsibilities with no formal backup.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FDEBCD2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EFEAAF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AF0B38D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F24CD29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Keep all artefacts in the shared repo (not local machines); each member briefly documents their section so another member could pick it up.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1DF8CCA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Redistribute the affected deliverable across the remaining 2 members and notify the lecturer if the deadline is at risk.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828F4A2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Team</w:t>
            </w:r>
          </w:p>
          <w:p w14:paraId="263D96C3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(Shared ownership)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3CD7B4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6052A12F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B334EC3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R-005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A616502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M2 technology decision made without sufficient evidence.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56CD338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M1 explicitly excludes stack selection; without early spike evidence, the team risks deciding under time pressure at the start of M2.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AEFEED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1AADD11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2EF8DAD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B1AD7A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Start technology comparison research now groundwork already so M2 opens with evidence, not a blank slate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FD0F0AD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Use a lightweight decision matrix against already-baselined NFRs to force an evidence-based choice quickly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DADD4BF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Dristen Venter</w:t>
            </w:r>
          </w:p>
          <w:p w14:paraId="00C76A33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D41CC9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6E8877EC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CFE75D8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R-006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8FBBD4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Inconsistent handling of sensitive service-request data (PII, security concerns, location info)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C993684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Business need explicitly flags inconsistent handling in the current fragmented process; no authentication/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authorisation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model exists until M2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CCD4B1A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AC72CE3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611F7D3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A5D412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Capture data-sensitivity and access control NFRs now, even though implementation is deferred; flag security as a Forward Engineering Consideration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69862FB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Restrict any early prototype/demo data to synthetic, non-sensitive examples only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F1A28C7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Masilo Pudikabekwa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99B1BDC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7CDBC718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46D9100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R-007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A604EA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Secrets or credentials committed to repository history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BB5D8C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No secret scanning currently enabled on the repo; a pre-existing committed-secret risk was already flagged during GitHub governance setup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A49ECAF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109DDB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28BEE7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D48AA38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proofErr w:type="gramStart"/>
            <w:r w:rsidRPr="005D337E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Keep .</w:t>
            </w:r>
            <w:proofErr w:type="spellStart"/>
            <w:r w:rsidRPr="005D337E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gitignore</w:t>
            </w:r>
            <w:proofErr w:type="spellEnd"/>
            <w:proofErr w:type="gramEnd"/>
            <w:r w:rsidRPr="005D337E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current for all credential-bearing file types; treat any committed secret as an immediate history-rewrite trigger, not a routine fix, aligning with industry secrets management standards </w:t>
            </w:r>
            <w:sdt>
              <w:sdtPr>
                <w:rPr>
                  <w:rFonts w:ascii="Aptos" w:eastAsia="Aptos" w:hAnsi="Aptos" w:cs="Aptos"/>
                  <w:color w:val="000000" w:themeColor="text1"/>
                  <w:sz w:val="12"/>
                  <w:szCs w:val="12"/>
                </w:rPr>
                <w:id w:val="-395446119"/>
                <w:citation/>
              </w:sdtPr>
              <w:sdtContent>
                <w:r>
                  <w:rPr>
                    <w:rFonts w:ascii="Aptos" w:eastAsia="Aptos" w:hAnsi="Aptos" w:cs="Aptos"/>
                    <w:color w:val="000000" w:themeColor="text1"/>
                    <w:sz w:val="12"/>
                    <w:szCs w:val="12"/>
                  </w:rPr>
                  <w:fldChar w:fldCharType="begin"/>
                </w:r>
                <w:r>
                  <w:rPr>
                    <w:rFonts w:ascii="Aptos" w:eastAsia="Aptos" w:hAnsi="Aptos" w:cs="Aptos"/>
                    <w:color w:val="000000" w:themeColor="text1"/>
                    <w:sz w:val="12"/>
                    <w:szCs w:val="12"/>
                    <w:lang w:val="en-ZA"/>
                  </w:rPr>
                  <w:instrText xml:space="preserve"> CITATION OWA26 \l 7177 </w:instrText>
                </w:r>
                <w:r>
                  <w:rPr>
                    <w:rFonts w:ascii="Aptos" w:eastAsia="Aptos" w:hAnsi="Aptos" w:cs="Aptos"/>
                    <w:color w:val="000000" w:themeColor="text1"/>
                    <w:sz w:val="12"/>
                    <w:szCs w:val="12"/>
                  </w:rPr>
                  <w:fldChar w:fldCharType="separate"/>
                </w:r>
                <w:r w:rsidRPr="005D337E">
                  <w:rPr>
                    <w:rFonts w:ascii="Aptos" w:eastAsia="Aptos" w:hAnsi="Aptos" w:cs="Aptos"/>
                    <w:noProof/>
                    <w:color w:val="000000" w:themeColor="text1"/>
                    <w:sz w:val="12"/>
                    <w:szCs w:val="12"/>
                    <w:lang w:val="en-ZA"/>
                  </w:rPr>
                  <w:t>(OWASP Foundation, n.d.)</w:t>
                </w:r>
                <w:r>
                  <w:rPr>
                    <w:rFonts w:ascii="Aptos" w:eastAsia="Aptos" w:hAnsi="Aptos" w:cs="Aptos"/>
                    <w:color w:val="000000" w:themeColor="text1"/>
                    <w:sz w:val="12"/>
                    <w:szCs w:val="12"/>
                  </w:rPr>
                  <w:fldChar w:fldCharType="end"/>
                </w:r>
              </w:sdtContent>
            </w:sdt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7B6EF6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Rotate the exposed credential immediately, then rewrite history to remove it before continuing other work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00AF9B8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Masilo Pudikabekwa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01ABD4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527BBF78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671EB6B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R-008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B61198D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Future dependency on a third-party notification channel (e.g. email/SMS)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71DFA1C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Current process spans email, phone and WhatsApp; any future integration decision introduces an external API dependency not yet scoped in M1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410CD6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3A3C77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D28408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C3F5CB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Explicitly defer notification-channel integration to a later milestone; record it in Forward Engineering Considerations rather than deciding now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5D4E02C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If required earlier than planned, scope it as a small, isolated feature with its own risk/requirement entries first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2A8F65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Phenyo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Phooko</w:t>
            </w:r>
            <w:proofErr w:type="spellEnd"/>
          </w:p>
          <w:p w14:paraId="16FE3E5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2AA834C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2C11CB97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06D35A8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R-009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8B070C8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Late discovery of hosting/deployment constraints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3E3812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CI pipeline and deployment are explicitly out of M1 scope; deferring all environment discussion risks a late surprise in M3/M4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9DE562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19B5390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EE15C6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6A3CCBD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Note deployment/hosting as a Forward Engineering Consideration now so it isn't a blind spot; revisit before M3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4F25FB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Use a free-tier hosting option as a fallback to keep M3/M4 delivery on track while cost options are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finalised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14F401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Dristen Venter</w:t>
            </w:r>
          </w:p>
          <w:p w14:paraId="685A337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775C4F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0AB5C888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1BC1880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R-010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804CCA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Operational cost underestimated beyond free tier limits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B2B0612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Constraint requires preferring free/low-cost services, but real hosting/DB cost at scale isn't estimated yet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C94A24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D21568D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3024F3E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Low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AA6C634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Track free tier limits of any service selected in M2 and note them in the relevant ADR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B0E9A13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Downgrade to a lower cost equivalent service if a limit is hit during development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A3994EF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Dristen Venter</w:t>
            </w:r>
          </w:p>
          <w:p w14:paraId="5E1359FB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76FE52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332C23CF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ADABCF4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R-011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48FDBA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Compressed individual working windows against fixed milestone dates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DEA1E4A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Module runs 31 Aug – 23 Oct 2026 with no schedule flexibility; each member's availability is different and can vary </w:t>
            </w: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 xml:space="preserve">because of other responsibilities.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998AC1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10EB278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BE15D5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FC6B1D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Spread work evenly across the milestone rather than backloading; agree realistic </w:t>
            </w: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>weekly checkpoints in the Team Working Agreement.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4A159C7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>Reprioritise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remaining scope toward the highest-mark-value items if a </w:t>
            </w: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>member falls behind, and flag it to the team early.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CFDE482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lastRenderedPageBreak/>
              <w:t>Team</w:t>
            </w:r>
          </w:p>
          <w:p w14:paraId="1334386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(Shared ownership)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5658856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4EBB35F0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F668A80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R-012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BDC233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Unsupported or immeasurable quality/NFR claims at the M1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defence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740099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NFRs aren't fully measurable yet at this stage of baseline, and the brief explicitly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penalises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unsupported quality claims — this affects Requirements &amp; Acceptance Criteria, PED Quality, and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the individual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defence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simultaneously.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EBBBA9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2F14409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CCBF4AB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b/>
                <w:bCs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b/>
                <w:bCs/>
                <w:color w:val="000000" w:themeColor="text1"/>
                <w:sz w:val="12"/>
                <w:szCs w:val="12"/>
              </w:rPr>
              <w:t>Critical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776377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Attach a measurable acceptance criterion to every NFR before baseline sign-off; reject any NFR that can't be tested or observed.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D398C12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Mark the NFR as "draft pending measurable criterion" rather than baselining it, and revisit before the sign off.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3BF53DA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Phenyo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Phooko</w:t>
            </w:r>
            <w:proofErr w:type="spellEnd"/>
          </w:p>
          <w:p w14:paraId="2E008659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52EC7FE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57B0D13C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F1109C8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R-013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BB13671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Two-approval PR bottleneck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8825F6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Protected-main requires 2 approvals excluding the author, from a 3-person team; one unavailable reviewer stalls every merge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C92976E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EC84CD3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53809D9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1DEC9D0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Agree a review-turnaround expectation in the Team Working Agreement (e.g. within 24h on weekdays); avoid opening large PRs late in the week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AF0ED54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Author pings the team directly / lecturer if a PR is genuinely blocked past the agreed window, rather than bypassing protection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7CD9545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Masilo Pudikabekwa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4E45C2B" w14:textId="77777777" w:rsidR="00341B8E" w:rsidRDefault="00341B8E" w:rsidP="00123AF3">
            <w:pPr>
              <w:spacing w:after="160" w:line="25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  <w:tr w:rsidR="00341B8E" w14:paraId="2CBF845C" w14:textId="77777777" w:rsidTr="00123AF3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557CF0D" w14:textId="77777777" w:rsidR="00341B8E" w:rsidRDefault="00341B8E" w:rsidP="00123AF3">
            <w:pPr>
              <w:spacing w:after="160" w:line="257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7164ADCF">
              <w:rPr>
                <w:rFonts w:ascii="Aptos" w:eastAsia="Aptos" w:hAnsi="Aptos" w:cs="Aptos"/>
                <w:sz w:val="16"/>
                <w:szCs w:val="16"/>
              </w:rPr>
              <w:t>R-014</w:t>
            </w:r>
          </w:p>
        </w:tc>
        <w:tc>
          <w:tcPr>
            <w:tcW w:w="12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4AF00EA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Unverified AI-generated content submitted as own work 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8C2C6A8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AI is used throughout the project; the brief states "AI generated it" is never an acceptable 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>defence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, and unverified claims risk an integrity penalty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734BF6F7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Medium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44E5D10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6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D55080E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High </w:t>
            </w:r>
          </w:p>
        </w:tc>
        <w:tc>
          <w:tcPr>
            <w:tcW w:w="12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222C161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Log every material AI contribution in the AI Usage Register with what was verified, changed or rejected, at the time it's used not retroactively </w:t>
            </w:r>
          </w:p>
        </w:tc>
        <w:tc>
          <w:tcPr>
            <w:tcW w:w="10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A6153DE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If an unverified AI claim is caught before submission, verify it properly or remove it and redo the work manually </w:t>
            </w:r>
          </w:p>
        </w:tc>
        <w:tc>
          <w:tcPr>
            <w:tcW w:w="7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2DB5D3D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Masilo Pudikabekwa </w:t>
            </w:r>
          </w:p>
        </w:tc>
        <w:tc>
          <w:tcPr>
            <w:tcW w:w="3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494D517" w14:textId="77777777" w:rsidR="00341B8E" w:rsidRDefault="00341B8E" w:rsidP="00123AF3">
            <w:pPr>
              <w:spacing w:after="160"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</w:pPr>
            <w:r w:rsidRPr="7164ADCF">
              <w:rPr>
                <w:rFonts w:ascii="Aptos" w:eastAsia="Aptos" w:hAnsi="Aptos" w:cs="Aptos"/>
                <w:color w:val="000000" w:themeColor="text1"/>
                <w:sz w:val="12"/>
                <w:szCs w:val="12"/>
              </w:rPr>
              <w:t xml:space="preserve">Open </w:t>
            </w:r>
          </w:p>
        </w:tc>
      </w:tr>
    </w:tbl>
    <w:p w14:paraId="4A458F51" w14:textId="77777777" w:rsidR="00341B8E" w:rsidRDefault="00341B8E" w:rsidP="00341B8E">
      <w:pPr>
        <w:spacing w:line="257" w:lineRule="auto"/>
      </w:pPr>
      <w:r w:rsidRPr="7164ADCF">
        <w:rPr>
          <w:rFonts w:ascii="Aptos" w:eastAsia="Aptos" w:hAnsi="Aptos" w:cs="Aptos"/>
        </w:rPr>
        <w:t xml:space="preserve"> </w:t>
      </w:r>
    </w:p>
    <w:p w14:paraId="699804B8" w14:textId="77777777" w:rsidR="00341B8E" w:rsidRDefault="00341B8E" w:rsidP="00341B8E">
      <w:pPr>
        <w:pStyle w:val="Heading3"/>
        <w:spacing w:line="257" w:lineRule="auto"/>
      </w:pPr>
      <w:r w:rsidRPr="7164ADCF">
        <w:rPr>
          <w:rFonts w:ascii="Aptos" w:eastAsia="Aptos" w:hAnsi="Aptos" w:cs="Aptos"/>
          <w:color w:val="0F4761"/>
        </w:rPr>
        <w:t>Highest Priority Risk</w:t>
      </w:r>
    </w:p>
    <w:p w14:paraId="07F9EF13" w14:textId="77777777" w:rsidR="00341B8E" w:rsidRDefault="00341B8E" w:rsidP="00341B8E">
      <w:pPr>
        <w:pStyle w:val="ListParagraph"/>
        <w:numPr>
          <w:ilvl w:val="0"/>
          <w:numId w:val="2"/>
        </w:numPr>
        <w:spacing w:after="0" w:line="257" w:lineRule="auto"/>
        <w:rPr>
          <w:rFonts w:ascii="Aptos" w:eastAsia="Aptos" w:hAnsi="Aptos" w:cs="Aptos"/>
        </w:rPr>
      </w:pPr>
      <w:r w:rsidRPr="7164ADCF">
        <w:rPr>
          <w:rFonts w:ascii="Aptos" w:eastAsia="Aptos" w:hAnsi="Aptos" w:cs="Aptos"/>
          <w:b/>
          <w:bCs/>
        </w:rPr>
        <w:t>R-012</w:t>
      </w:r>
      <w:r w:rsidRPr="7164ADCF">
        <w:rPr>
          <w:rFonts w:ascii="Aptos" w:eastAsia="Aptos" w:hAnsi="Aptos" w:cs="Aptos"/>
        </w:rPr>
        <w:t xml:space="preserve">: Unsupported or immeasurable quality/NFR claims at the M1 </w:t>
      </w:r>
      <w:proofErr w:type="spellStart"/>
      <w:r w:rsidRPr="7164ADCF">
        <w:rPr>
          <w:rFonts w:ascii="Aptos" w:eastAsia="Aptos" w:hAnsi="Aptos" w:cs="Aptos"/>
        </w:rPr>
        <w:t>defence</w:t>
      </w:r>
      <w:proofErr w:type="spellEnd"/>
      <w:r w:rsidRPr="7164ADCF">
        <w:rPr>
          <w:rFonts w:ascii="Aptos" w:eastAsia="Aptos" w:hAnsi="Aptos" w:cs="Aptos"/>
        </w:rPr>
        <w:t xml:space="preserve"> </w:t>
      </w:r>
    </w:p>
    <w:p w14:paraId="1A55526B" w14:textId="77777777" w:rsidR="00341B8E" w:rsidRDefault="00341B8E" w:rsidP="00341B8E">
      <w:pPr>
        <w:spacing w:line="257" w:lineRule="auto"/>
      </w:pPr>
      <w:r w:rsidRPr="7164ADCF">
        <w:rPr>
          <w:rFonts w:ascii="Aptos" w:eastAsia="Aptos" w:hAnsi="Aptos" w:cs="Aptos"/>
        </w:rPr>
        <w:t xml:space="preserve">This is the only critical entry because it is one the one risk that that impacts 3 separate rubric lines simultaneously (Requirements and Acceptance Criteria, PED Quality, and the individual engineering </w:t>
      </w:r>
      <w:proofErr w:type="spellStart"/>
      <w:r w:rsidRPr="7164ADCF">
        <w:rPr>
          <w:rFonts w:ascii="Aptos" w:eastAsia="Aptos" w:hAnsi="Aptos" w:cs="Aptos"/>
        </w:rPr>
        <w:t>defence</w:t>
      </w:r>
      <w:proofErr w:type="spellEnd"/>
      <w:r w:rsidRPr="7164ADCF">
        <w:rPr>
          <w:rFonts w:ascii="Aptos" w:eastAsia="Aptos" w:hAnsi="Aptos" w:cs="Aptos"/>
        </w:rPr>
        <w:t xml:space="preserve">). It is also actively live; every Non-Functional Requirement (NFR) baselined without a measurable acceptance criterion carries this risk forward. It is fully within the team's control to close before sign-off, which is why the mitigation is to "reject the NFR and do not </w:t>
      </w:r>
      <w:proofErr w:type="gramStart"/>
      <w:r w:rsidRPr="7164ADCF">
        <w:rPr>
          <w:rFonts w:ascii="Aptos" w:eastAsia="Aptos" w:hAnsi="Aptos" w:cs="Aptos"/>
        </w:rPr>
        <w:t>baseline</w:t>
      </w:r>
      <w:proofErr w:type="gramEnd"/>
      <w:r w:rsidRPr="7164ADCF">
        <w:rPr>
          <w:rFonts w:ascii="Aptos" w:eastAsia="Aptos" w:hAnsi="Aptos" w:cs="Aptos"/>
        </w:rPr>
        <w:t xml:space="preserve"> it" rather than a softer control.</w:t>
      </w:r>
    </w:p>
    <w:p w14:paraId="643B9E0B" w14:textId="4B7A1A70" w:rsidR="00D4281C" w:rsidRPr="00341B8E" w:rsidRDefault="00D4281C" w:rsidP="00341B8E"/>
    <w:sectPr w:rsidR="00D4281C" w:rsidRPr="00341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6DEE7"/>
    <w:multiLevelType w:val="hybridMultilevel"/>
    <w:tmpl w:val="51127300"/>
    <w:lvl w:ilvl="0" w:tplc="448622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2642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46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E1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D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06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2E1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65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C7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D37AF"/>
    <w:multiLevelType w:val="hybridMultilevel"/>
    <w:tmpl w:val="F6CEF5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008050">
    <w:abstractNumId w:val="1"/>
  </w:num>
  <w:num w:numId="2" w16cid:durableId="93385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55"/>
    <w:rsid w:val="000F599D"/>
    <w:rsid w:val="00213A87"/>
    <w:rsid w:val="00341B8E"/>
    <w:rsid w:val="00346897"/>
    <w:rsid w:val="004E1068"/>
    <w:rsid w:val="007F0E72"/>
    <w:rsid w:val="00814DBA"/>
    <w:rsid w:val="00831D89"/>
    <w:rsid w:val="009430FF"/>
    <w:rsid w:val="00A76F65"/>
    <w:rsid w:val="00AA209F"/>
    <w:rsid w:val="00BB2D15"/>
    <w:rsid w:val="00BF6CDB"/>
    <w:rsid w:val="00C43D82"/>
    <w:rsid w:val="00CF2189"/>
    <w:rsid w:val="00D4281C"/>
    <w:rsid w:val="00E52BF5"/>
    <w:rsid w:val="00E65BFB"/>
    <w:rsid w:val="00F0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1231A"/>
  <w15:chartTrackingRefBased/>
  <w15:docId w15:val="{E03BCD34-4F85-458C-9E4A-CC24AAD1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B8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814D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Strong">
    <w:name w:val="Strong"/>
    <w:basedOn w:val="DefaultParagraphFont"/>
    <w:uiPriority w:val="22"/>
    <w:qFormat/>
    <w:rsid w:val="00A76F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Pro21</b:Tag>
    <b:SourceType>Book</b:SourceType>
    <b:Guid>{29B578EF-0117-4437-A3E7-0DFC3ACD3A31}</b:Guid>
    <b:Title>A Guide to the Project Management Body of Knowledge (PMBOK® Guide) (7th ed.)</b:Title>
    <b:Year>2021</b:Year>
    <b:Author>
      <b:Author>
        <b:Corporate>Project Management Institute</b:Corporate>
      </b:Author>
    </b:Author>
    <b:Publisher>Project Management Institute</b:Publisher>
    <b:RefOrder>1</b:RefOrder>
  </b:Source>
  <b:Source>
    <b:Tag>OWA26</b:Tag>
    <b:SourceType>InternetSite</b:SourceType>
    <b:Guid>{520457EA-C90E-4169-AD56-92129E1A5884}</b:Guid>
    <b:Author>
      <b:Author>
        <b:Corporate>OWASP Foundation</b:Corporate>
      </b:Author>
    </b:Author>
    <b:Title>OWASP Secrets Management Cheat Sheet</b:Title>
    <b:YearAccessed>2026</b:YearAccessed>
    <b:MonthAccessed>09</b:MonthAccessed>
    <b:DayAccessed>09</b:DayAccessed>
    <b:URL>https://cheatsheetseries.owasp.org/</b:URL>
    <b:RefOrder>2</b:RefOrder>
  </b:Source>
</b:Sources>
</file>

<file path=customXml/itemProps1.xml><?xml version="1.0" encoding="utf-8"?>
<ds:datastoreItem xmlns:ds="http://schemas.openxmlformats.org/officeDocument/2006/customXml" ds:itemID="{28E27FBD-84F6-4A88-974F-596FA46DD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Masilo Pudikabekwa</dc:creator>
  <cp:keywords/>
  <dc:description/>
  <cp:lastModifiedBy>Masilo Pudikabekwa</cp:lastModifiedBy>
  <cp:revision>4</cp:revision>
  <dcterms:created xsi:type="dcterms:W3CDTF">2026-09-09T05:09:00Z</dcterms:created>
  <dcterms:modified xsi:type="dcterms:W3CDTF">2026-09-09T20:42:00Z</dcterms:modified>
</cp:coreProperties>
</file>