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46F" w:rsidRPr="00B8585E" w:rsidRDefault="00BB6305">
      <w:pPr>
        <w:pStyle w:val="Heading1"/>
      </w:pPr>
      <w:r>
        <w:t>ADRs / decision records for PED v2.0</w:t>
      </w:r>
    </w:p>
    <w:p w:rsidR="008B146F" w:rsidRPr="00B8585E" w:rsidRDefault="00BB6305">
      <w:pPr>
        <w:pStyle w:val="BodyText"/>
        <w:rPr>
          <w:rFonts w:asciiTheme="majorHAnsi" w:hAnsiTheme="majorHAnsi"/>
        </w:rPr>
      </w:pPr>
      <w:r w:rsidRPr="00B8585E">
        <w:rPr>
          <w:rFonts w:asciiTheme="majorHAnsi" w:hAnsiTheme="majorHAnsi"/>
        </w:rPr>
        <w:t xml:space="preserve">The following records are written in the same spirit as the M1 decision log: context, alternatives, decision, rationale, trade-offs and </w:t>
      </w:r>
      <w:r w:rsidRPr="00B8585E">
        <w:rPr>
          <w:rFonts w:asciiTheme="majorHAnsi" w:hAnsiTheme="majorHAnsi"/>
        </w:rPr>
        <w:t>consequences. Person 3 can assign the final project ADR IDs when merging them into the shared log.</w:t>
      </w:r>
    </w:p>
    <w:p w:rsidR="008B146F" w:rsidRPr="00B8585E" w:rsidRDefault="00BB6305">
      <w:pPr>
        <w:pStyle w:val="Heading2"/>
      </w:pPr>
      <w:bookmarkStart w:id="40" w:name="_Toc241683629"/>
      <w:r w:rsidRPr="00B8585E">
        <w:t>ADR-ARCH-01 - Use SPA + modular monolith API</w:t>
      </w:r>
      <w:bookmarkEnd w:id="4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8B146F" w:rsidRPr="00B8585E">
        <w:trPr>
          <w:tblHeader/>
          <w:jc w:val="center"/>
        </w:trPr>
        <w:tc>
          <w:tcPr>
            <w:tcW w:w="1814" w:type="dxa"/>
            <w:shd w:val="clear" w:color="auto" w:fill="2B6F7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6"/>
              </w:rPr>
              <w:t>Field</w:t>
            </w:r>
          </w:p>
        </w:tc>
        <w:tc>
          <w:tcPr>
            <w:tcW w:w="7484" w:type="dxa"/>
            <w:shd w:val="clear" w:color="auto" w:fill="2B6F7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6"/>
              </w:rPr>
              <w:t>Detail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Status</w:t>
            </w:r>
          </w:p>
        </w:tc>
        <w:tc>
          <w:tcPr>
            <w:tcW w:w="74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Proposed / ready for team approval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Context</w:t>
            </w:r>
          </w:p>
        </w:tc>
        <w:tc>
          <w:tcPr>
            <w:tcW w:w="748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 xml:space="preserve">CivicConnect must support one core </w:t>
            </w:r>
            <w:r w:rsidRPr="00B8585E">
              <w:rPr>
                <w:rFonts w:asciiTheme="majorHAnsi" w:hAnsiTheme="majorHAnsi"/>
                <w:sz w:val="16"/>
              </w:rPr>
              <w:t>browser-based reporting/management workflow, three user roles, measurable performance/availability, and a three-person development team. Native mobile, external municipal integration and AI classification are outside the M1 baseline.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Alternatives</w:t>
            </w:r>
          </w:p>
        </w:tc>
        <w:tc>
          <w:tcPr>
            <w:tcW w:w="74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Single s</w:t>
            </w:r>
            <w:r w:rsidRPr="00B8585E">
              <w:rPr>
                <w:rFonts w:asciiTheme="majorHAnsi" w:hAnsiTheme="majorHAnsi"/>
                <w:sz w:val="16"/>
              </w:rPr>
              <w:t>erver-rendered monolith; SPA + modular monolith API; SPA + microservices.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Decision</w:t>
            </w:r>
          </w:p>
        </w:tc>
        <w:tc>
          <w:tcPr>
            <w:tcW w:w="748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Select a React SPA plus one modular Node/Express API and one PostgreSQL database.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Rationale</w:t>
            </w:r>
          </w:p>
        </w:tc>
        <w:tc>
          <w:tcPr>
            <w:tcW w:w="74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The selected option gives clear module boundaries and a testable HTTP interface</w:t>
            </w:r>
            <w:r w:rsidRPr="00B8585E">
              <w:rPr>
                <w:rFonts w:asciiTheme="majorHAnsi" w:hAnsiTheme="majorHAnsi"/>
                <w:sz w:val="16"/>
              </w:rPr>
              <w:t xml:space="preserve"> without the operational cost and extra failure modes of microservices. It fits the pilot scale and team capability while leaving room to extract a module later if measured scale or integration needs justify it.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Trade-offs</w:t>
            </w:r>
          </w:p>
        </w:tc>
        <w:tc>
          <w:tcPr>
            <w:tcW w:w="748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Two build targets and an API con</w:t>
            </w:r>
            <w:r w:rsidRPr="00B8585E">
              <w:rPr>
                <w:rFonts w:asciiTheme="majorHAnsi" w:hAnsiTheme="majorHAnsi"/>
                <w:sz w:val="16"/>
              </w:rPr>
              <w:t>tract must be maintained. The backend and database remain shared runtime dependencies.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lastRenderedPageBreak/>
              <w:t>Consequences / follow-on</w:t>
            </w:r>
          </w:p>
        </w:tc>
        <w:tc>
          <w:tcPr>
            <w:tcW w:w="74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Repository structure must reflect module boundaries. New service extraction requires a later ADR and evidence. Diagrams/RTM use these boundarie</w:t>
            </w:r>
            <w:r w:rsidRPr="00B8585E">
              <w:rPr>
                <w:rFonts w:asciiTheme="majorHAnsi" w:hAnsiTheme="majorHAnsi"/>
                <w:sz w:val="16"/>
              </w:rPr>
              <w:t>s.</w:t>
            </w:r>
          </w:p>
        </w:tc>
      </w:tr>
    </w:tbl>
    <w:p w:rsidR="008B146F" w:rsidRPr="00B8585E" w:rsidRDefault="00BB6305">
      <w:pPr>
        <w:pStyle w:val="Heading2"/>
      </w:pPr>
      <w:bookmarkStart w:id="41" w:name="_Toc241683630"/>
      <w:r w:rsidRPr="00B8585E">
        <w:t>ADR-TECH-01 - Select React/TypeScript + Node/Express + PostgreSQL</w:t>
      </w:r>
      <w:bookmarkEnd w:id="4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8B146F" w:rsidRPr="00B8585E">
        <w:trPr>
          <w:tblHeader/>
          <w:jc w:val="center"/>
        </w:trPr>
        <w:tc>
          <w:tcPr>
            <w:tcW w:w="1814" w:type="dxa"/>
            <w:shd w:val="clear" w:color="auto" w:fill="2B6F7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6"/>
              </w:rPr>
              <w:t>Field</w:t>
            </w:r>
          </w:p>
        </w:tc>
        <w:tc>
          <w:tcPr>
            <w:tcW w:w="7484" w:type="dxa"/>
            <w:shd w:val="clear" w:color="auto" w:fill="2B6F7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6"/>
              </w:rPr>
              <w:t>Detail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Status</w:t>
            </w:r>
          </w:p>
        </w:tc>
        <w:tc>
          <w:tcPr>
            <w:tcW w:w="74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Proposed / closes M1 ED-002 after approval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Context</w:t>
            </w:r>
          </w:p>
        </w:tc>
        <w:tc>
          <w:tcPr>
            <w:tcW w:w="748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 xml:space="preserve">M1 deferred technology choice and recorded a high learning risk for a full ASP.NET Core/PostgreSQL alternative. </w:t>
            </w:r>
            <w:r w:rsidRPr="00B8585E">
              <w:rPr>
                <w:rFonts w:asciiTheme="majorHAnsi" w:hAnsiTheme="majorHAnsi"/>
                <w:sz w:val="16"/>
              </w:rPr>
              <w:t>The team already has Node/Express/MongoDB experience, but M2 now needs an integrity-focused persistence baseline.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Alternatives</w:t>
            </w:r>
          </w:p>
        </w:tc>
        <w:tc>
          <w:tcPr>
            <w:tcW w:w="74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React + Node/Express + MongoDB; React + ASP.NET Core + PostgreSQL; React + Node/Express + PostgreSQL.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Decision</w:t>
            </w:r>
          </w:p>
        </w:tc>
        <w:tc>
          <w:tcPr>
            <w:tcW w:w="748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Use React 19.x +</w:t>
            </w:r>
            <w:r w:rsidRPr="00B8585E">
              <w:rPr>
                <w:rFonts w:asciiTheme="majorHAnsi" w:hAnsiTheme="majorHAnsi"/>
                <w:sz w:val="16"/>
              </w:rPr>
              <w:t xml:space="preserve"> TypeScript 6.0, Node 24 LTS + Express 5.x, PostgreSQL 18.x and Prisma ORM 7.x.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Rationale</w:t>
            </w:r>
          </w:p>
        </w:tc>
        <w:tc>
          <w:tcPr>
            <w:tcW w:w="74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The hybrid keeps the familiar backend runtime/framework, reducing schedule risk, while PostgreSQL supplies relational constraints/transactions that fit users, roles,</w:t>
            </w:r>
            <w:r w:rsidRPr="00B8585E">
              <w:rPr>
                <w:rFonts w:asciiTheme="majorHAnsi" w:hAnsiTheme="majorHAnsi"/>
                <w:sz w:val="16"/>
              </w:rPr>
              <w:t xml:space="preserve"> reports and workflow state. All major components are mainstream, open-source and deployable on common managed platforms.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Trade-offs</w:t>
            </w:r>
          </w:p>
        </w:tc>
        <w:tc>
          <w:tcPr>
            <w:tcW w:w="748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The team must learn PostgreSQL/Prisma conventions and cannot rely on MongoDB patterns. Exact dependency versions require l</w:t>
            </w:r>
            <w:r w:rsidRPr="00B8585E">
              <w:rPr>
                <w:rFonts w:asciiTheme="majorHAnsi" w:hAnsiTheme="majorHAnsi"/>
                <w:sz w:val="16"/>
              </w:rPr>
              <w:t>ockfile maintenance and security updates.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Consequences / follow-on</w:t>
            </w:r>
          </w:p>
        </w:tc>
        <w:tc>
          <w:tcPr>
            <w:tcW w:w="74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README, package files, migrations and deployment configuration must use this stack. Any major stack replacement after baseline requires controlled change.</w:t>
            </w:r>
          </w:p>
        </w:tc>
      </w:tr>
    </w:tbl>
    <w:p w:rsidR="008B146F" w:rsidRPr="00B8585E" w:rsidRDefault="00BB6305">
      <w:pPr>
        <w:pStyle w:val="Heading2"/>
      </w:pPr>
      <w:bookmarkStart w:id="42" w:name="_Toc241683631"/>
      <w:r w:rsidRPr="00B8585E">
        <w:t>ADR-DEPLOY-01 - Provider-neutral</w:t>
      </w:r>
      <w:r w:rsidRPr="00B8585E">
        <w:t xml:space="preserve"> PaaS deployment direction</w:t>
      </w:r>
      <w:bookmarkEnd w:id="4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8B146F" w:rsidRPr="00B8585E">
        <w:trPr>
          <w:tblHeader/>
          <w:jc w:val="center"/>
        </w:trPr>
        <w:tc>
          <w:tcPr>
            <w:tcW w:w="1814" w:type="dxa"/>
            <w:shd w:val="clear" w:color="auto" w:fill="2B6F7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6"/>
              </w:rPr>
              <w:t>Field</w:t>
            </w:r>
          </w:p>
        </w:tc>
        <w:tc>
          <w:tcPr>
            <w:tcW w:w="7484" w:type="dxa"/>
            <w:shd w:val="clear" w:color="auto" w:fill="2B6F7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6"/>
              </w:rPr>
              <w:t>Detail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Status</w:t>
            </w:r>
          </w:p>
        </w:tc>
        <w:tc>
          <w:tcPr>
            <w:tcW w:w="74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Proposed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Context</w:t>
            </w:r>
          </w:p>
        </w:tc>
        <w:tc>
          <w:tcPr>
            <w:tcW w:w="748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M1 raised late-hosting and operational-cost risks, while M2 requires deployment compatibility but not production deployment.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Alternatives</w:t>
            </w:r>
          </w:p>
        </w:tc>
        <w:tc>
          <w:tcPr>
            <w:tcW w:w="74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 xml:space="preserve">Vendor-specific architecture now; self-managed VM; </w:t>
            </w:r>
            <w:r w:rsidRPr="00B8585E">
              <w:rPr>
                <w:rFonts w:asciiTheme="majorHAnsi" w:hAnsiTheme="majorHAnsi"/>
                <w:sz w:val="16"/>
              </w:rPr>
              <w:t>provider-neutral managed web service + managed PostgreSQL.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Decision</w:t>
            </w:r>
          </w:p>
        </w:tc>
        <w:tc>
          <w:tcPr>
            <w:tcW w:w="748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 xml:space="preserve">Use a provider-neutral deployment model: static frontend host, managed Node web service and managed PostgreSQL. Select the exact vendor/plan later using current cost and availability </w:t>
            </w:r>
            <w:r w:rsidRPr="00B8585E">
              <w:rPr>
                <w:rFonts w:asciiTheme="majorHAnsi" w:hAnsiTheme="majorHAnsi"/>
                <w:sz w:val="16"/>
              </w:rPr>
              <w:t>evidence.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Rationale</w:t>
            </w:r>
          </w:p>
        </w:tc>
        <w:tc>
          <w:tcPr>
            <w:tcW w:w="74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This demonstrates deployability without hard-wiring business code to one cloud provider. It supports the cost constraint and keeps the deployment decision reversible.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Trade-offs</w:t>
            </w:r>
          </w:p>
        </w:tc>
        <w:tc>
          <w:tcPr>
            <w:tcW w:w="748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Some provider-specific configuration will still exist at</w:t>
            </w:r>
            <w:r w:rsidRPr="00B8585E">
              <w:rPr>
                <w:rFonts w:asciiTheme="majorHAnsi" w:hAnsiTheme="majorHAnsi"/>
                <w:sz w:val="16"/>
              </w:rPr>
              <w:t xml:space="preserve"> deployment time. Free-tier limits and backup/availability guarantees must be checked when the team actually chooses the service.</w:t>
            </w:r>
          </w:p>
        </w:tc>
      </w:tr>
      <w:tr w:rsidR="008B146F" w:rsidRPr="00B8585E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Consequences / follow-on</w:t>
            </w:r>
          </w:p>
        </w:tc>
        <w:tc>
          <w:tcPr>
            <w:tcW w:w="74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Use environment-based configuration, no secrets in repository, and record vendor selection as a late</w:t>
            </w:r>
            <w:r w:rsidRPr="00B8585E">
              <w:rPr>
                <w:rFonts w:asciiTheme="majorHAnsi" w:hAnsiTheme="majorHAnsi"/>
                <w:sz w:val="16"/>
              </w:rPr>
              <w:t>r decision if it materially affects cost/availability.</w:t>
            </w:r>
          </w:p>
        </w:tc>
      </w:tr>
    </w:tbl>
    <w:sectPr w:rsidR="008B146F" w:rsidRPr="00B8585E" w:rsidSect="00034616">
      <w:headerReference w:type="default" r:id="rId11"/>
      <w:footerReference w:type="default" r:id="rId12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6305" w:rsidRDefault="00BB63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B6305" w:rsidRDefault="00BB63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46F" w:rsidRDefault="00BB6305">
    <w:pPr>
      <w:pStyle w:val="Footer"/>
      <w:jc w:val="right"/>
      <w:rPr>
        <w:rFonts w:hint="eastAsia"/>
      </w:rPr>
    </w:pPr>
    <w:r>
      <w:rPr>
        <w:color w:val="5B6770"/>
        <w:sz w:val="16"/>
      </w:rPr>
      <w:t xml:space="preserve">| </w:t>
    </w:r>
    <w:r>
      <w:t xml:space="preserve">Page </w:t>
    </w:r>
    <w:r>
      <w:fldChar w:fldCharType="begin"/>
    </w:r>
    <w:r>
      <w:instrText xml:space="preserve"> PAGE </w:instrText>
    </w:r>
    <w:r w:rsidR="00B8585E">
      <w:rPr>
        <w:rFonts w:hint="eastAsia"/>
      </w:rPr>
      <w:fldChar w:fldCharType="separate"/>
    </w:r>
    <w:r w:rsidR="00B8585E">
      <w:rPr>
        <w:rFonts w:hint="eastAsia"/>
        <w:noProof/>
      </w:rPr>
      <w:t>24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6305" w:rsidRDefault="00BB63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B6305" w:rsidRDefault="00BB63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46F" w:rsidRDefault="008B146F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DF4BA0"/>
    <w:multiLevelType w:val="hybridMultilevel"/>
    <w:tmpl w:val="19788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146F"/>
    <w:rsid w:val="00AA1D8D"/>
    <w:rsid w:val="00B47730"/>
    <w:rsid w:val="00B8585E"/>
    <w:rsid w:val="00BB63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7AB08"/>
  <w14:defaultImageDpi w14:val="300"/>
  <w15:docId w15:val="{907BF032-23F0-4320-82A9-926B0132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24313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73A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B6F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73A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858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585E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B858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F5D7E2-2E18-48C9-ABDA-577E328CA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9621</Words>
  <Characters>54842</Characters>
  <Application>Microsoft Office Word</Application>
  <DocSecurity>0</DocSecurity>
  <Lines>457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CivicConnect M2 - Person 1 Architecture &amp; Technology Lead</vt:lpstr>
    </vt:vector>
  </TitlesOfParts>
  <Manager/>
  <Company/>
  <LinksUpToDate>false</LinksUpToDate>
  <CharactersWithSpaces>64335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CivicConnect M2 - Person 1 Architecture &amp; Technology Lead</dc:title>
  <dc:subject>SEN381 CivicConnect Milestone 2 contribution for PED v2.0</dc:subject>
  <dc:creator>CivicConnect Team - Person 1 contribution</dc:creator>
  <cp:keywords>SEN381, CivicConnect, Milestone 2, architecture, technology, ASR, ADR, README</cp:keywords>
  <dc:description>generated by python-docx</dc:description>
  <cp:lastModifiedBy>Phenyo Phooko</cp:lastModifiedBy>
  <cp:revision>2</cp:revision>
  <dcterms:created xsi:type="dcterms:W3CDTF">2026-09-30T16:12:00Z</dcterms:created>
  <dcterms:modified xsi:type="dcterms:W3CDTF">2026-09-30T16:12:00Z</dcterms:modified>
  <cp:category/>
</cp:coreProperties>
</file>