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46F" w:rsidRPr="00B8585E" w:rsidRDefault="00BB6305">
      <w:pPr>
        <w:pStyle w:val="Heading1"/>
      </w:pPr>
      <w:r>
        <w:t>Technology-stack selection and justification</w:t>
      </w:r>
    </w:p>
    <w:p w:rsidR="008B146F" w:rsidRPr="00B8585E" w:rsidRDefault="00BB6305">
      <w:pPr>
        <w:pStyle w:val="BodyText"/>
        <w:rPr>
          <w:rFonts w:asciiTheme="majorHAnsi" w:hAnsiTheme="majorHAnsi"/>
        </w:rPr>
      </w:pPr>
      <w:r w:rsidRPr="00B8585E">
        <w:rPr>
          <w:rFonts w:asciiTheme="majorHAnsi" w:hAnsiTheme="majorHAnsi"/>
        </w:rPr>
        <w:t>M1 left ED-002 open. The stack is now selected against the baselined requirements and k</w:t>
      </w:r>
      <w:r w:rsidRPr="00B8585E">
        <w:rPr>
          <w:rFonts w:asciiTheme="majorHAnsi" w:hAnsiTheme="majorHAnsi"/>
        </w:rPr>
        <w:t>nown project risks. The decision below deliberately combines the team’s Node/Express experience with PostgreSQL rather than repeating the previous MongoDB stack or moving the whole backend to .NET. M2 allows the final project decision to differ from earlie</w:t>
      </w:r>
      <w:r w:rsidRPr="00B8585E">
        <w:rPr>
          <w:rFonts w:asciiTheme="majorHAnsi" w:hAnsiTheme="majorHAnsi"/>
        </w:rPr>
        <w:t>r research when the project-specific reason is defensible.</w:t>
      </w:r>
    </w:p>
    <w:p w:rsidR="008B146F" w:rsidRPr="00B8585E" w:rsidRDefault="00BB6305">
      <w:pPr>
        <w:pStyle w:val="Heading2"/>
      </w:pPr>
      <w:r>
        <w:t>Options considered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757"/>
        <w:gridCol w:w="1984"/>
        <w:gridCol w:w="1871"/>
        <w:gridCol w:w="2381"/>
      </w:tblGrid>
      <w:tr w:rsidR="008B146F" w:rsidRPr="00B8585E">
        <w:trPr>
          <w:tblHeader/>
          <w:jc w:val="center"/>
        </w:trPr>
        <w:tc>
          <w:tcPr>
            <w:tcW w:w="1474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>Stack</w:t>
            </w:r>
          </w:p>
        </w:tc>
        <w:tc>
          <w:tcPr>
            <w:tcW w:w="1757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>Frontend</w:t>
            </w:r>
          </w:p>
        </w:tc>
        <w:tc>
          <w:tcPr>
            <w:tcW w:w="1984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>Backend</w:t>
            </w:r>
          </w:p>
        </w:tc>
        <w:tc>
          <w:tcPr>
            <w:tcW w:w="1871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>Persistence</w:t>
            </w:r>
          </w:p>
        </w:tc>
        <w:tc>
          <w:tcPr>
            <w:tcW w:w="2381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>Fit summary</w:t>
            </w:r>
          </w:p>
        </w:tc>
      </w:tr>
      <w:tr w:rsidR="008B146F" w:rsidRPr="00B8585E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Stack A - familiar JS stack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React + TypeScript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Node.js + Express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MongoDB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Lowest learning risk and strong team familiarity, but</w:t>
            </w:r>
            <w:r w:rsidRPr="00B8585E">
              <w:rPr>
                <w:rFonts w:asciiTheme="majorHAnsi" w:hAnsiTheme="majorHAnsi"/>
                <w:sz w:val="16"/>
              </w:rPr>
              <w:t xml:space="preserve"> a document database provides less natural support for the strongly structured role/report/status relationships and DB-level relational constraints used in this baseline.</w:t>
            </w:r>
          </w:p>
        </w:tc>
      </w:tr>
      <w:tr w:rsidR="008B146F" w:rsidRPr="00B8585E">
        <w:trPr>
          <w:jc w:val="center"/>
        </w:trPr>
        <w:tc>
          <w:tcPr>
            <w:tcW w:w="147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Stack B - researched alternative</w:t>
            </w:r>
          </w:p>
        </w:tc>
        <w:tc>
          <w:tcPr>
            <w:tcW w:w="175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React + TypeScript</w:t>
            </w:r>
          </w:p>
        </w:tc>
        <w:tc>
          <w:tcPr>
            <w:tcW w:w="198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ASP.NET Core (.NET 10 LTS)</w:t>
            </w:r>
          </w:p>
        </w:tc>
        <w:tc>
          <w:tcPr>
            <w:tcW w:w="187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Postg</w:t>
            </w:r>
            <w:r w:rsidRPr="00B8585E">
              <w:rPr>
                <w:rFonts w:asciiTheme="majorHAnsi" w:hAnsiTheme="majorHAnsi"/>
                <w:sz w:val="16"/>
              </w:rPr>
              <w:t>reSQL</w:t>
            </w:r>
          </w:p>
        </w:tc>
        <w:tc>
          <w:tcPr>
            <w:tcW w:w="238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Strong typed backend and relational persistence, but M1 records that the team has not yet used this stack in a real build. The learning cost affects a short M2/M3 schedule.</w:t>
            </w:r>
          </w:p>
        </w:tc>
      </w:tr>
      <w:tr w:rsidR="008B146F" w:rsidRPr="00B8585E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Stack C - hybrid (selected)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React + TypeScript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Node.js 24 LTS + Express 5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PostgreSQL 18.x + Prisma ORM 7.x</w:t>
            </w:r>
          </w:p>
        </w:tc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Preserves the team’s strongest runtime/framework familiarity while adding relational constraints, transactions and a clear migration/schema workflow.</w:t>
            </w:r>
          </w:p>
        </w:tc>
      </w:tr>
    </w:tbl>
    <w:p w:rsidR="008B146F" w:rsidRPr="00B8585E" w:rsidRDefault="00BB6305">
      <w:pPr>
        <w:pStyle w:val="Heading2"/>
      </w:pPr>
      <w:r>
        <w:t>Weighted technology decision matrix</w:t>
      </w:r>
    </w:p>
    <w:p w:rsidR="008B146F" w:rsidRPr="00B8585E" w:rsidRDefault="00BB6305">
      <w:pPr>
        <w:pStyle w:val="BodyText"/>
        <w:rPr>
          <w:rFonts w:asciiTheme="majorHAnsi" w:hAnsiTheme="majorHAnsi"/>
        </w:rPr>
      </w:pPr>
      <w:r w:rsidRPr="00B8585E">
        <w:rPr>
          <w:rFonts w:asciiTheme="majorHAnsi" w:hAnsiTheme="majorHAnsi"/>
        </w:rPr>
        <w:t>The scoring scale is 1 (poor fit</w:t>
      </w:r>
      <w:r w:rsidRPr="00B8585E">
        <w:rPr>
          <w:rFonts w:asciiTheme="majorHAnsi" w:hAnsiTheme="majorHAnsi"/>
        </w:rPr>
        <w:t>) to 5 (strong fit). Weights reflect the current project: requirements/ASR fit and team capability matter more than novelty because M2 requires meaningful, defensible development in a fixed academic schedule.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850"/>
        <w:gridCol w:w="1871"/>
        <w:gridCol w:w="1871"/>
        <w:gridCol w:w="1871"/>
      </w:tblGrid>
      <w:tr w:rsidR="008B146F" w:rsidRPr="00B8585E">
        <w:trPr>
          <w:tblHeader/>
          <w:jc w:val="center"/>
        </w:trPr>
        <w:tc>
          <w:tcPr>
            <w:tcW w:w="2891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5"/>
              </w:rPr>
              <w:t>Criterion</w:t>
            </w:r>
          </w:p>
        </w:tc>
        <w:tc>
          <w:tcPr>
            <w:tcW w:w="850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5"/>
              </w:rPr>
              <w:t>Weight</w:t>
            </w:r>
          </w:p>
        </w:tc>
        <w:tc>
          <w:tcPr>
            <w:tcW w:w="1871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5"/>
              </w:rPr>
              <w:t>A: Node/Express + MongoDB</w:t>
            </w:r>
          </w:p>
        </w:tc>
        <w:tc>
          <w:tcPr>
            <w:tcW w:w="1871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5"/>
              </w:rPr>
              <w:t xml:space="preserve">B: </w:t>
            </w:r>
            <w:r w:rsidRPr="00B8585E">
              <w:rPr>
                <w:rFonts w:asciiTheme="majorHAnsi" w:hAnsiTheme="majorHAnsi"/>
                <w:b/>
                <w:color w:val="FFFFFF"/>
                <w:sz w:val="15"/>
              </w:rPr>
              <w:t>ASP.NET + PostgreSQL</w:t>
            </w:r>
          </w:p>
        </w:tc>
        <w:tc>
          <w:tcPr>
            <w:tcW w:w="1871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5"/>
              </w:rPr>
              <w:t>C: Node/Express + PostgreSQL</w:t>
            </w:r>
          </w:p>
        </w:tc>
      </w:tr>
      <w:tr w:rsidR="008B146F" w:rsidRPr="00B8585E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Team familiarity / delivery risk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25%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2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4</w:t>
            </w:r>
          </w:p>
        </w:tc>
      </w:tr>
      <w:tr w:rsidR="008B146F" w:rsidRPr="00B8585E">
        <w:trPr>
          <w:jc w:val="center"/>
        </w:trPr>
        <w:tc>
          <w:tcPr>
            <w:tcW w:w="289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Fit to FRs, NFRs and ASRs</w:t>
            </w:r>
          </w:p>
        </w:tc>
        <w:tc>
          <w:tcPr>
            <w:tcW w:w="850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25%</w:t>
            </w:r>
          </w:p>
        </w:tc>
        <w:tc>
          <w:tcPr>
            <w:tcW w:w="187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4</w:t>
            </w:r>
          </w:p>
        </w:tc>
        <w:tc>
          <w:tcPr>
            <w:tcW w:w="187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  <w:tc>
          <w:tcPr>
            <w:tcW w:w="187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</w:tr>
      <w:tr w:rsidR="008B146F" w:rsidRPr="00B8585E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Data integrity / consistency support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15%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3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</w:tr>
      <w:tr w:rsidR="008B146F" w:rsidRPr="00B8585E">
        <w:trPr>
          <w:jc w:val="center"/>
        </w:trPr>
        <w:tc>
          <w:tcPr>
            <w:tcW w:w="289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Schedule / learning overhead</w:t>
            </w:r>
          </w:p>
        </w:tc>
        <w:tc>
          <w:tcPr>
            <w:tcW w:w="850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15%</w:t>
            </w:r>
          </w:p>
        </w:tc>
        <w:tc>
          <w:tcPr>
            <w:tcW w:w="187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  <w:tc>
          <w:tcPr>
            <w:tcW w:w="187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2</w:t>
            </w:r>
          </w:p>
        </w:tc>
        <w:tc>
          <w:tcPr>
            <w:tcW w:w="187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4</w:t>
            </w:r>
          </w:p>
        </w:tc>
      </w:tr>
      <w:tr w:rsidR="008B146F" w:rsidRPr="00B8585E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Deployment portability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10%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</w:tr>
      <w:tr w:rsidR="008B146F" w:rsidRPr="00B8585E">
        <w:trPr>
          <w:jc w:val="center"/>
        </w:trPr>
        <w:tc>
          <w:tcPr>
            <w:tcW w:w="289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Cost / licensing</w:t>
            </w:r>
          </w:p>
        </w:tc>
        <w:tc>
          <w:tcPr>
            <w:tcW w:w="850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5%</w:t>
            </w:r>
          </w:p>
        </w:tc>
        <w:tc>
          <w:tcPr>
            <w:tcW w:w="187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  <w:tc>
          <w:tcPr>
            <w:tcW w:w="187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  <w:tc>
          <w:tcPr>
            <w:tcW w:w="187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</w:tr>
      <w:tr w:rsidR="008B146F" w:rsidRPr="00B8585E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Maintainability / ecosystem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5%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5</w:t>
            </w:r>
          </w:p>
        </w:tc>
      </w:tr>
      <w:tr w:rsidR="008B146F" w:rsidRPr="00B8585E">
        <w:trPr>
          <w:jc w:val="center"/>
        </w:trPr>
        <w:tc>
          <w:tcPr>
            <w:tcW w:w="289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lastRenderedPageBreak/>
              <w:t>Weighted total</w:t>
            </w:r>
          </w:p>
        </w:tc>
        <w:tc>
          <w:tcPr>
            <w:tcW w:w="850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100%</w:t>
            </w:r>
          </w:p>
        </w:tc>
        <w:tc>
          <w:tcPr>
            <w:tcW w:w="187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4.45 / 5</w:t>
            </w:r>
          </w:p>
        </w:tc>
        <w:tc>
          <w:tcPr>
            <w:tcW w:w="187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3.80 / 5</w:t>
            </w:r>
          </w:p>
        </w:tc>
        <w:tc>
          <w:tcPr>
            <w:tcW w:w="1871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5"/>
              </w:rPr>
              <w:t>4.60 / 5</w:t>
            </w:r>
          </w:p>
        </w:tc>
      </w:tr>
    </w:tbl>
    <w:p w:rsidR="00B8585E" w:rsidRPr="00B8585E" w:rsidRDefault="00B8585E">
      <w:pPr>
        <w:spacing w:after="0"/>
        <w:rPr>
          <w:rFonts w:asciiTheme="majorHAnsi" w:hAnsiTheme="majorHAnsi"/>
          <w:b/>
          <w:color w:val="173A5E"/>
        </w:rPr>
      </w:pPr>
    </w:p>
    <w:p w:rsidR="008B146F" w:rsidRPr="00B8585E" w:rsidRDefault="00B8585E">
      <w:pPr>
        <w:spacing w:after="0"/>
        <w:rPr>
          <w:rFonts w:asciiTheme="majorHAnsi" w:hAnsiTheme="majorHAnsi"/>
        </w:rPr>
      </w:pPr>
      <w:r w:rsidRPr="00B8585E">
        <w:rPr>
          <w:rFonts w:asciiTheme="majorHAnsi" w:hAnsiTheme="majorHAnsi"/>
          <w:b/>
          <w:color w:val="173A5E"/>
        </w:rPr>
        <w:t xml:space="preserve">Decision: </w:t>
      </w:r>
      <w:r w:rsidRPr="00B8585E">
        <w:rPr>
          <w:rFonts w:asciiTheme="majorHAnsi" w:hAnsiTheme="majorHAnsi"/>
        </w:rPr>
        <w:t>Select Stack C: React + TypeScript on the frontend, Node.js 24 LTS + Express 5 on the backend, and PostgreSQL 18.x accessed through Prisma ORM 7.x. This reduces the R-003 learning risk while improving relational integrity and transaction support for report/status/account data.</w:t>
      </w:r>
    </w:p>
    <w:p w:rsidR="008B146F" w:rsidRPr="00B8585E" w:rsidRDefault="00BB6305">
      <w:pPr>
        <w:pStyle w:val="Heading2"/>
      </w:pPr>
      <w:r>
        <w:t>Selected technologies and versions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757"/>
        <w:gridCol w:w="1984"/>
        <w:gridCol w:w="3969"/>
      </w:tblGrid>
      <w:tr w:rsidR="008B146F" w:rsidRPr="00B8585E">
        <w:trPr>
          <w:tblHeader/>
          <w:jc w:val="center"/>
        </w:trPr>
        <w:tc>
          <w:tcPr>
            <w:tcW w:w="1587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>Area</w:t>
            </w:r>
          </w:p>
        </w:tc>
        <w:tc>
          <w:tcPr>
            <w:tcW w:w="1757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>Selected technology</w:t>
            </w:r>
          </w:p>
        </w:tc>
        <w:tc>
          <w:tcPr>
            <w:tcW w:w="1984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>Baseline version / rule</w:t>
            </w:r>
          </w:p>
        </w:tc>
        <w:tc>
          <w:tcPr>
            <w:tcW w:w="3969" w:type="dxa"/>
            <w:shd w:val="clear" w:color="auto" w:fill="173A5E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 xml:space="preserve">Why it fits </w:t>
            </w:r>
            <w:r w:rsidRPr="00B8585E">
              <w:rPr>
                <w:rFonts w:asciiTheme="majorHAnsi" w:hAnsiTheme="majorHAnsi"/>
                <w:b/>
                <w:color w:val="FFFFFF"/>
                <w:sz w:val="16"/>
              </w:rPr>
              <w:t>CivicConnect</w:t>
            </w:r>
          </w:p>
        </w:tc>
      </w:tr>
      <w:tr w:rsidR="008B146F" w:rsidRPr="00B8585E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Frontend UI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React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19.3 major line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Current React major; component model suits report forms, dashboards and role-specific views. MIT licensed.</w:t>
            </w:r>
          </w:p>
        </w:tc>
      </w:tr>
      <w:tr w:rsidR="008B146F" w:rsidRPr="00B8585E">
        <w:trPr>
          <w:jc w:val="center"/>
        </w:trPr>
        <w:tc>
          <w:tcPr>
            <w:tcW w:w="158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Frontend build</w:t>
            </w:r>
          </w:p>
        </w:tc>
        <w:tc>
          <w:tcPr>
            <w:tcW w:w="175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Vite</w:t>
            </w:r>
          </w:p>
        </w:tc>
        <w:tc>
          <w:tcPr>
            <w:tcW w:w="198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8.x supported line</w:t>
            </w:r>
          </w:p>
        </w:tc>
        <w:tc>
          <w:tcPr>
            <w:tcW w:w="3969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 xml:space="preserve">Fast development/build workflow and straightforward static </w:t>
            </w:r>
            <w:r w:rsidRPr="00B8585E">
              <w:rPr>
                <w:rFonts w:asciiTheme="majorHAnsi" w:hAnsiTheme="majorHAnsi"/>
                <w:sz w:val="16"/>
              </w:rPr>
              <w:t>deployment. Keep exact installed version in package-lock.json.</w:t>
            </w:r>
          </w:p>
        </w:tc>
      </w:tr>
      <w:tr w:rsidR="008B146F" w:rsidRPr="00B8585E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Language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TypeScript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6.0 major line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Shared language across frontend/backend; stricter types reduce interface drift between modules.</w:t>
            </w:r>
          </w:p>
        </w:tc>
      </w:tr>
      <w:tr w:rsidR="008B146F" w:rsidRPr="00B8585E">
        <w:trPr>
          <w:jc w:val="center"/>
        </w:trPr>
        <w:tc>
          <w:tcPr>
            <w:tcW w:w="158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Runtime</w:t>
            </w:r>
          </w:p>
        </w:tc>
        <w:tc>
          <w:tcPr>
            <w:tcW w:w="175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Node.js</w:t>
            </w:r>
          </w:p>
        </w:tc>
        <w:tc>
          <w:tcPr>
            <w:tcW w:w="198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24 LTS</w:t>
            </w:r>
          </w:p>
        </w:tc>
        <w:tc>
          <w:tcPr>
            <w:tcW w:w="3969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 xml:space="preserve">Node’s own release policy recommends </w:t>
            </w:r>
            <w:r w:rsidRPr="00B8585E">
              <w:rPr>
                <w:rFonts w:asciiTheme="majorHAnsi" w:hAnsiTheme="majorHAnsi"/>
                <w:sz w:val="16"/>
              </w:rPr>
              <w:t>LTS for production. The team already has Node experience, lowering schedule risk.</w:t>
            </w:r>
          </w:p>
        </w:tc>
      </w:tr>
      <w:tr w:rsidR="008B146F" w:rsidRPr="00B8585E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Backend framework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Express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5.2.x / Express 5 major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Small HTTP framework that keeps architecture decisions explicit. Express 5 supports Node &gt;=18 and the current package is on</w:t>
            </w:r>
            <w:r w:rsidRPr="00B8585E">
              <w:rPr>
                <w:rFonts w:asciiTheme="majorHAnsi" w:hAnsiTheme="majorHAnsi"/>
                <w:sz w:val="16"/>
              </w:rPr>
              <w:t xml:space="preserve"> the 5.x line.</w:t>
            </w:r>
          </w:p>
        </w:tc>
      </w:tr>
      <w:tr w:rsidR="008B146F" w:rsidRPr="00B8585E">
        <w:trPr>
          <w:jc w:val="center"/>
        </w:trPr>
        <w:tc>
          <w:tcPr>
            <w:tcW w:w="158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Database</w:t>
            </w:r>
          </w:p>
        </w:tc>
        <w:tc>
          <w:tcPr>
            <w:tcW w:w="175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PostgreSQL</w:t>
            </w:r>
          </w:p>
        </w:tc>
        <w:tc>
          <w:tcPr>
            <w:tcW w:w="198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18.x; current minor 18.6 at document date</w:t>
            </w:r>
          </w:p>
        </w:tc>
        <w:tc>
          <w:tcPr>
            <w:tcW w:w="3969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Supported PostgreSQL release. Relational constraints and transactions map well to users, roles, reports and status integrity.</w:t>
            </w:r>
          </w:p>
        </w:tc>
      </w:tr>
      <w:tr w:rsidR="008B146F" w:rsidRPr="00B8585E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ORM / migrations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Prisma ORM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7.x stable line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Provides a typed data client and schema/migration workflow; Prisma 7 supports Node 24 and PostgreSQL 18. Avoid the Prisma 8 RC for the assessed baseline until GA.</w:t>
            </w:r>
          </w:p>
        </w:tc>
      </w:tr>
      <w:tr w:rsidR="008B146F" w:rsidRPr="00B8585E">
        <w:trPr>
          <w:jc w:val="center"/>
        </w:trPr>
        <w:tc>
          <w:tcPr>
            <w:tcW w:w="158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Password hashing</w:t>
            </w:r>
          </w:p>
        </w:tc>
        <w:tc>
          <w:tcPr>
            <w:tcW w:w="175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Argon2id</w:t>
            </w:r>
          </w:p>
        </w:tc>
        <w:tc>
          <w:tcPr>
            <w:tcW w:w="198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Algorithm/config per OWASP guidance</w:t>
            </w:r>
          </w:p>
        </w:tc>
        <w:tc>
          <w:tcPr>
            <w:tcW w:w="3969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NFR-03 requires salted passwor</w:t>
            </w:r>
            <w:r w:rsidRPr="00B8585E">
              <w:rPr>
                <w:rFonts w:asciiTheme="majorHAnsi" w:hAnsiTheme="majorHAnsi"/>
                <w:sz w:val="16"/>
              </w:rPr>
              <w:t>d hashing. OWASP recommends Argon2id for new applications.</w:t>
            </w:r>
          </w:p>
        </w:tc>
      </w:tr>
      <w:tr w:rsidR="008B146F" w:rsidRPr="00B8585E">
        <w:trPr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Testing direction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Vitest / Supertest + React testing utilities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Pin exact versions in lockfile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 xml:space="preserve">Supports automated unit/API checks without adding another runtime language. Exact test stack may be </w:t>
            </w:r>
            <w:r w:rsidRPr="00B8585E">
              <w:rPr>
                <w:rFonts w:asciiTheme="majorHAnsi" w:hAnsiTheme="majorHAnsi"/>
                <w:sz w:val="16"/>
              </w:rPr>
              <w:t>adjusted by the team as long as repeatable commands remain documented.</w:t>
            </w:r>
          </w:p>
        </w:tc>
      </w:tr>
      <w:tr w:rsidR="008B146F" w:rsidRPr="00B8585E">
        <w:trPr>
          <w:jc w:val="center"/>
        </w:trPr>
        <w:tc>
          <w:tcPr>
            <w:tcW w:w="158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Deployment direction</w:t>
            </w:r>
          </w:p>
        </w:tc>
        <w:tc>
          <w:tcPr>
            <w:tcW w:w="1757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Provider-neutral managed web service + managed PostgreSQL</w:t>
            </w:r>
          </w:p>
        </w:tc>
        <w:tc>
          <w:tcPr>
            <w:tcW w:w="1984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PaaS-compatible Node service; static frontend host</w:t>
            </w:r>
          </w:p>
        </w:tc>
        <w:tc>
          <w:tcPr>
            <w:tcW w:w="3969" w:type="dxa"/>
            <w:shd w:val="clear" w:color="auto" w:fill="F8FAFB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B146F" w:rsidRPr="00B8585E" w:rsidRDefault="00BB6305">
            <w:pPr>
              <w:rPr>
                <w:rFonts w:asciiTheme="majorHAnsi" w:hAnsiTheme="majorHAnsi"/>
              </w:rPr>
            </w:pPr>
            <w:r w:rsidRPr="00B8585E">
              <w:rPr>
                <w:rFonts w:asciiTheme="majorHAnsi" w:hAnsiTheme="majorHAnsi"/>
                <w:sz w:val="16"/>
              </w:rPr>
              <w:t>Matches FE-05/FE-07 and keeps cloud-provider choice re</w:t>
            </w:r>
            <w:r w:rsidRPr="00B8585E">
              <w:rPr>
                <w:rFonts w:asciiTheme="majorHAnsi" w:hAnsiTheme="majorHAnsi"/>
                <w:sz w:val="16"/>
              </w:rPr>
              <w:t>placeable. Render/Railway-style platforms can host Node and PostgreSQL, but vendor/pricing should be a separate approved deployment decision.</w:t>
            </w:r>
          </w:p>
        </w:tc>
      </w:tr>
    </w:tbl>
    <w:p w:rsidR="008B146F" w:rsidRPr="00B8585E" w:rsidRDefault="00BB6305">
      <w:pPr>
        <w:pStyle w:val="Heading2"/>
      </w:pPr>
      <w:r>
        <w:t>Why PostgreSQL instead of retaining MongoDB</w:t>
      </w:r>
    </w:p>
    <w:p w:rsidR="008B146F" w:rsidRPr="00B8585E" w:rsidRDefault="00BB6305">
      <w:pPr>
        <w:pStyle w:val="BodyText"/>
        <w:rPr>
          <w:rFonts w:asciiTheme="majorHAnsi" w:hAnsiTheme="majorHAnsi"/>
        </w:rPr>
      </w:pPr>
      <w:r w:rsidRPr="00B8585E">
        <w:rPr>
          <w:rFonts w:asciiTheme="majorHAnsi" w:hAnsiTheme="majorHAnsi"/>
        </w:rPr>
        <w:t xml:space="preserve">MongoDB is not rejected because it is “bad”; it is rejected for </w:t>
      </w:r>
      <w:r w:rsidRPr="00B8585E">
        <w:rPr>
          <w:rFonts w:asciiTheme="majorHAnsi" w:hAnsiTheme="majorHAnsi"/>
        </w:rPr>
        <w:t xml:space="preserve">this baseline because the dominant CivicConnect data is structured and relationship-heavy: users have roles and account states, reports belong to users, status values must be controlled, staff updates need valid transitions, and several operations benefit </w:t>
      </w:r>
      <w:r w:rsidRPr="00B8585E">
        <w:rPr>
          <w:rFonts w:asciiTheme="majorHAnsi" w:hAnsiTheme="majorHAnsi"/>
        </w:rPr>
        <w:t>from atomic updates. PostgreSQL can enforce primary keys, foreign keys, unique values, not-null rules and check constraints in addition to application validation. That gives Person 2 a stronger integrity baseline to build on.</w:t>
      </w:r>
    </w:p>
    <w:p w:rsidR="008B146F" w:rsidRPr="00B8585E" w:rsidRDefault="00BB6305">
      <w:pPr>
        <w:pStyle w:val="BodyText"/>
        <w:rPr>
          <w:rFonts w:asciiTheme="majorHAnsi" w:hAnsiTheme="majorHAnsi"/>
        </w:rPr>
      </w:pPr>
      <w:r w:rsidRPr="00B8585E">
        <w:rPr>
          <w:rFonts w:asciiTheme="majorHAnsi" w:hAnsiTheme="majorHAnsi"/>
        </w:rPr>
        <w:t>The team still keeps the famil</w:t>
      </w:r>
      <w:r w:rsidRPr="00B8585E">
        <w:rPr>
          <w:rFonts w:asciiTheme="majorHAnsi" w:hAnsiTheme="majorHAnsi"/>
        </w:rPr>
        <w:t>iar Node/Express runtime, so the database choice does not force the larger learning jump recorded in R-003. This is the main project-specific reason for choosing the hybrid stack over either of the two earlier “all familiar” or “all alternative” stacks.</w:t>
      </w:r>
    </w:p>
    <w:p w:rsidR="008B146F" w:rsidRPr="00B8585E" w:rsidRDefault="00BB6305">
      <w:pPr>
        <w:pStyle w:val="Heading2"/>
      </w:pPr>
      <w:r>
        <w:t>Compatibility and dependency assumptions</w:t>
      </w:r>
    </w:p>
    <w:p w:rsidR="008B146F" w:rsidRPr="00B8585E" w:rsidRDefault="00BB6305">
      <w:pPr>
        <w:pStyle w:val="ListBullet"/>
        <w:rPr>
          <w:rFonts w:asciiTheme="majorHAnsi" w:hAnsiTheme="majorHAnsi"/>
        </w:rPr>
      </w:pPr>
      <w:r w:rsidRPr="00B8585E">
        <w:rPr>
          <w:rFonts w:asciiTheme="majorHAnsi" w:hAnsiTheme="majorHAnsi"/>
        </w:rPr>
        <w:t>Use Node 24 LTS rather than Node 26 Current for the assessed baseline. Node’s release guidance says production applications should use Active or Maintenance LTS lines.</w:t>
      </w:r>
    </w:p>
    <w:p w:rsidR="008B146F" w:rsidRPr="00B8585E" w:rsidRDefault="00BB6305">
      <w:pPr>
        <w:pStyle w:val="ListBullet"/>
        <w:rPr>
          <w:rFonts w:asciiTheme="majorHAnsi" w:hAnsiTheme="majorHAnsi"/>
        </w:rPr>
      </w:pPr>
      <w:r w:rsidRPr="00B8585E">
        <w:rPr>
          <w:rFonts w:asciiTheme="majorHAnsi" w:hAnsiTheme="majorHAnsi"/>
        </w:rPr>
        <w:t xml:space="preserve">Use stable Prisma 7.x while Prisma 8 remains </w:t>
      </w:r>
      <w:r w:rsidRPr="00B8585E">
        <w:rPr>
          <w:rFonts w:asciiTheme="majorHAnsi" w:hAnsiTheme="majorHAnsi"/>
        </w:rPr>
        <w:t>a release candidate. Upgrade only through a reviewed dependency change after compatibility checks and tests.</w:t>
      </w:r>
    </w:p>
    <w:p w:rsidR="008B146F" w:rsidRPr="00B8585E" w:rsidRDefault="00BB6305">
      <w:pPr>
        <w:pStyle w:val="ListBullet"/>
        <w:rPr>
          <w:rFonts w:asciiTheme="majorHAnsi" w:hAnsiTheme="majorHAnsi"/>
        </w:rPr>
      </w:pPr>
      <w:r w:rsidRPr="00B8585E">
        <w:rPr>
          <w:rFonts w:asciiTheme="majorHAnsi" w:hAnsiTheme="majorHAnsi"/>
        </w:rPr>
        <w:t>Use PostgreSQL 18.x and apply current minor/security updates through the managed provider. PostgreSQL recommends staying on the current minor relea</w:t>
      </w:r>
      <w:r w:rsidRPr="00B8585E">
        <w:rPr>
          <w:rFonts w:asciiTheme="majorHAnsi" w:hAnsiTheme="majorHAnsi"/>
        </w:rPr>
        <w:t>se for the selected major.</w:t>
      </w:r>
    </w:p>
    <w:p w:rsidR="008B146F" w:rsidRPr="00B8585E" w:rsidRDefault="00BB6305">
      <w:pPr>
        <w:pStyle w:val="ListBullet"/>
        <w:rPr>
          <w:rFonts w:asciiTheme="majorHAnsi" w:hAnsiTheme="majorHAnsi"/>
        </w:rPr>
      </w:pPr>
      <w:r w:rsidRPr="00B8585E">
        <w:rPr>
          <w:rFonts w:asciiTheme="majorHAnsi" w:hAnsiTheme="majorHAnsi"/>
        </w:rPr>
        <w:t>Keep exact npm package versions in package-lock.json. The PED should record major/runtime baselines; the lockfile is the source of truth for exact transitive dependency versions.</w:t>
      </w:r>
    </w:p>
    <w:p w:rsidR="008B146F" w:rsidRPr="00B8585E" w:rsidRDefault="00BB6305">
      <w:pPr>
        <w:pStyle w:val="ListBullet"/>
        <w:rPr>
          <w:rFonts w:asciiTheme="majorHAnsi" w:hAnsiTheme="majorHAnsi"/>
        </w:rPr>
      </w:pPr>
      <w:r w:rsidRPr="00B8585E">
        <w:rPr>
          <w:rFonts w:asciiTheme="majorHAnsi" w:hAnsiTheme="majorHAnsi"/>
        </w:rPr>
        <w:t>Dependency upgrades that introduce a major-version</w:t>
      </w:r>
      <w:r w:rsidRPr="00B8585E">
        <w:rPr>
          <w:rFonts w:asciiTheme="majorHAnsi" w:hAnsiTheme="majorHAnsi"/>
        </w:rPr>
        <w:t xml:space="preserve"> change should use a normal issue/branch/PR and, when architecturally significant, an ADR or decision-log update.</w:t>
      </w:r>
    </w:p>
    <w:sectPr w:rsidR="008B146F" w:rsidRPr="00B8585E" w:rsidSect="00034616">
      <w:headerReference w:type="default" r:id="rId11"/>
      <w:footerReference w:type="default" r:id="rId12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305" w:rsidRDefault="00BB63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B6305" w:rsidRDefault="00BB63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46F" w:rsidRDefault="00BB6305">
    <w:pPr>
      <w:pStyle w:val="Footer"/>
      <w:jc w:val="right"/>
      <w:rPr>
        <w:rFonts w:hint="eastAsia"/>
      </w:rPr>
    </w:pPr>
    <w:r>
      <w:rPr>
        <w:color w:val="5B6770"/>
        <w:sz w:val="16"/>
      </w:rPr>
      <w:t xml:space="preserve">| </w:t>
    </w:r>
    <w:r>
      <w:t xml:space="preserve">Page </w:t>
    </w:r>
    <w:r>
      <w:fldChar w:fldCharType="begin"/>
    </w:r>
    <w:r>
      <w:instrText xml:space="preserve"> PAGE </w:instrText>
    </w:r>
    <w:r w:rsidR="00B8585E">
      <w:rPr>
        <w:rFonts w:hint="eastAsia"/>
      </w:rPr>
      <w:fldChar w:fldCharType="separate"/>
    </w:r>
    <w:r w:rsidR="00B8585E">
      <w:rPr>
        <w:rFonts w:hint="eastAsia"/>
        <w:noProof/>
      </w:rPr>
      <w:t>24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305" w:rsidRDefault="00BB63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B6305" w:rsidRDefault="00BB63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46F" w:rsidRDefault="008B146F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DF4BA0"/>
    <w:multiLevelType w:val="hybridMultilevel"/>
    <w:tmpl w:val="19788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146F"/>
    <w:rsid w:val="00AA1D8D"/>
    <w:rsid w:val="00B47730"/>
    <w:rsid w:val="00B8585E"/>
    <w:rsid w:val="00BB63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7AB08"/>
  <w14:defaultImageDpi w14:val="300"/>
  <w15:docId w15:val="{907BF032-23F0-4320-82A9-926B0132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24313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73A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B6F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173A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858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585E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B858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F5D7E2-2E18-48C9-ABDA-577E328CA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9621</Words>
  <Characters>54842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CivicConnect M2 - Person 1 Architecture &amp; Technology Lead</vt:lpstr>
    </vt:vector>
  </TitlesOfParts>
  <Manager/>
  <Company/>
  <LinksUpToDate>false</LinksUpToDate>
  <CharactersWithSpaces>64335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CivicConnect M2 - Person 1 Architecture &amp; Technology Lead</dc:title>
  <dc:subject>SEN381 CivicConnect Milestone 2 contribution for PED v2.0</dc:subject>
  <dc:creator>CivicConnect Team - Person 1 contribution</dc:creator>
  <cp:keywords>SEN381, CivicConnect, Milestone 2, architecture, technology, ASR, ADR, README</cp:keywords>
  <dc:description>generated by python-docx</dc:description>
  <cp:lastModifiedBy>Phenyo Phooko</cp:lastModifiedBy>
  <cp:revision>2</cp:revision>
  <dcterms:created xsi:type="dcterms:W3CDTF">2026-09-30T16:12:00Z</dcterms:created>
  <dcterms:modified xsi:type="dcterms:W3CDTF">2026-09-30T16:12:00Z</dcterms:modified>
  <cp:category/>
</cp:coreProperties>
</file>