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CivicConnect — Milestone 1: Requirements, Constraints &amp; RTM</w:t>
      </w:r>
    </w:p>
    <w:p>
      <w:pPr>
        <w:spacing w:after="120"/>
      </w:pPr>
      <w:r>
        <w:rPr>
          <w:i/>
          <w:iCs/>
        </w:rPr>
        <w:t xml:space="preserve">Prepared by: Person 2 (Dristen Venter)</w:t>
      </w:r>
    </w:p>
    <w:p>
      <w:pPr>
        <w:spacing w:after="120"/>
      </w:pPr>
      <w:r>
        <w:rPr>
          <w:i/>
          <w:iCs/>
        </w:rPr>
        <w:t xml:space="preserve">Scope of this section: Functional &amp; Non-Functional Requirements with Acceptance Criteria, Constraints Analysis, and the Requirements Traceability Matrix (RTM). Requirements below trace to the stakeholder needs and in-scope capabilities established in Person 1's Problem, Stakeholder &amp; Scope Baseline section (N01–N07, IN-01–IN-07).</w:t>
      </w:r>
    </w:p>
    <w:p>
      <w:pPr>
        <w:pStyle w:val="Heading1"/>
        <w:spacing w:after="120" w:before="240"/>
      </w:pPr>
      <w:r>
        <w:t xml:space="preserve">1. Functional Requirements (FRs)</w:t>
      </w:r>
    </w:p>
    <w:p>
      <w:pPr>
        <w:spacing w:after="120"/>
      </w:pPr>
      <w:r>
        <w:t xml:space="preserve">Requirements are prioritised using MoSCoW (Must / Should / Could). Each requirement carries a unique ID, a traceable source, and testable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800"/>
        <w:gridCol w:w="3226"/>
      </w:tblGrid>
      <w:tr>
        <w:tc>
          <w:tcPr>
            <w:tcW w:type="dxa" w:w="700"/>
            <w:shd w:fill="D9E2F3" w:val="clear"/>
            <w:vAlign w:val="center"/>
          </w:tcPr>
          <w:p>
            <w:r>
              <w:rPr>
                <w:b/>
                <w:bCs/>
                <w:sz w:val="18"/>
                <w:szCs w:val="18"/>
              </w:rPr>
              <w:t xml:space="preserve">ID</w:t>
            </w:r>
          </w:p>
        </w:tc>
        <w:tc>
          <w:tcPr>
            <w:tcW w:type="dxa" w:w="2400"/>
            <w:shd w:fill="D9E2F3" w:val="clear"/>
            <w:vAlign w:val="center"/>
          </w:tcPr>
          <w:p>
            <w:r>
              <w:rPr>
                <w:b/>
                <w:bCs/>
                <w:sz w:val="18"/>
                <w:szCs w:val="18"/>
              </w:rPr>
              <w:t xml:space="preserve">Requirement</w:t>
            </w:r>
          </w:p>
        </w:tc>
        <w:tc>
          <w:tcPr>
            <w:tcW w:type="dxa" w:w="900"/>
            <w:shd w:fill="D9E2F3" w:val="clear"/>
            <w:vAlign w:val="center"/>
          </w:tcPr>
          <w:p>
            <w:r>
              <w:rPr>
                <w:b/>
                <w:bCs/>
                <w:sz w:val="18"/>
                <w:szCs w:val="18"/>
              </w:rPr>
              <w:t xml:space="preserve">Source</w:t>
            </w:r>
          </w:p>
        </w:tc>
        <w:tc>
          <w:tcPr>
            <w:tcW w:type="dxa" w:w="800"/>
            <w:shd w:fill="D9E2F3" w:val="clear"/>
            <w:vAlign w:val="center"/>
          </w:tcPr>
          <w:p>
            <w:r>
              <w:rPr>
                <w:b/>
                <w:bCs/>
                <w:sz w:val="18"/>
                <w:szCs w:val="18"/>
              </w:rPr>
              <w:t xml:space="preserve">Priority</w:t>
            </w:r>
          </w:p>
        </w:tc>
        <w:tc>
          <w:tcPr>
            <w:tcW w:type="dxa" w:w="3226"/>
            <w:shd w:fill="D9E2F3" w:val="clear"/>
            <w:vAlign w:val="center"/>
          </w:tcPr>
          <w:p>
            <w:r>
              <w:rPr>
                <w:b/>
                <w:bCs/>
                <w:sz w:val="18"/>
                <w:szCs w:val="18"/>
              </w:rPr>
              <w:t xml:space="preserve">Acceptance Criteria</w:t>
            </w:r>
          </w:p>
        </w:tc>
      </w:tr>
      <w:tr>
        <w:tc>
          <w:tcPr>
            <w:tcW w:type="dxa" w:w="700"/>
            <w:vAlign w:val="center"/>
          </w:tcPr>
          <w:p>
            <w:r>
              <w:rPr>
                <w:b w:val="false"/>
                <w:bCs w:val="false"/>
                <w:sz w:val="18"/>
                <w:szCs w:val="18"/>
              </w:rPr>
              <w:t xml:space="preserve">FR-01</w:t>
            </w:r>
          </w:p>
        </w:tc>
        <w:tc>
          <w:tcPr>
            <w:tcW w:type="dxa" w:w="2400"/>
            <w:vAlign w:val="center"/>
          </w:tcPr>
          <w:p>
            <w:r>
              <w:rPr>
                <w:b w:val="false"/>
                <w:bCs w:val="false"/>
                <w:sz w:val="18"/>
                <w:szCs w:val="18"/>
              </w:rPr>
              <w:t xml:space="preserve">The system shall allow a citizen to submit a report describing a civic issue.</w:t>
            </w:r>
          </w:p>
        </w:tc>
        <w:tc>
          <w:tcPr>
            <w:tcW w:type="dxa" w:w="900"/>
            <w:vAlign w:val="center"/>
          </w:tcPr>
          <w:p>
            <w:r>
              <w:rPr>
                <w:b w:val="false"/>
                <w:bCs w:val="false"/>
                <w:sz w:val="18"/>
                <w:szCs w:val="18"/>
              </w:rPr>
              <w:t xml:space="preserve">N01 / IN-01</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logged-in citizen on the report screen, when required fields are completed and submitted, then a new issue record is created with a unique reference number and status "Submitted".</w:t>
            </w:r>
          </w:p>
        </w:tc>
      </w:tr>
      <w:tr>
        <w:tc>
          <w:tcPr>
            <w:tcW w:type="dxa" w:w="700"/>
            <w:vAlign w:val="center"/>
          </w:tcPr>
          <w:p>
            <w:r>
              <w:rPr>
                <w:b w:val="false"/>
                <w:bCs w:val="false"/>
                <w:sz w:val="18"/>
                <w:szCs w:val="18"/>
              </w:rPr>
              <w:t xml:space="preserve">FR-02</w:t>
            </w:r>
          </w:p>
        </w:tc>
        <w:tc>
          <w:tcPr>
            <w:tcW w:type="dxa" w:w="2400"/>
            <w:vAlign w:val="center"/>
          </w:tcPr>
          <w:p>
            <w:r>
              <w:rPr>
                <w:b w:val="false"/>
                <w:bCs w:val="false"/>
                <w:sz w:val="18"/>
                <w:szCs w:val="18"/>
              </w:rPr>
              <w:t xml:space="preserve">The system shall require a minimum structured data set (category, description, location) for every submitted report.</w:t>
            </w:r>
          </w:p>
        </w:tc>
        <w:tc>
          <w:tcPr>
            <w:tcW w:type="dxa" w:w="900"/>
            <w:vAlign w:val="center"/>
          </w:tcPr>
          <w:p>
            <w:r>
              <w:rPr>
                <w:b w:val="false"/>
                <w:bCs w:val="false"/>
                <w:sz w:val="18"/>
                <w:szCs w:val="18"/>
              </w:rPr>
              <w:t xml:space="preserve">N03 / IN-02</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citizen submitting a report, when a required field is missing, then submission is rejected and the missing field(s) are identified; when all required fields are present, the report is accepted.</w:t>
            </w:r>
          </w:p>
        </w:tc>
      </w:tr>
      <w:tr>
        <w:tc>
          <w:tcPr>
            <w:tcW w:type="dxa" w:w="700"/>
            <w:vAlign w:val="center"/>
          </w:tcPr>
          <w:p>
            <w:r>
              <w:rPr>
                <w:b w:val="false"/>
                <w:bCs w:val="false"/>
                <w:sz w:val="18"/>
                <w:szCs w:val="18"/>
              </w:rPr>
              <w:t xml:space="preserve">FR-03</w:t>
            </w:r>
          </w:p>
        </w:tc>
        <w:tc>
          <w:tcPr>
            <w:tcW w:type="dxa" w:w="2400"/>
            <w:vAlign w:val="center"/>
          </w:tcPr>
          <w:p>
            <w:r>
              <w:rPr>
                <w:b w:val="false"/>
                <w:bCs w:val="false"/>
                <w:sz w:val="18"/>
                <w:szCs w:val="18"/>
              </w:rPr>
              <w:t xml:space="preserve">The system shall confirm successful submission, including a unique reference number.</w:t>
            </w:r>
          </w:p>
        </w:tc>
        <w:tc>
          <w:tcPr>
            <w:tcW w:type="dxa" w:w="900"/>
            <w:vAlign w:val="center"/>
          </w:tcPr>
          <w:p>
            <w:r>
              <w:rPr>
                <w:b w:val="false"/>
                <w:bCs w:val="false"/>
                <w:sz w:val="18"/>
                <w:szCs w:val="18"/>
              </w:rPr>
              <w:t xml:space="preserve">N02 / IN-07</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successfully submitted report, when submission completes, then a confirmation showing the reference number is displayed within 2 seconds.</w:t>
            </w:r>
          </w:p>
        </w:tc>
      </w:tr>
      <w:tr>
        <w:tc>
          <w:tcPr>
            <w:tcW w:type="dxa" w:w="700"/>
            <w:vAlign w:val="center"/>
          </w:tcPr>
          <w:p>
            <w:r>
              <w:rPr>
                <w:b w:val="false"/>
                <w:bCs w:val="false"/>
                <w:sz w:val="18"/>
                <w:szCs w:val="18"/>
              </w:rPr>
              <w:t xml:space="preserve">FR-04</w:t>
            </w:r>
          </w:p>
        </w:tc>
        <w:tc>
          <w:tcPr>
            <w:tcW w:type="dxa" w:w="2400"/>
            <w:vAlign w:val="center"/>
          </w:tcPr>
          <w:p>
            <w:r>
              <w:rPr>
                <w:b w:val="false"/>
                <w:bCs w:val="false"/>
                <w:sz w:val="18"/>
                <w:szCs w:val="18"/>
              </w:rPr>
              <w:t xml:space="preserve">The system shall allow a citizen to view the current status of a report they submitted.</w:t>
            </w:r>
          </w:p>
        </w:tc>
        <w:tc>
          <w:tcPr>
            <w:tcW w:type="dxa" w:w="900"/>
            <w:vAlign w:val="center"/>
          </w:tcPr>
          <w:p>
            <w:r>
              <w:rPr>
                <w:b w:val="false"/>
                <w:bCs w:val="false"/>
                <w:sz w:val="18"/>
                <w:szCs w:val="18"/>
              </w:rPr>
              <w:t xml:space="preserve">N02 / IN-03</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citizen with a valid account or reference number, when they query status, then the current status (Submitted / Under Review / In Progress / Resolved) and last-updated date are shown.</w:t>
            </w:r>
          </w:p>
        </w:tc>
      </w:tr>
      <w:tr>
        <w:tc>
          <w:tcPr>
            <w:tcW w:type="dxa" w:w="700"/>
            <w:vAlign w:val="center"/>
          </w:tcPr>
          <w:p>
            <w:r>
              <w:rPr>
                <w:b w:val="false"/>
                <w:bCs w:val="false"/>
                <w:sz w:val="18"/>
                <w:szCs w:val="18"/>
              </w:rPr>
              <w:t xml:space="preserve">FR-05</w:t>
            </w:r>
          </w:p>
        </w:tc>
        <w:tc>
          <w:tcPr>
            <w:tcW w:type="dxa" w:w="2400"/>
            <w:vAlign w:val="center"/>
          </w:tcPr>
          <w:p>
            <w:r>
              <w:rPr>
                <w:b w:val="false"/>
                <w:bCs w:val="false"/>
                <w:sz w:val="18"/>
                <w:szCs w:val="18"/>
              </w:rPr>
              <w:t xml:space="preserve">The system shall allow authorised civic personnel to change a report's status to a valid next status.</w:t>
            </w:r>
          </w:p>
        </w:tc>
        <w:tc>
          <w:tcPr>
            <w:tcW w:type="dxa" w:w="900"/>
            <w:vAlign w:val="center"/>
          </w:tcPr>
          <w:p>
            <w:r>
              <w:rPr>
                <w:b w:val="false"/>
                <w:bCs w:val="false"/>
                <w:sz w:val="18"/>
                <w:szCs w:val="18"/>
              </w:rPr>
              <w:t xml:space="preserve">N04 / IN-04</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an authenticated civic-personnel user, when a valid status transition is selected, then the record is updated and timestamped; invalid transitions (e.g. Resolved → Submitted) are rejected.</w:t>
            </w:r>
          </w:p>
        </w:tc>
      </w:tr>
      <w:tr>
        <w:tc>
          <w:tcPr>
            <w:tcW w:type="dxa" w:w="700"/>
            <w:vAlign w:val="center"/>
          </w:tcPr>
          <w:p>
            <w:r>
              <w:rPr>
                <w:b w:val="false"/>
                <w:bCs w:val="false"/>
                <w:sz w:val="18"/>
                <w:szCs w:val="18"/>
              </w:rPr>
              <w:t xml:space="preserve">FR-06</w:t>
            </w:r>
          </w:p>
        </w:tc>
        <w:tc>
          <w:tcPr>
            <w:tcW w:type="dxa" w:w="2400"/>
            <w:vAlign w:val="center"/>
          </w:tcPr>
          <w:p>
            <w:r>
              <w:rPr>
                <w:b w:val="false"/>
                <w:bCs w:val="false"/>
                <w:sz w:val="18"/>
                <w:szCs w:val="18"/>
              </w:rPr>
              <w:t xml:space="preserve">The system shall allow civic personnel to filter and sort reported issues by category, status and submission date.</w:t>
            </w:r>
          </w:p>
        </w:tc>
        <w:tc>
          <w:tcPr>
            <w:tcW w:type="dxa" w:w="900"/>
            <w:vAlign w:val="center"/>
          </w:tcPr>
          <w:p>
            <w:r>
              <w:rPr>
                <w:b w:val="false"/>
                <w:bCs w:val="false"/>
                <w:sz w:val="18"/>
                <w:szCs w:val="18"/>
              </w:rPr>
              <w:t xml:space="preserve">N04 / IN-04</w:t>
            </w:r>
          </w:p>
        </w:tc>
        <w:tc>
          <w:tcPr>
            <w:tcW w:type="dxa" w:w="800"/>
            <w:vAlign w:val="center"/>
          </w:tcPr>
          <w:p>
            <w:r>
              <w:rPr>
                <w:b w:val="false"/>
                <w:bCs w:val="false"/>
                <w:sz w:val="18"/>
                <w:szCs w:val="18"/>
              </w:rPr>
              <w:t xml:space="preserve">Should</w:t>
            </w:r>
          </w:p>
        </w:tc>
        <w:tc>
          <w:tcPr>
            <w:tcW w:type="dxa" w:w="3226"/>
            <w:vAlign w:val="center"/>
          </w:tcPr>
          <w:p>
            <w:r>
              <w:rPr>
                <w:b w:val="false"/>
                <w:bCs w:val="false"/>
                <w:sz w:val="18"/>
                <w:szCs w:val="18"/>
              </w:rPr>
              <w:t xml:space="preserve">Given a list of reports, when a filter/sort is applied, then the displayed list reflects the criteria within 3 seconds.</w:t>
            </w:r>
          </w:p>
        </w:tc>
      </w:tr>
      <w:tr>
        <w:tc>
          <w:tcPr>
            <w:tcW w:type="dxa" w:w="700"/>
            <w:vAlign w:val="center"/>
          </w:tcPr>
          <w:p>
            <w:r>
              <w:rPr>
                <w:b w:val="false"/>
                <w:bCs w:val="false"/>
                <w:sz w:val="18"/>
                <w:szCs w:val="18"/>
              </w:rPr>
              <w:t xml:space="preserve">FR-07</w:t>
            </w:r>
          </w:p>
        </w:tc>
        <w:tc>
          <w:tcPr>
            <w:tcW w:type="dxa" w:w="2400"/>
            <w:vAlign w:val="center"/>
          </w:tcPr>
          <w:p>
            <w:r>
              <w:rPr>
                <w:b w:val="false"/>
                <w:bCs w:val="false"/>
                <w:sz w:val="18"/>
                <w:szCs w:val="18"/>
              </w:rPr>
              <w:t xml:space="preserve">The system shall allow users to register an account and authenticate before submitting reports or accessing management functions.</w:t>
            </w:r>
          </w:p>
        </w:tc>
        <w:tc>
          <w:tcPr>
            <w:tcW w:type="dxa" w:w="900"/>
            <w:vAlign w:val="center"/>
          </w:tcPr>
          <w:p>
            <w:r>
              <w:rPr>
                <w:b w:val="false"/>
                <w:bCs w:val="false"/>
                <w:sz w:val="18"/>
                <w:szCs w:val="18"/>
              </w:rPr>
              <w:t xml:space="preserve">N01 / N06 / IN-05</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new user, when valid registration details are supplied, an account is created; correct login credentials grant access; incorrect credentials are rejected with a generic error message.</w:t>
            </w:r>
          </w:p>
        </w:tc>
      </w:tr>
      <w:tr>
        <w:tc>
          <w:tcPr>
            <w:tcW w:type="dxa" w:w="700"/>
            <w:vAlign w:val="center"/>
          </w:tcPr>
          <w:p>
            <w:r>
              <w:rPr>
                <w:b w:val="false"/>
                <w:bCs w:val="false"/>
                <w:sz w:val="18"/>
                <w:szCs w:val="18"/>
              </w:rPr>
              <w:t xml:space="preserve">FR-08</w:t>
            </w:r>
          </w:p>
        </w:tc>
        <w:tc>
          <w:tcPr>
            <w:tcW w:type="dxa" w:w="2400"/>
            <w:vAlign w:val="center"/>
          </w:tcPr>
          <w:p>
            <w:r>
              <w:rPr>
                <w:b w:val="false"/>
                <w:bCs w:val="false"/>
                <w:sz w:val="18"/>
                <w:szCs w:val="18"/>
              </w:rPr>
              <w:t xml:space="preserve">The system shall restrict management and administrative functions based on assigned user role (Citizen / Civic Personnel / Administrator).</w:t>
            </w:r>
          </w:p>
        </w:tc>
        <w:tc>
          <w:tcPr>
            <w:tcW w:type="dxa" w:w="900"/>
            <w:vAlign w:val="center"/>
          </w:tcPr>
          <w:p>
            <w:r>
              <w:rPr>
                <w:b w:val="false"/>
                <w:bCs w:val="false"/>
                <w:sz w:val="18"/>
                <w:szCs w:val="18"/>
              </w:rPr>
              <w:t xml:space="preserve">N06 / IN-05 / IN-06</w:t>
            </w:r>
          </w:p>
        </w:tc>
        <w:tc>
          <w:tcPr>
            <w:tcW w:type="dxa" w:w="800"/>
            <w:vAlign w:val="center"/>
          </w:tcPr>
          <w:p>
            <w:r>
              <w:rPr>
                <w:b w:val="false"/>
                <w:bCs w:val="false"/>
                <w:sz w:val="18"/>
                <w:szCs w:val="18"/>
              </w:rPr>
              <w:t xml:space="preserve">Must</w:t>
            </w:r>
          </w:p>
        </w:tc>
        <w:tc>
          <w:tcPr>
            <w:tcW w:type="dxa" w:w="3226"/>
            <w:vAlign w:val="center"/>
          </w:tcPr>
          <w:p>
            <w:r>
              <w:rPr>
                <w:b w:val="false"/>
                <w:bCs w:val="false"/>
                <w:sz w:val="18"/>
                <w:szCs w:val="18"/>
              </w:rPr>
              <w:t xml:space="preserve">Given a user without the Civic Personnel or Administrator role, when they attempt to access a management function, then access is denied.</w:t>
            </w:r>
          </w:p>
        </w:tc>
      </w:tr>
      <w:tr>
        <w:tc>
          <w:tcPr>
            <w:tcW w:type="dxa" w:w="700"/>
            <w:vAlign w:val="center"/>
          </w:tcPr>
          <w:p>
            <w:r>
              <w:rPr>
                <w:b w:val="false"/>
                <w:bCs w:val="false"/>
                <w:sz w:val="18"/>
                <w:szCs w:val="18"/>
              </w:rPr>
              <w:t xml:space="preserve">FR-09</w:t>
            </w:r>
          </w:p>
        </w:tc>
        <w:tc>
          <w:tcPr>
            <w:tcW w:type="dxa" w:w="2400"/>
            <w:vAlign w:val="center"/>
          </w:tcPr>
          <w:p>
            <w:r>
              <w:rPr>
                <w:b w:val="false"/>
                <w:bCs w:val="false"/>
                <w:sz w:val="18"/>
                <w:szCs w:val="18"/>
              </w:rPr>
              <w:t xml:space="preserve">The system shall allow an administrator to view accounts and activate, deactivate, or assign roles to them.</w:t>
            </w:r>
          </w:p>
        </w:tc>
        <w:tc>
          <w:tcPr>
            <w:tcW w:type="dxa" w:w="900"/>
            <w:vAlign w:val="center"/>
          </w:tcPr>
          <w:p>
            <w:r>
              <w:rPr>
                <w:b w:val="false"/>
                <w:bCs w:val="false"/>
                <w:sz w:val="18"/>
                <w:szCs w:val="18"/>
              </w:rPr>
              <w:t xml:space="preserve">N06 / IN-06</w:t>
            </w:r>
          </w:p>
        </w:tc>
        <w:tc>
          <w:tcPr>
            <w:tcW w:type="dxa" w:w="800"/>
            <w:vAlign w:val="center"/>
          </w:tcPr>
          <w:p>
            <w:r>
              <w:rPr>
                <w:b w:val="false"/>
                <w:bCs w:val="false"/>
                <w:sz w:val="18"/>
                <w:szCs w:val="18"/>
              </w:rPr>
              <w:t xml:space="preserve">Should</w:t>
            </w:r>
          </w:p>
        </w:tc>
        <w:tc>
          <w:tcPr>
            <w:tcW w:type="dxa" w:w="3226"/>
            <w:vAlign w:val="center"/>
          </w:tcPr>
          <w:p>
            <w:r>
              <w:rPr>
                <w:b w:val="false"/>
                <w:bCs w:val="false"/>
                <w:sz w:val="18"/>
                <w:szCs w:val="18"/>
              </w:rPr>
              <w:t xml:space="preserve">Given an administrator, when a user's role or account status is changed, then the change takes effect on that user's next authenticated request.</w:t>
            </w:r>
          </w:p>
        </w:tc>
      </w:tr>
      <w:tr>
        <w:tc>
          <w:tcPr>
            <w:tcW w:type="dxa" w:w="700"/>
            <w:vAlign w:val="center"/>
          </w:tcPr>
          <w:p>
            <w:r>
              <w:rPr>
                <w:b w:val="false"/>
                <w:bCs w:val="false"/>
                <w:sz w:val="18"/>
                <w:szCs w:val="18"/>
              </w:rPr>
              <w:t xml:space="preserve">FR-10</w:t>
            </w:r>
          </w:p>
        </w:tc>
        <w:tc>
          <w:tcPr>
            <w:tcW w:type="dxa" w:w="2400"/>
            <w:vAlign w:val="center"/>
          </w:tcPr>
          <w:p>
            <w:r>
              <w:rPr>
                <w:b w:val="false"/>
                <w:bCs w:val="false"/>
                <w:sz w:val="18"/>
                <w:szCs w:val="18"/>
              </w:rPr>
              <w:t xml:space="preserve">Where a user has a registered email address, the system should notify them by email when their report's status changes.</w:t>
            </w:r>
          </w:p>
        </w:tc>
        <w:tc>
          <w:tcPr>
            <w:tcW w:type="dxa" w:w="900"/>
            <w:vAlign w:val="center"/>
          </w:tcPr>
          <w:p>
            <w:r>
              <w:rPr>
                <w:b w:val="false"/>
                <w:bCs w:val="false"/>
                <w:sz w:val="18"/>
                <w:szCs w:val="18"/>
              </w:rPr>
              <w:t xml:space="preserve">N02</w:t>
            </w:r>
          </w:p>
        </w:tc>
        <w:tc>
          <w:tcPr>
            <w:tcW w:type="dxa" w:w="800"/>
            <w:vAlign w:val="center"/>
          </w:tcPr>
          <w:p>
            <w:r>
              <w:rPr>
                <w:b w:val="false"/>
                <w:bCs w:val="false"/>
                <w:sz w:val="18"/>
                <w:szCs w:val="18"/>
              </w:rPr>
              <w:t xml:space="preserve">Could</w:t>
            </w:r>
          </w:p>
        </w:tc>
        <w:tc>
          <w:tcPr>
            <w:tcW w:type="dxa" w:w="3226"/>
            <w:vAlign w:val="center"/>
          </w:tcPr>
          <w:p>
            <w:r>
              <w:rPr>
                <w:b w:val="false"/>
                <w:bCs w:val="false"/>
                <w:sz w:val="18"/>
                <w:szCs w:val="18"/>
              </w:rPr>
              <w:t xml:space="preserve">Given a report with a status change and a user with a stored email address, when the status changes, then an email is sent within 5 minutes.</w:t>
            </w:r>
          </w:p>
        </w:tc>
      </w:tr>
    </w:tbl>
    <w:p>
      <w:pPr>
        <w:pStyle w:val="Heading1"/>
        <w:spacing w:after="120" w:before="240"/>
      </w:pPr>
      <w:r>
        <w:t xml:space="preserve">2. Non-Functional Requirements (NFRs)</w:t>
      </w:r>
    </w:p>
    <w:p>
      <w:pPr>
        <w:spacing w:after="120"/>
      </w:pPr>
      <w:r>
        <w:t xml:space="preserve">NFRs are stated in measurable terms so they can be verified rather than assessed subjectively, consistent with ISO/IEC/IEEE 29148 guidance on requirements quality (ISO/IEC/IEEE,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300"/>
        <w:gridCol w:w="3826"/>
      </w:tblGrid>
      <w:tr>
        <w:tc>
          <w:tcPr>
            <w:tcW w:type="dxa" w:w="700"/>
            <w:shd w:fill="D9E2F3" w:val="clear"/>
            <w:vAlign w:val="center"/>
          </w:tcPr>
          <w:p>
            <w:r>
              <w:rPr>
                <w:b/>
                <w:bCs/>
                <w:sz w:val="18"/>
                <w:szCs w:val="18"/>
              </w:rPr>
              <w:t xml:space="preserve">ID</w:t>
            </w:r>
          </w:p>
        </w:tc>
        <w:tc>
          <w:tcPr>
            <w:tcW w:type="dxa" w:w="3200"/>
            <w:shd w:fill="D9E2F3" w:val="clear"/>
            <w:vAlign w:val="center"/>
          </w:tcPr>
          <w:p>
            <w:r>
              <w:rPr>
                <w:b/>
                <w:bCs/>
                <w:sz w:val="18"/>
                <w:szCs w:val="18"/>
              </w:rPr>
              <w:t xml:space="preserve">Requirement</w:t>
            </w:r>
          </w:p>
        </w:tc>
        <w:tc>
          <w:tcPr>
            <w:tcW w:type="dxa" w:w="1300"/>
            <w:shd w:fill="D9E2F3" w:val="clear"/>
            <w:vAlign w:val="center"/>
          </w:tcPr>
          <w:p>
            <w:r>
              <w:rPr>
                <w:b/>
                <w:bCs/>
                <w:sz w:val="18"/>
                <w:szCs w:val="18"/>
              </w:rPr>
              <w:t xml:space="preserve">Source</w:t>
            </w:r>
          </w:p>
        </w:tc>
        <w:tc>
          <w:tcPr>
            <w:tcW w:type="dxa" w:w="3826"/>
            <w:shd w:fill="D9E2F3" w:val="clear"/>
            <w:vAlign w:val="center"/>
          </w:tcPr>
          <w:p>
            <w:r>
              <w:rPr>
                <w:b/>
                <w:bCs/>
                <w:sz w:val="18"/>
                <w:szCs w:val="18"/>
              </w:rPr>
              <w:t xml:space="preserve">Acceptance Criteria</w:t>
            </w:r>
          </w:p>
        </w:tc>
      </w:tr>
      <w:tr>
        <w:tc>
          <w:tcPr>
            <w:tcW w:type="dxa" w:w="700"/>
            <w:vAlign w:val="center"/>
          </w:tcPr>
          <w:p>
            <w:r>
              <w:rPr>
                <w:b w:val="false"/>
                <w:bCs w:val="false"/>
                <w:sz w:val="18"/>
                <w:szCs w:val="18"/>
              </w:rPr>
              <w:t xml:space="preserve">NFR-01</w:t>
            </w:r>
          </w:p>
        </w:tc>
        <w:tc>
          <w:tcPr>
            <w:tcW w:type="dxa" w:w="3200"/>
            <w:vAlign w:val="center"/>
          </w:tcPr>
          <w:p>
            <w:r>
              <w:rPr>
                <w:b w:val="false"/>
                <w:bCs w:val="false"/>
                <w:sz w:val="18"/>
                <w:szCs w:val="18"/>
              </w:rPr>
              <w:t xml:space="preserve">Performance: the system shall return a submission confirmation within 2 seconds for 95% of submissions under normal load (up to 50 concurrent users).</w:t>
            </w:r>
          </w:p>
        </w:tc>
        <w:tc>
          <w:tcPr>
            <w:tcW w:type="dxa" w:w="1300"/>
            <w:vAlign w:val="center"/>
          </w:tcPr>
          <w:p>
            <w:r>
              <w:rPr>
                <w:b w:val="false"/>
                <w:bCs w:val="false"/>
                <w:sz w:val="18"/>
                <w:szCs w:val="18"/>
              </w:rPr>
              <w:t xml:space="preserve">IN-01 / Quality constraint</w:t>
            </w:r>
          </w:p>
        </w:tc>
        <w:tc>
          <w:tcPr>
            <w:tcW w:type="dxa" w:w="3826"/>
            <w:vAlign w:val="center"/>
          </w:tcPr>
          <w:p>
            <w:r>
              <w:rPr>
                <w:b w:val="false"/>
                <w:bCs w:val="false"/>
                <w:sz w:val="18"/>
                <w:szCs w:val="18"/>
              </w:rPr>
              <w:t xml:space="preserve">Load test at 50 concurrent simulated users records 95th-percentile confirmation time ≤ 2 seconds.</w:t>
            </w:r>
          </w:p>
        </w:tc>
      </w:tr>
      <w:tr>
        <w:tc>
          <w:tcPr>
            <w:tcW w:type="dxa" w:w="700"/>
            <w:vAlign w:val="center"/>
          </w:tcPr>
          <w:p>
            <w:r>
              <w:rPr>
                <w:b w:val="false"/>
                <w:bCs w:val="false"/>
                <w:sz w:val="18"/>
                <w:szCs w:val="18"/>
              </w:rPr>
              <w:t xml:space="preserve">NFR-02</w:t>
            </w:r>
          </w:p>
        </w:tc>
        <w:tc>
          <w:tcPr>
            <w:tcW w:type="dxa" w:w="3200"/>
            <w:vAlign w:val="center"/>
          </w:tcPr>
          <w:p>
            <w:r>
              <w:rPr>
                <w:b w:val="false"/>
                <w:bCs w:val="false"/>
                <w:sz w:val="18"/>
                <w:szCs w:val="18"/>
              </w:rPr>
              <w:t xml:space="preserve">Usability: a first-time citizen user shall be able to complete and submit a basic report in 5 steps or fewer, unaided.</w:t>
            </w:r>
          </w:p>
        </w:tc>
        <w:tc>
          <w:tcPr>
            <w:tcW w:type="dxa" w:w="1300"/>
            <w:vAlign w:val="center"/>
          </w:tcPr>
          <w:p>
            <w:r>
              <w:rPr>
                <w:b w:val="false"/>
                <w:bCs w:val="false"/>
                <w:sz w:val="18"/>
                <w:szCs w:val="18"/>
              </w:rPr>
              <w:t xml:space="preserve">N01 / stakeholder conflict 1</w:t>
            </w:r>
          </w:p>
        </w:tc>
        <w:tc>
          <w:tcPr>
            <w:tcW w:type="dxa" w:w="3826"/>
            <w:vAlign w:val="center"/>
          </w:tcPr>
          <w:p>
            <w:r>
              <w:rPr>
                <w:b w:val="false"/>
                <w:bCs w:val="false"/>
                <w:sz w:val="18"/>
                <w:szCs w:val="18"/>
              </w:rPr>
              <w:t xml:space="preserve">Usability test with representative participants: ≥80% complete an unaided submission within 5 steps / 3 minutes.</w:t>
            </w:r>
          </w:p>
        </w:tc>
      </w:tr>
      <w:tr>
        <w:tc>
          <w:tcPr>
            <w:tcW w:type="dxa" w:w="700"/>
            <w:vAlign w:val="center"/>
          </w:tcPr>
          <w:p>
            <w:r>
              <w:rPr>
                <w:b w:val="false"/>
                <w:bCs w:val="false"/>
                <w:sz w:val="18"/>
                <w:szCs w:val="18"/>
              </w:rPr>
              <w:t xml:space="preserve">NFR-03</w:t>
            </w:r>
          </w:p>
        </w:tc>
        <w:tc>
          <w:tcPr>
            <w:tcW w:type="dxa" w:w="3200"/>
            <w:vAlign w:val="center"/>
          </w:tcPr>
          <w:p>
            <w:r>
              <w:rPr>
                <w:b w:val="false"/>
                <w:bCs w:val="false"/>
                <w:sz w:val="18"/>
                <w:szCs w:val="18"/>
              </w:rPr>
              <w:t xml:space="preserve">Security: account passwords shall meet a minimum complexity (≥8 characters, mixed case and a number) and be stored as a salted hash, never in plaintext.</w:t>
            </w:r>
          </w:p>
        </w:tc>
        <w:tc>
          <w:tcPr>
            <w:tcW w:type="dxa" w:w="1300"/>
            <w:vAlign w:val="center"/>
          </w:tcPr>
          <w:p>
            <w:r>
              <w:rPr>
                <w:b w:val="false"/>
                <w:bCs w:val="false"/>
                <w:sz w:val="18"/>
                <w:szCs w:val="18"/>
              </w:rPr>
              <w:t xml:space="preserve">N06 / stakeholder conflict 2 / FE-01</w:t>
            </w:r>
          </w:p>
        </w:tc>
        <w:tc>
          <w:tcPr>
            <w:tcW w:type="dxa" w:w="3826"/>
            <w:vAlign w:val="center"/>
          </w:tcPr>
          <w:p>
            <w:r>
              <w:rPr>
                <w:b w:val="false"/>
                <w:bCs w:val="false"/>
                <w:sz w:val="18"/>
                <w:szCs w:val="18"/>
              </w:rPr>
              <w:t xml:space="preserve">Configuration/code review confirms salted hashing algorithm in use; registration with a non-compliant password is rejected.</w:t>
            </w:r>
          </w:p>
        </w:tc>
      </w:tr>
      <w:tr>
        <w:tc>
          <w:tcPr>
            <w:tcW w:type="dxa" w:w="700"/>
            <w:vAlign w:val="center"/>
          </w:tcPr>
          <w:p>
            <w:r>
              <w:rPr>
                <w:b w:val="false"/>
                <w:bCs w:val="false"/>
                <w:sz w:val="18"/>
                <w:szCs w:val="18"/>
              </w:rPr>
              <w:t xml:space="preserve">NFR-04</w:t>
            </w:r>
          </w:p>
        </w:tc>
        <w:tc>
          <w:tcPr>
            <w:tcW w:type="dxa" w:w="3200"/>
            <w:vAlign w:val="center"/>
          </w:tcPr>
          <w:p>
            <w:r>
              <w:rPr>
                <w:b w:val="false"/>
                <w:bCs w:val="false"/>
                <w:sz w:val="18"/>
                <w:szCs w:val="18"/>
              </w:rPr>
              <w:t xml:space="preserve">Availability: the core reporting workflow shall be available for at least 99% of scheduled operating hours during the evaluation period.</w:t>
            </w:r>
          </w:p>
        </w:tc>
        <w:tc>
          <w:tcPr>
            <w:tcW w:type="dxa" w:w="1300"/>
            <w:vAlign w:val="center"/>
          </w:tcPr>
          <w:p>
            <w:r>
              <w:rPr>
                <w:b w:val="false"/>
                <w:bCs w:val="false"/>
                <w:sz w:val="18"/>
                <w:szCs w:val="18"/>
              </w:rPr>
              <w:t xml:space="preserve">N05 (sponsor value)</w:t>
            </w:r>
          </w:p>
        </w:tc>
        <w:tc>
          <w:tcPr>
            <w:tcW w:type="dxa" w:w="3826"/>
            <w:vAlign w:val="center"/>
          </w:tcPr>
          <w:p>
            <w:r>
              <w:rPr>
                <w:b w:val="false"/>
                <w:bCs w:val="false"/>
                <w:sz w:val="18"/>
                <w:szCs w:val="18"/>
              </w:rPr>
              <w:t xml:space="preserve">Uptime log for the evaluation period shows ≥99% availability.</w:t>
            </w:r>
          </w:p>
        </w:tc>
      </w:tr>
      <w:tr>
        <w:tc>
          <w:tcPr>
            <w:tcW w:type="dxa" w:w="700"/>
            <w:vAlign w:val="center"/>
          </w:tcPr>
          <w:p>
            <w:r>
              <w:rPr>
                <w:b w:val="false"/>
                <w:bCs w:val="false"/>
                <w:sz w:val="18"/>
                <w:szCs w:val="18"/>
              </w:rPr>
              <w:t xml:space="preserve">NFR-05</w:t>
            </w:r>
          </w:p>
        </w:tc>
        <w:tc>
          <w:tcPr>
            <w:tcW w:type="dxa" w:w="3200"/>
            <w:vAlign w:val="center"/>
          </w:tcPr>
          <w:p>
            <w:r>
              <w:rPr>
                <w:b w:val="false"/>
                <w:bCs w:val="false"/>
                <w:sz w:val="18"/>
                <w:szCs w:val="18"/>
              </w:rPr>
              <w:t xml:space="preserve">Data validation: all user-supplied input on the report form shall be validated (required fields, maximum length, permitted characters) before it is persisted.</w:t>
            </w:r>
          </w:p>
        </w:tc>
        <w:tc>
          <w:tcPr>
            <w:tcW w:type="dxa" w:w="1300"/>
            <w:vAlign w:val="center"/>
          </w:tcPr>
          <w:p>
            <w:r>
              <w:rPr>
                <w:b w:val="false"/>
                <w:bCs w:val="false"/>
                <w:sz w:val="18"/>
                <w:szCs w:val="18"/>
              </w:rPr>
              <w:t xml:space="preserve">N03 / quality constraint</w:t>
            </w:r>
          </w:p>
        </w:tc>
        <w:tc>
          <w:tcPr>
            <w:tcW w:type="dxa" w:w="3826"/>
            <w:vAlign w:val="center"/>
          </w:tcPr>
          <w:p>
            <w:r>
              <w:rPr>
                <w:b w:val="false"/>
                <w:bCs w:val="false"/>
                <w:sz w:val="18"/>
                <w:szCs w:val="18"/>
              </w:rPr>
              <w:t xml:space="preserve">Submitting invalid input (empty required field, over-length text, disallowed characters) is rejected with an explanatory message and no record is created.</w:t>
            </w:r>
          </w:p>
        </w:tc>
      </w:tr>
      <w:tr>
        <w:tc>
          <w:tcPr>
            <w:tcW w:type="dxa" w:w="700"/>
            <w:vAlign w:val="center"/>
          </w:tcPr>
          <w:p>
            <w:r>
              <w:rPr>
                <w:b w:val="false"/>
                <w:bCs w:val="false"/>
                <w:sz w:val="18"/>
                <w:szCs w:val="18"/>
              </w:rPr>
              <w:t xml:space="preserve">NFR-06</w:t>
            </w:r>
          </w:p>
        </w:tc>
        <w:tc>
          <w:tcPr>
            <w:tcW w:type="dxa" w:w="3200"/>
            <w:vAlign w:val="center"/>
          </w:tcPr>
          <w:p>
            <w:r>
              <w:rPr>
                <w:b w:val="false"/>
                <w:bCs w:val="false"/>
                <w:sz w:val="18"/>
                <w:szCs w:val="18"/>
              </w:rPr>
              <w:t xml:space="preserve">Scalability: the system shall support at least 100 registered users and 500 stored reports without more than a 20% increase in average response time.</w:t>
            </w:r>
          </w:p>
        </w:tc>
        <w:tc>
          <w:tcPr>
            <w:tcW w:type="dxa" w:w="1300"/>
            <w:vAlign w:val="center"/>
          </w:tcPr>
          <w:p>
            <w:r>
              <w:rPr>
                <w:b w:val="false"/>
                <w:bCs w:val="false"/>
                <w:sz w:val="18"/>
                <w:szCs w:val="18"/>
              </w:rPr>
              <w:t xml:space="preserve">N07 / cost-resource constraint</w:t>
            </w:r>
          </w:p>
        </w:tc>
        <w:tc>
          <w:tcPr>
            <w:tcW w:type="dxa" w:w="3826"/>
            <w:vAlign w:val="center"/>
          </w:tcPr>
          <w:p>
            <w:r>
              <w:rPr>
                <w:b w:val="false"/>
                <w:bCs w:val="false"/>
                <w:sz w:val="18"/>
                <w:szCs w:val="18"/>
              </w:rPr>
              <w:t xml:space="preserve">Volume test with 100 users / 500 reports shows response-time degradation ≤20% versus baseline.</w:t>
            </w:r>
          </w:p>
        </w:tc>
      </w:tr>
    </w:tbl>
    <w:p>
      <w:pPr>
        <w:pStyle w:val="Heading1"/>
        <w:spacing w:after="120" w:before="240"/>
      </w:pPr>
      <w:r>
        <w:t xml:space="preserve">3. Constraints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c>
          <w:tcPr>
            <w:tcW w:type="dxa" w:w="1400"/>
            <w:shd w:fill="D9E2F3" w:val="clear"/>
            <w:vAlign w:val="center"/>
          </w:tcPr>
          <w:p>
            <w:r>
              <w:rPr>
                <w:b/>
                <w:bCs/>
                <w:sz w:val="18"/>
                <w:szCs w:val="18"/>
              </w:rPr>
              <w:t xml:space="preserve">Category</w:t>
            </w:r>
          </w:p>
        </w:tc>
        <w:tc>
          <w:tcPr>
            <w:tcW w:type="dxa" w:w="3300"/>
            <w:shd w:fill="D9E2F3" w:val="clear"/>
            <w:vAlign w:val="center"/>
          </w:tcPr>
          <w:p>
            <w:r>
              <w:rPr>
                <w:b/>
                <w:bCs/>
                <w:sz w:val="18"/>
                <w:szCs w:val="18"/>
              </w:rPr>
              <w:t xml:space="preserve">Constraint</w:t>
            </w:r>
          </w:p>
        </w:tc>
        <w:tc>
          <w:tcPr>
            <w:tcW w:type="dxa" w:w="4326"/>
            <w:shd w:fill="D9E2F3" w:val="clear"/>
            <w:vAlign w:val="center"/>
          </w:tcPr>
          <w:p>
            <w:r>
              <w:rPr>
                <w:b/>
                <w:bCs/>
                <w:sz w:val="18"/>
                <w:szCs w:val="18"/>
              </w:rPr>
              <w:t xml:space="preserve">Engineering implication</w:t>
            </w:r>
          </w:p>
        </w:tc>
      </w:tr>
      <w:tr>
        <w:tc>
          <w:tcPr>
            <w:tcW w:type="dxa" w:w="1400"/>
            <w:vAlign w:val="center"/>
          </w:tcPr>
          <w:p>
            <w:r>
              <w:rPr>
                <w:b w:val="false"/>
                <w:bCs w:val="false"/>
                <w:sz w:val="18"/>
                <w:szCs w:val="18"/>
              </w:rPr>
              <w:t xml:space="preserve">Scope</w:t>
            </w:r>
          </w:p>
        </w:tc>
        <w:tc>
          <w:tcPr>
            <w:tcW w:type="dxa" w:w="3300"/>
            <w:vAlign w:val="center"/>
          </w:tcPr>
          <w:p>
            <w:r>
              <w:rPr>
                <w:b w:val="false"/>
                <w:bCs w:val="false"/>
                <w:sz w:val="18"/>
                <w:szCs w:val="18"/>
              </w:rPr>
              <w:t xml:space="preserve">M1 explicitly excludes final architecture, technology-stack selection and a native mobile application (per Person 1's OUT-01, Section 5 of the M1 brief).</w:t>
            </w:r>
          </w:p>
        </w:tc>
        <w:tc>
          <w:tcPr>
            <w:tcW w:type="dxa" w:w="4326"/>
            <w:vAlign w:val="center"/>
          </w:tcPr>
          <w:p>
            <w:r>
              <w:rPr>
                <w:b w:val="false"/>
                <w:bCs w:val="false"/>
                <w:sz w:val="18"/>
                <w:szCs w:val="18"/>
              </w:rPr>
              <w:t xml:space="preserve">FRs and NFRs above are written in capability/behaviour terms rather than referencing a specific technology, so the baseline does not prematurely commit the team to an implementation before M2.</w:t>
            </w:r>
          </w:p>
        </w:tc>
      </w:tr>
      <w:tr>
        <w:tc>
          <w:tcPr>
            <w:tcW w:type="dxa" w:w="1400"/>
            <w:vAlign w:val="center"/>
          </w:tcPr>
          <w:p>
            <w:r>
              <w:rPr>
                <w:b w:val="false"/>
                <w:bCs w:val="false"/>
                <w:sz w:val="18"/>
                <w:szCs w:val="18"/>
              </w:rPr>
              <w:t xml:space="preserve">Schedule</w:t>
            </w:r>
          </w:p>
        </w:tc>
        <w:tc>
          <w:tcPr>
            <w:tcW w:type="dxa" w:w="3300"/>
            <w:vAlign w:val="center"/>
          </w:tcPr>
          <w:p>
            <w:r>
              <w:rPr>
                <w:b w:val="false"/>
                <w:bCs w:val="false"/>
                <w:sz w:val="18"/>
                <w:szCs w:val="18"/>
              </w:rPr>
              <w:t xml:space="preserve">The project runs on a fixed academic milestone schedule (M1–M4) with no flexibility to extend the M1 deadline.</w:t>
            </w:r>
          </w:p>
        </w:tc>
        <w:tc>
          <w:tcPr>
            <w:tcW w:type="dxa" w:w="4326"/>
            <w:vAlign w:val="center"/>
          </w:tcPr>
          <w:p>
            <w:r>
              <w:rPr>
                <w:b w:val="false"/>
                <w:bCs w:val="false"/>
                <w:sz w:val="18"/>
                <w:szCs w:val="18"/>
              </w:rPr>
              <w:t xml:space="preserve">Requirements are prioritised (Must/Should/Could) so the Must items (FR-01–FR-05, FR-07, FR-08, all NFRs) remain achievable even if Should/Could items are trimmed later; full security verification (e.g. penetration testing) is deferred rather than attempted now.</w:t>
            </w:r>
          </w:p>
        </w:tc>
      </w:tr>
      <w:tr>
        <w:tc>
          <w:tcPr>
            <w:tcW w:type="dxa" w:w="1400"/>
            <w:vAlign w:val="center"/>
          </w:tcPr>
          <w:p>
            <w:r>
              <w:rPr>
                <w:b w:val="false"/>
                <w:bCs w:val="false"/>
                <w:sz w:val="18"/>
                <w:szCs w:val="18"/>
              </w:rPr>
              <w:t xml:space="preserve">Cost / Resources</w:t>
            </w:r>
          </w:p>
        </w:tc>
        <w:tc>
          <w:tcPr>
            <w:tcW w:type="dxa" w:w="3300"/>
            <w:vAlign w:val="center"/>
          </w:tcPr>
          <w:p>
            <w:r>
              <w:rPr>
                <w:b w:val="false"/>
                <w:bCs w:val="false"/>
                <w:sz w:val="18"/>
                <w:szCs w:val="18"/>
              </w:rPr>
              <w:t xml:space="preserve">The team consists of three students with no dedicated infrastructure budget; any hosting will be free-tier or low-cost.</w:t>
            </w:r>
          </w:p>
        </w:tc>
        <w:tc>
          <w:tcPr>
            <w:tcW w:type="dxa" w:w="4326"/>
            <w:vAlign w:val="center"/>
          </w:tcPr>
          <w:p>
            <w:r>
              <w:rPr>
                <w:b w:val="false"/>
                <w:bCs w:val="false"/>
                <w:sz w:val="18"/>
                <w:szCs w:val="18"/>
              </w:rPr>
              <w:t xml:space="preserve">NFR-04 and NFR-06 are set at pilot-appropriate levels (99% availability, 100 users / 500 reports) rather than enterprise-scale targets, and administrative tooling (FR-09) is kept minimal.</w:t>
            </w:r>
          </w:p>
        </w:tc>
      </w:tr>
      <w:tr>
        <w:tc>
          <w:tcPr>
            <w:tcW w:type="dxa" w:w="1400"/>
            <w:vAlign w:val="center"/>
          </w:tcPr>
          <w:p>
            <w:r>
              <w:rPr>
                <w:b w:val="false"/>
                <w:bCs w:val="false"/>
                <w:sz w:val="18"/>
                <w:szCs w:val="18"/>
              </w:rPr>
              <w:t xml:space="preserve">Quality</w:t>
            </w:r>
          </w:p>
        </w:tc>
        <w:tc>
          <w:tcPr>
            <w:tcW w:type="dxa" w:w="3300"/>
            <w:vAlign w:val="center"/>
          </w:tcPr>
          <w:p>
            <w:r>
              <w:rPr>
                <w:b w:val="false"/>
                <w:bCs w:val="false"/>
                <w:sz w:val="18"/>
                <w:szCs w:val="18"/>
              </w:rPr>
              <w:t xml:space="preserve">The M1 rubric requires requirements to be traceable and testable, not merely descriptive.</w:t>
            </w:r>
          </w:p>
        </w:tc>
        <w:tc>
          <w:tcPr>
            <w:tcW w:type="dxa" w:w="4326"/>
            <w:vAlign w:val="center"/>
          </w:tcPr>
          <w:p>
            <w:r>
              <w:rPr>
                <w:b w:val="false"/>
                <w:bCs w:val="false"/>
                <w:sz w:val="18"/>
                <w:szCs w:val="18"/>
              </w:rPr>
              <w:t xml:space="preserve">Every FR/NFR above carries a unique ID, a source, and measurable acceptance criteria; ambiguous or unverifiable requirements are not admitted into the baseline.</w:t>
            </w:r>
          </w:p>
        </w:tc>
      </w:tr>
      <w:tr>
        <w:tc>
          <w:tcPr>
            <w:tcW w:type="dxa" w:w="1400"/>
            <w:vAlign w:val="center"/>
          </w:tcPr>
          <w:p>
            <w:r>
              <w:rPr>
                <w:b w:val="false"/>
                <w:bCs w:val="false"/>
                <w:sz w:val="18"/>
                <w:szCs w:val="18"/>
              </w:rPr>
              <w:t xml:space="preserve">Security</w:t>
            </w:r>
          </w:p>
        </w:tc>
        <w:tc>
          <w:tcPr>
            <w:tcW w:type="dxa" w:w="3300"/>
            <w:vAlign w:val="center"/>
          </w:tcPr>
          <w:p>
            <w:r>
              <w:rPr>
                <w:b w:val="false"/>
                <w:bCs w:val="false"/>
                <w:sz w:val="18"/>
                <w:szCs w:val="18"/>
              </w:rPr>
              <w:t xml:space="preserve">Reports may contain personal or location information; Person 1's stakeholder conflict 2 (transparency vs. protection) directly affects what can be safely exposed.</w:t>
            </w:r>
          </w:p>
        </w:tc>
        <w:tc>
          <w:tcPr>
            <w:tcW w:type="dxa" w:w="4326"/>
            <w:vAlign w:val="center"/>
          </w:tcPr>
          <w:p>
            <w:r>
              <w:rPr>
                <w:b w:val="false"/>
                <w:bCs w:val="false"/>
                <w:sz w:val="18"/>
                <w:szCs w:val="18"/>
              </w:rPr>
              <w:t xml:space="preserve">Baseline authentication and role-based access (FR-07, FR-08, NFR-03) are treated as Must even though the detailed privacy/data-classification model (DEF-01) is deferred to a joint Person 2 / Person 3 decision, consistent with OWASP baseline authentication guidance (OWASP Foundation, n.d.).</w:t>
            </w:r>
          </w:p>
        </w:tc>
      </w:tr>
    </w:tbl>
    <w:p>
      <w:pPr>
        <w:pStyle w:val="Heading2"/>
        <w:spacing w:after="120" w:before="240"/>
      </w:pPr>
      <w:r>
        <w:t xml:space="preserve">3.1 Trade-off / Ripple Effect</w:t>
      </w:r>
    </w:p>
    <w:p>
      <w:pPr>
        <w:spacing w:after="120"/>
      </w:pPr>
      <w:r>
        <w:t xml:space="preserve">Interaction identified: the schedule constraint and the security constraint interact directly. Because the academic schedule does not allow time in M1 to design and implement the full privacy and data-classification model that Person 1's transparency-vs-security conflict calls for, the team cannot deliver DEF-01 within this milestone.</w:t>
      </w:r>
    </w:p>
    <w:p>
      <w:pPr>
        <w:spacing w:after="120"/>
      </w:pPr>
      <w:r>
        <w:t xml:space="preserve">Resulting trade-off: the M1 baseline commits only to coarse-grained controls — authentication (FR-07) and role-based access (FR-08, NFR-03) — rather than field-level data classification. This is an accepted interim position, not an oversight, and is reflected as a live item in Person 3's Risk Register and in FE-01 below.</w:t>
      </w:r>
    </w:p>
    <w:p>
      <w:pPr>
        <w:spacing w:after="120"/>
      </w:pPr>
      <w:r>
        <w:t xml:space="preserve">Ripple effect: if the schedule constraint were relaxed, the security baseline could be strengthened before construction begins. Since it will not be, the fine-grained privacy model in DEF-01 must instead be resolved through a controlled requirements-refinement cycle before the affected FRs (FR-02, FR-04) are extended in a later milestone, rather than being absorbed as "extra" development time now.</w:t>
      </w:r>
    </w:p>
    <w:p>
      <w:pPr>
        <w:pStyle w:val="Heading1"/>
        <w:spacing w:after="120" w:before="240"/>
      </w:pPr>
      <w:r>
        <w:t xml:space="preserve">4. Requirements Traceability Matrix (RTM)</w:t>
      </w:r>
    </w:p>
    <w:p>
      <w:pPr>
        <w:spacing w:after="120"/>
      </w:pPr>
      <w:r>
        <w:t xml:space="preserve">The RTM is maintained as a live artefact in the team repository and extended with design, test and release evidence in later milestones. It is reproduced here at its current (M1)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900"/>
        <w:gridCol w:w="2700"/>
        <w:gridCol w:w="2126"/>
      </w:tblGrid>
      <w:tr>
        <w:tc>
          <w:tcPr>
            <w:tcW w:type="dxa" w:w="2100"/>
            <w:shd w:fill="D9E2F3" w:val="clear"/>
            <w:vAlign w:val="center"/>
          </w:tcPr>
          <w:p>
            <w:r>
              <w:rPr>
                <w:b/>
                <w:bCs/>
                <w:sz w:val="18"/>
                <w:szCs w:val="18"/>
              </w:rPr>
              <w:t xml:space="preserve">Source (Stakeholder / Need)</w:t>
            </w:r>
          </w:p>
        </w:tc>
        <w:tc>
          <w:tcPr>
            <w:tcW w:type="dxa" w:w="1200"/>
            <w:shd w:fill="D9E2F3" w:val="clear"/>
            <w:vAlign w:val="center"/>
          </w:tcPr>
          <w:p>
            <w:r>
              <w:rPr>
                <w:b/>
                <w:bCs/>
                <w:sz w:val="18"/>
                <w:szCs w:val="18"/>
              </w:rPr>
              <w:t xml:space="preserve">Requirement ID</w:t>
            </w:r>
          </w:p>
        </w:tc>
        <w:tc>
          <w:tcPr>
            <w:tcW w:type="dxa" w:w="900"/>
            <w:shd w:fill="D9E2F3" w:val="clear"/>
            <w:vAlign w:val="center"/>
          </w:tcPr>
          <w:p>
            <w:r>
              <w:rPr>
                <w:b/>
                <w:bCs/>
                <w:sz w:val="18"/>
                <w:szCs w:val="18"/>
              </w:rPr>
              <w:t xml:space="preserve">Priority</w:t>
            </w:r>
          </w:p>
        </w:tc>
        <w:tc>
          <w:tcPr>
            <w:tcW w:type="dxa" w:w="2700"/>
            <w:shd w:fill="D9E2F3" w:val="clear"/>
            <w:vAlign w:val="center"/>
          </w:tcPr>
          <w:p>
            <w:r>
              <w:rPr>
                <w:b/>
                <w:bCs/>
                <w:sz w:val="18"/>
                <w:szCs w:val="18"/>
              </w:rPr>
              <w:t xml:space="preserve">Acceptance Criteria (summary)</w:t>
            </w:r>
          </w:p>
        </w:tc>
        <w:tc>
          <w:tcPr>
            <w:tcW w:type="dxa" w:w="2126"/>
            <w:shd w:fill="D9E2F3" w:val="clear"/>
            <w:vAlign w:val="center"/>
          </w:tcPr>
          <w:p>
            <w:r>
              <w:rPr>
                <w:b/>
                <w:bCs/>
                <w:sz w:val="18"/>
                <w:szCs w:val="18"/>
              </w:rPr>
              <w:t xml:space="preserve">Future evidence (M2+)</w:t>
            </w:r>
          </w:p>
        </w:tc>
      </w:tr>
      <w:tr>
        <w:tc>
          <w:tcPr>
            <w:tcW w:type="dxa" w:w="2100"/>
            <w:vAlign w:val="center"/>
          </w:tcPr>
          <w:p>
            <w:r>
              <w:rPr>
                <w:b w:val="false"/>
                <w:bCs w:val="false"/>
                <w:sz w:val="18"/>
                <w:szCs w:val="18"/>
              </w:rPr>
              <w:t xml:space="preserve">S01 Citizens / N01</w:t>
            </w:r>
          </w:p>
        </w:tc>
        <w:tc>
          <w:tcPr>
            <w:tcW w:type="dxa" w:w="1200"/>
            <w:vAlign w:val="center"/>
          </w:tcPr>
          <w:p>
            <w:r>
              <w:rPr>
                <w:b w:val="false"/>
                <w:bCs w:val="false"/>
                <w:sz w:val="18"/>
                <w:szCs w:val="18"/>
              </w:rPr>
              <w:t xml:space="preserve">FR-01</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Confirmed submission with reference number</w:t>
            </w:r>
          </w:p>
        </w:tc>
        <w:tc>
          <w:tcPr>
            <w:tcW w:type="dxa" w:w="2126"/>
            <w:vAlign w:val="center"/>
          </w:tcPr>
          <w:p>
            <w:r>
              <w:rPr>
                <w:b w:val="false"/>
                <w:bCs w:val="false"/>
                <w:sz w:val="18"/>
                <w:szCs w:val="18"/>
              </w:rPr>
              <w:t xml:space="preserve">Design: wireframe; Test: TC-01</w:t>
            </w:r>
          </w:p>
        </w:tc>
      </w:tr>
      <w:tr>
        <w:tc>
          <w:tcPr>
            <w:tcW w:type="dxa" w:w="2100"/>
            <w:vAlign w:val="center"/>
          </w:tcPr>
          <w:p>
            <w:r>
              <w:rPr>
                <w:b w:val="false"/>
                <w:bCs w:val="false"/>
                <w:sz w:val="18"/>
                <w:szCs w:val="18"/>
              </w:rPr>
              <w:t xml:space="preserve">S02 Civic Personnel / N03</w:t>
            </w:r>
          </w:p>
        </w:tc>
        <w:tc>
          <w:tcPr>
            <w:tcW w:type="dxa" w:w="1200"/>
            <w:vAlign w:val="center"/>
          </w:tcPr>
          <w:p>
            <w:r>
              <w:rPr>
                <w:b w:val="false"/>
                <w:bCs w:val="false"/>
                <w:sz w:val="18"/>
                <w:szCs w:val="18"/>
              </w:rPr>
              <w:t xml:space="preserve">FR-02</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Required fields enforced, missing fields flagged</w:t>
            </w:r>
          </w:p>
        </w:tc>
        <w:tc>
          <w:tcPr>
            <w:tcW w:type="dxa" w:w="2126"/>
            <w:vAlign w:val="center"/>
          </w:tcPr>
          <w:p>
            <w:r>
              <w:rPr>
                <w:b w:val="false"/>
                <w:bCs w:val="false"/>
                <w:sz w:val="18"/>
                <w:szCs w:val="18"/>
              </w:rPr>
              <w:t xml:space="preserve">Design: form schema; Test: TC-02</w:t>
            </w:r>
          </w:p>
        </w:tc>
      </w:tr>
      <w:tr>
        <w:tc>
          <w:tcPr>
            <w:tcW w:type="dxa" w:w="2100"/>
            <w:vAlign w:val="center"/>
          </w:tcPr>
          <w:p>
            <w:r>
              <w:rPr>
                <w:b w:val="false"/>
                <w:bCs w:val="false"/>
                <w:sz w:val="18"/>
                <w:szCs w:val="18"/>
              </w:rPr>
              <w:t xml:space="preserve">S01 Citizens / N02</w:t>
            </w:r>
          </w:p>
        </w:tc>
        <w:tc>
          <w:tcPr>
            <w:tcW w:type="dxa" w:w="1200"/>
            <w:vAlign w:val="center"/>
          </w:tcPr>
          <w:p>
            <w:r>
              <w:rPr>
                <w:b w:val="false"/>
                <w:bCs w:val="false"/>
                <w:sz w:val="18"/>
                <w:szCs w:val="18"/>
              </w:rPr>
              <w:t xml:space="preserve">FR-03</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On-screen confirmation ≤2s</w:t>
            </w:r>
          </w:p>
        </w:tc>
        <w:tc>
          <w:tcPr>
            <w:tcW w:type="dxa" w:w="2126"/>
            <w:vAlign w:val="center"/>
          </w:tcPr>
          <w:p>
            <w:r>
              <w:rPr>
                <w:b w:val="false"/>
                <w:bCs w:val="false"/>
                <w:sz w:val="18"/>
                <w:szCs w:val="18"/>
              </w:rPr>
              <w:t xml:space="preserve">Test: TC-03 (performance)</w:t>
            </w:r>
          </w:p>
        </w:tc>
      </w:tr>
      <w:tr>
        <w:tc>
          <w:tcPr>
            <w:tcW w:type="dxa" w:w="2100"/>
            <w:vAlign w:val="center"/>
          </w:tcPr>
          <w:p>
            <w:r>
              <w:rPr>
                <w:b w:val="false"/>
                <w:bCs w:val="false"/>
                <w:sz w:val="18"/>
                <w:szCs w:val="18"/>
              </w:rPr>
              <w:t xml:space="preserve">S01 Citizens / N02</w:t>
            </w:r>
          </w:p>
        </w:tc>
        <w:tc>
          <w:tcPr>
            <w:tcW w:type="dxa" w:w="1200"/>
            <w:vAlign w:val="center"/>
          </w:tcPr>
          <w:p>
            <w:r>
              <w:rPr>
                <w:b w:val="false"/>
                <w:bCs w:val="false"/>
                <w:sz w:val="18"/>
                <w:szCs w:val="18"/>
              </w:rPr>
              <w:t xml:space="preserve">FR-04</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Status + last-updated date retrievable</w:t>
            </w:r>
          </w:p>
        </w:tc>
        <w:tc>
          <w:tcPr>
            <w:tcW w:type="dxa" w:w="2126"/>
            <w:vAlign w:val="center"/>
          </w:tcPr>
          <w:p>
            <w:r>
              <w:rPr>
                <w:b w:val="false"/>
                <w:bCs w:val="false"/>
                <w:sz w:val="18"/>
                <w:szCs w:val="18"/>
              </w:rPr>
              <w:t xml:space="preserve">Design: status API; Test: TC-04</w:t>
            </w:r>
          </w:p>
        </w:tc>
      </w:tr>
      <w:tr>
        <w:tc>
          <w:tcPr>
            <w:tcW w:type="dxa" w:w="2100"/>
            <w:vAlign w:val="center"/>
          </w:tcPr>
          <w:p>
            <w:r>
              <w:rPr>
                <w:b w:val="false"/>
                <w:bCs w:val="false"/>
                <w:sz w:val="18"/>
                <w:szCs w:val="18"/>
              </w:rPr>
              <w:t xml:space="preserve">S02 Civic Personnel / N04</w:t>
            </w:r>
          </w:p>
        </w:tc>
        <w:tc>
          <w:tcPr>
            <w:tcW w:type="dxa" w:w="1200"/>
            <w:vAlign w:val="center"/>
          </w:tcPr>
          <w:p>
            <w:r>
              <w:rPr>
                <w:b w:val="false"/>
                <w:bCs w:val="false"/>
                <w:sz w:val="18"/>
                <w:szCs w:val="18"/>
              </w:rPr>
              <w:t xml:space="preserve">FR-05</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Valid transitions only, timestamped</w:t>
            </w:r>
          </w:p>
        </w:tc>
        <w:tc>
          <w:tcPr>
            <w:tcW w:type="dxa" w:w="2126"/>
            <w:vAlign w:val="center"/>
          </w:tcPr>
          <w:p>
            <w:r>
              <w:rPr>
                <w:b w:val="false"/>
                <w:bCs w:val="false"/>
                <w:sz w:val="18"/>
                <w:szCs w:val="18"/>
              </w:rPr>
              <w:t xml:space="preserve">Design: state machine; Test: TC-05</w:t>
            </w:r>
          </w:p>
        </w:tc>
      </w:tr>
      <w:tr>
        <w:tc>
          <w:tcPr>
            <w:tcW w:type="dxa" w:w="2100"/>
            <w:vAlign w:val="center"/>
          </w:tcPr>
          <w:p>
            <w:r>
              <w:rPr>
                <w:b w:val="false"/>
                <w:bCs w:val="false"/>
                <w:sz w:val="18"/>
                <w:szCs w:val="18"/>
              </w:rPr>
              <w:t xml:space="preserve">S02 Civic Personnel / N04</w:t>
            </w:r>
          </w:p>
        </w:tc>
        <w:tc>
          <w:tcPr>
            <w:tcW w:type="dxa" w:w="1200"/>
            <w:vAlign w:val="center"/>
          </w:tcPr>
          <w:p>
            <w:r>
              <w:rPr>
                <w:b w:val="false"/>
                <w:bCs w:val="false"/>
                <w:sz w:val="18"/>
                <w:szCs w:val="18"/>
              </w:rPr>
              <w:t xml:space="preserve">FR-06</w:t>
            </w:r>
          </w:p>
        </w:tc>
        <w:tc>
          <w:tcPr>
            <w:tcW w:type="dxa" w:w="900"/>
            <w:vAlign w:val="center"/>
          </w:tcPr>
          <w:p>
            <w:r>
              <w:rPr>
                <w:b w:val="false"/>
                <w:bCs w:val="false"/>
                <w:sz w:val="18"/>
                <w:szCs w:val="18"/>
              </w:rPr>
              <w:t xml:space="preserve">Should</w:t>
            </w:r>
          </w:p>
        </w:tc>
        <w:tc>
          <w:tcPr>
            <w:tcW w:type="dxa" w:w="2700"/>
            <w:vAlign w:val="center"/>
          </w:tcPr>
          <w:p>
            <w:r>
              <w:rPr>
                <w:b w:val="false"/>
                <w:bCs w:val="false"/>
                <w:sz w:val="18"/>
                <w:szCs w:val="18"/>
              </w:rPr>
              <w:t xml:space="preserve">Filter/sort within 3s</w:t>
            </w:r>
          </w:p>
        </w:tc>
        <w:tc>
          <w:tcPr>
            <w:tcW w:type="dxa" w:w="2126"/>
            <w:vAlign w:val="center"/>
          </w:tcPr>
          <w:p>
            <w:r>
              <w:rPr>
                <w:b w:val="false"/>
                <w:bCs w:val="false"/>
                <w:sz w:val="18"/>
                <w:szCs w:val="18"/>
              </w:rPr>
              <w:t xml:space="preserve">Test: TC-06</w:t>
            </w:r>
          </w:p>
        </w:tc>
      </w:tr>
      <w:tr>
        <w:tc>
          <w:tcPr>
            <w:tcW w:type="dxa" w:w="2100"/>
            <w:vAlign w:val="center"/>
          </w:tcPr>
          <w:p>
            <w:r>
              <w:rPr>
                <w:b w:val="false"/>
                <w:bCs w:val="false"/>
                <w:sz w:val="18"/>
                <w:szCs w:val="18"/>
              </w:rPr>
              <w:t xml:space="preserve">S01/S04 / N01, N06</w:t>
            </w:r>
          </w:p>
        </w:tc>
        <w:tc>
          <w:tcPr>
            <w:tcW w:type="dxa" w:w="1200"/>
            <w:vAlign w:val="center"/>
          </w:tcPr>
          <w:p>
            <w:r>
              <w:rPr>
                <w:b w:val="false"/>
                <w:bCs w:val="false"/>
                <w:sz w:val="18"/>
                <w:szCs w:val="18"/>
              </w:rPr>
              <w:t xml:space="preserve">FR-07</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Registration &amp; login behave as specified</w:t>
            </w:r>
          </w:p>
        </w:tc>
        <w:tc>
          <w:tcPr>
            <w:tcW w:type="dxa" w:w="2126"/>
            <w:vAlign w:val="center"/>
          </w:tcPr>
          <w:p>
            <w:r>
              <w:rPr>
                <w:b w:val="false"/>
                <w:bCs w:val="false"/>
                <w:sz w:val="18"/>
                <w:szCs w:val="18"/>
              </w:rPr>
              <w:t xml:space="preserve">Design: auth flow; Test: TC-07</w:t>
            </w:r>
          </w:p>
        </w:tc>
      </w:tr>
      <w:tr>
        <w:tc>
          <w:tcPr>
            <w:tcW w:type="dxa" w:w="2100"/>
            <w:vAlign w:val="center"/>
          </w:tcPr>
          <w:p>
            <w:r>
              <w:rPr>
                <w:b w:val="false"/>
                <w:bCs w:val="false"/>
                <w:sz w:val="18"/>
                <w:szCs w:val="18"/>
              </w:rPr>
              <w:t xml:space="preserve">S04 Administrators / N06</w:t>
            </w:r>
          </w:p>
        </w:tc>
        <w:tc>
          <w:tcPr>
            <w:tcW w:type="dxa" w:w="1200"/>
            <w:vAlign w:val="center"/>
          </w:tcPr>
          <w:p>
            <w:r>
              <w:rPr>
                <w:b w:val="false"/>
                <w:bCs w:val="false"/>
                <w:sz w:val="18"/>
                <w:szCs w:val="18"/>
              </w:rPr>
              <w:t xml:space="preserve">FR-08</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Non-authorised roles denied access</w:t>
            </w:r>
          </w:p>
        </w:tc>
        <w:tc>
          <w:tcPr>
            <w:tcW w:type="dxa" w:w="2126"/>
            <w:vAlign w:val="center"/>
          </w:tcPr>
          <w:p>
            <w:r>
              <w:rPr>
                <w:b w:val="false"/>
                <w:bCs w:val="false"/>
                <w:sz w:val="18"/>
                <w:szCs w:val="18"/>
              </w:rPr>
              <w:t xml:space="preserve">Test: TC-08 (access control)</w:t>
            </w:r>
          </w:p>
        </w:tc>
      </w:tr>
      <w:tr>
        <w:tc>
          <w:tcPr>
            <w:tcW w:type="dxa" w:w="2100"/>
            <w:vAlign w:val="center"/>
          </w:tcPr>
          <w:p>
            <w:r>
              <w:rPr>
                <w:b w:val="false"/>
                <w:bCs w:val="false"/>
                <w:sz w:val="18"/>
                <w:szCs w:val="18"/>
              </w:rPr>
              <w:t xml:space="preserve">S04 Administrators / N06</w:t>
            </w:r>
          </w:p>
        </w:tc>
        <w:tc>
          <w:tcPr>
            <w:tcW w:type="dxa" w:w="1200"/>
            <w:vAlign w:val="center"/>
          </w:tcPr>
          <w:p>
            <w:r>
              <w:rPr>
                <w:b w:val="false"/>
                <w:bCs w:val="false"/>
                <w:sz w:val="18"/>
                <w:szCs w:val="18"/>
              </w:rPr>
              <w:t xml:space="preserve">FR-09</w:t>
            </w:r>
          </w:p>
        </w:tc>
        <w:tc>
          <w:tcPr>
            <w:tcW w:type="dxa" w:w="900"/>
            <w:vAlign w:val="center"/>
          </w:tcPr>
          <w:p>
            <w:r>
              <w:rPr>
                <w:b w:val="false"/>
                <w:bCs w:val="false"/>
                <w:sz w:val="18"/>
                <w:szCs w:val="18"/>
              </w:rPr>
              <w:t xml:space="preserve">Should</w:t>
            </w:r>
          </w:p>
        </w:tc>
        <w:tc>
          <w:tcPr>
            <w:tcW w:type="dxa" w:w="2700"/>
            <w:vAlign w:val="center"/>
          </w:tcPr>
          <w:p>
            <w:r>
              <w:rPr>
                <w:b w:val="false"/>
                <w:bCs w:val="false"/>
                <w:sz w:val="18"/>
                <w:szCs w:val="18"/>
              </w:rPr>
              <w:t xml:space="preserve">Role/status change takes effect next request</w:t>
            </w:r>
          </w:p>
        </w:tc>
        <w:tc>
          <w:tcPr>
            <w:tcW w:type="dxa" w:w="2126"/>
            <w:vAlign w:val="center"/>
          </w:tcPr>
          <w:p>
            <w:r>
              <w:rPr>
                <w:b w:val="false"/>
                <w:bCs w:val="false"/>
                <w:sz w:val="18"/>
                <w:szCs w:val="18"/>
              </w:rPr>
              <w:t xml:space="preserve">Test: TC-09</w:t>
            </w:r>
          </w:p>
        </w:tc>
      </w:tr>
      <w:tr>
        <w:tc>
          <w:tcPr>
            <w:tcW w:type="dxa" w:w="2100"/>
            <w:vAlign w:val="center"/>
          </w:tcPr>
          <w:p>
            <w:r>
              <w:rPr>
                <w:b w:val="false"/>
                <w:bCs w:val="false"/>
                <w:sz w:val="18"/>
                <w:szCs w:val="18"/>
              </w:rPr>
              <w:t xml:space="preserve">S01 Citizens / N02</w:t>
            </w:r>
          </w:p>
        </w:tc>
        <w:tc>
          <w:tcPr>
            <w:tcW w:type="dxa" w:w="1200"/>
            <w:vAlign w:val="center"/>
          </w:tcPr>
          <w:p>
            <w:r>
              <w:rPr>
                <w:b w:val="false"/>
                <w:bCs w:val="false"/>
                <w:sz w:val="18"/>
                <w:szCs w:val="18"/>
              </w:rPr>
              <w:t xml:space="preserve">FR-10</w:t>
            </w:r>
          </w:p>
        </w:tc>
        <w:tc>
          <w:tcPr>
            <w:tcW w:type="dxa" w:w="900"/>
            <w:vAlign w:val="center"/>
          </w:tcPr>
          <w:p>
            <w:r>
              <w:rPr>
                <w:b w:val="false"/>
                <w:bCs w:val="false"/>
                <w:sz w:val="18"/>
                <w:szCs w:val="18"/>
              </w:rPr>
              <w:t xml:space="preserve">Could</w:t>
            </w:r>
          </w:p>
        </w:tc>
        <w:tc>
          <w:tcPr>
            <w:tcW w:type="dxa" w:w="2700"/>
            <w:vAlign w:val="center"/>
          </w:tcPr>
          <w:p>
            <w:r>
              <w:rPr>
                <w:b w:val="false"/>
                <w:bCs w:val="false"/>
                <w:sz w:val="18"/>
                <w:szCs w:val="18"/>
              </w:rPr>
              <w:t xml:space="preserve">Email sent within 5 minutes of status change</w:t>
            </w:r>
          </w:p>
        </w:tc>
        <w:tc>
          <w:tcPr>
            <w:tcW w:type="dxa" w:w="2126"/>
            <w:vAlign w:val="center"/>
          </w:tcPr>
          <w:p>
            <w:r>
              <w:rPr>
                <w:b w:val="false"/>
                <w:bCs w:val="false"/>
                <w:sz w:val="18"/>
                <w:szCs w:val="18"/>
              </w:rPr>
              <w:t xml:space="preserve">Test: TC-10</w:t>
            </w:r>
          </w:p>
        </w:tc>
      </w:tr>
      <w:tr>
        <w:tc>
          <w:tcPr>
            <w:tcW w:type="dxa" w:w="2100"/>
            <w:vAlign w:val="center"/>
          </w:tcPr>
          <w:p>
            <w:r>
              <w:rPr>
                <w:b w:val="false"/>
                <w:bCs w:val="false"/>
                <w:sz w:val="18"/>
                <w:szCs w:val="18"/>
              </w:rPr>
              <w:t xml:space="preserve">Quality constraint</w:t>
            </w:r>
          </w:p>
        </w:tc>
        <w:tc>
          <w:tcPr>
            <w:tcW w:type="dxa" w:w="1200"/>
            <w:vAlign w:val="center"/>
          </w:tcPr>
          <w:p>
            <w:r>
              <w:rPr>
                <w:b w:val="false"/>
                <w:bCs w:val="false"/>
                <w:sz w:val="18"/>
                <w:szCs w:val="18"/>
              </w:rPr>
              <w:t xml:space="preserve">NFR-01 to NFR-06</w:t>
            </w:r>
          </w:p>
        </w:tc>
        <w:tc>
          <w:tcPr>
            <w:tcW w:type="dxa" w:w="900"/>
            <w:vAlign w:val="center"/>
          </w:tcPr>
          <w:p>
            <w:r>
              <w:rPr>
                <w:b w:val="false"/>
                <w:bCs w:val="false"/>
                <w:sz w:val="18"/>
                <w:szCs w:val="18"/>
              </w:rPr>
              <w:t xml:space="preserve">Must</w:t>
            </w:r>
          </w:p>
        </w:tc>
        <w:tc>
          <w:tcPr>
            <w:tcW w:type="dxa" w:w="2700"/>
            <w:vAlign w:val="center"/>
          </w:tcPr>
          <w:p>
            <w:r>
              <w:rPr>
                <w:b w:val="false"/>
                <w:bCs w:val="false"/>
                <w:sz w:val="18"/>
                <w:szCs w:val="18"/>
              </w:rPr>
              <w:t xml:space="preserve">See Section 2 acceptance criteria</w:t>
            </w:r>
          </w:p>
        </w:tc>
        <w:tc>
          <w:tcPr>
            <w:tcW w:type="dxa" w:w="2126"/>
            <w:vAlign w:val="center"/>
          </w:tcPr>
          <w:p>
            <w:r>
              <w:rPr>
                <w:b w:val="false"/>
                <w:bCs w:val="false"/>
                <w:sz w:val="18"/>
                <w:szCs w:val="18"/>
              </w:rPr>
              <w:t xml:space="preserve">Test: load/usability/security test plans</w:t>
            </w:r>
          </w:p>
        </w:tc>
      </w:tr>
    </w:tbl>
    <w:p>
      <w:pPr>
        <w:spacing w:after="120"/>
      </w:pPr>
      <w:r>
        <w:t xml:space="preserve">End-to-end trace example (for the defence): S01 (Citizens) → N01 (submit a civic issue through a clear process) → IN-01 (Person 1's in-scope reporting capability) → FR-01 (this section) → acceptance criteria above → to be extended with a design wireframe and test case TC-01 once M2 design work begins.</w:t>
      </w:r>
    </w:p>
    <w:p>
      <w:pPr>
        <w:pStyle w:val="Heading1"/>
        <w:spacing w:after="120" w:before="240"/>
      </w:pPr>
      <w:r>
        <w:t xml:space="preserve">5. Forward Engineering Considerations (Person 2 contribution)</w:t>
      </w:r>
    </w:p>
    <w:p>
      <w:pPr>
        <w:pStyle w:val="Heading2"/>
        <w:spacing w:after="120" w:before="240"/>
      </w:pPr>
      <w:r>
        <w:t xml:space="preserve">FE-03: Input Validation &amp; Data Integrity Consistency</w:t>
      </w:r>
    </w:p>
    <w:p>
      <w:pPr>
        <w:spacing w:after="120"/>
      </w:pPr>
      <w:r>
        <w:t xml:space="preserve">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pPr>
        <w:spacing w:after="120"/>
      </w:pPr>
      <w:r>
        <w:t xml:space="preserve">Later decision/activity influenced: database schema and field constraints, API-level validation design, and shared error-handling conventions.</w:t>
      </w:r>
    </w:p>
    <w:p>
      <w:pPr>
        <w:spacing w:after="120"/>
      </w:pPr>
      <w:r>
        <w:t xml:space="preserve">Information still required: the exact field-level rules — permitted issue categories, maximum field lengths, and which fields are mandatory versus optional — confirmed with civic personnel (S02).</w:t>
      </w:r>
    </w:p>
    <w:p>
      <w:pPr>
        <w:spacing w:after="120"/>
      </w:pPr>
      <w:r>
        <w:t xml:space="preserve">Risk if ignored: inconsistent or duplicated validation logic across the system, leading to data-quality problems and avoidable rework during construction and testing.</w:t>
      </w:r>
    </w:p>
    <w:p>
      <w:pPr>
        <w:pStyle w:val="Heading2"/>
        <w:spacing w:after="120" w:before="240"/>
      </w:pPr>
      <w:r>
        <w:t xml:space="preserve">FE-04: Scalability &amp; Performance Baseline Beyond the Pilot</w:t>
      </w:r>
    </w:p>
    <w:p>
      <w:pPr>
        <w:spacing w:after="120"/>
      </w:pPr>
      <w:r>
        <w:t xml:space="preserve">Why this matters now: NFR-01 and NFR-06 set pragmatic performance/scale targets because of the cost/resource constraint identified above. If CivicConnect were to grow beyond an academic pilot, the low-cost hosting assumption behind these NFRs may no longer hold.</w:t>
      </w:r>
    </w:p>
    <w:p>
      <w:pPr>
        <w:spacing w:after="120"/>
      </w:pPr>
      <w:r>
        <w:t xml:space="preserve">Later decision/activity influenced: hosting and deployment architecture, database indexing/scaling approach, and whether notification delivery (FR-10) should be synchronous or queued.</w:t>
      </w:r>
    </w:p>
    <w:p>
      <w:pPr>
        <w:spacing w:after="120"/>
      </w:pPr>
      <w:r>
        <w:t xml:space="preserve">Information still required: realistic expected user/report volume beyond the pilot, and any budget available for scaling infrastructure.</w:t>
      </w:r>
    </w:p>
    <w:p>
      <w:pPr>
        <w:spacing w:after="120"/>
      </w:pPr>
      <w:r>
        <w:t xml:space="preserve">Risk if ignored: performance NFRs baselined for a small pilot could become invalid after launch, forcing a costly re-architecture rather than incremental scaling.</w:t>
      </w:r>
    </w:p>
    <w:p>
      <w:pPr>
        <w:pStyle w:val="Heading1"/>
        <w:spacing w:after="120" w:before="240"/>
      </w:pPr>
      <w:r>
        <w:t xml:space="preserve">References</w:t>
      </w:r>
    </w:p>
    <w:p>
      <w:pPr>
        <w:spacing w:after="120"/>
      </w:pPr>
      <w:r>
        <w:t xml:space="preserve">International Organization for Standardization / International Electrotechnical Commission / Institute of Electrical and Electronics Engineers (ISO/IEC/IEEE). (2018). ISO/IEC/IEEE 29148:2018 — Systems and software engineering — Life cycle processes — Requirements engineering.</w:t>
      </w:r>
    </w:p>
    <w:p>
      <w:pPr>
        <w:spacing w:after="120"/>
      </w:pPr>
      <w:r>
        <w:t xml:space="preserve">OWASP Foundation. (n.d.). OWASP Application Security Verification Standard (ASVS).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2026-09-09T12:25:38.726Z</dcterms:created>
  <dcterms:modified xsi:type="dcterms:W3CDTF">2026-09-09T12:25:38.738Z</dcterms:modified>
</cp:coreProperties>
</file>

<file path=docProps/custom.xml><?xml version="1.0" encoding="utf-8"?>
<Properties xmlns="http://schemas.openxmlformats.org/officeDocument/2006/custom-properties" xmlns:vt="http://schemas.openxmlformats.org/officeDocument/2006/docPropsVTypes"/>
</file>