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졸업작품 제안서</w:t>
      </w:r>
    </w:p>
    <w:tbl>
      <w:tblPr>
        <w:tblW w:type="auto" w:w="0"/>
        <w:jc w:val="center"/>
        <w:tblLayout w:type="fixed"/>
        <w:tblLook w:firstColumn="1" w:firstRow="1" w:lastColumn="0" w:lastRow="0" w:noHBand="0" w:noVBand="1" w:val="04A0"/>
      </w:tblPr>
      <w:tblGrid>
        <w:gridCol w:w="2438"/>
        <w:gridCol w:w="2438"/>
        <w:gridCol w:w="2438"/>
        <w:gridCol w:w="2438"/>
      </w:tblGrid>
      <w:tr>
        <w:tc>
          <w:tcPr>
            <w:tcW w:type="dxa" w:w="1247"/>
            <w:tcBorders>
              <w:top w:val="single" w:sz="4" w:color="D9D9D9"/>
              <w:left w:val="single" w:sz="4" w:color="D9D9D9"/>
              <w:bottom w:val="single" w:sz="4" w:color="D9D9D9"/>
              <w:right w:val="single" w:sz="4" w:color="D9D9D9"/>
            </w:tcBorders>
            <w:tcMar>
              <w:top w:w="70" w:type="dxa"/>
              <w:start w:w="100" w:type="dxa"/>
              <w:bottom w:w="70" w:type="dxa"/>
              <w:end w:w="100" w:type="dxa"/>
            </w:tcMar>
            <w:vAlign w:val="center"/>
            <w:shd w:fill="E9EDF2"/>
          </w:tcPr>
          <w:p>
            <w:pPr>
              <w:spacing w:after="0" w:line="276" w:lineRule="auto"/>
            </w:pPr>
            <w:r/>
            <w:r>
              <w:rPr>
                <w:b/>
                <w:sz w:val="18"/>
              </w:rPr>
              <w:t>작품명</w:t>
            </w:r>
          </w:p>
        </w:tc>
        <w:tc>
          <w:tcPr>
            <w:tcW w:type="dxa" w:w="2976"/>
            <w:tcBorders>
              <w:top w:val="single" w:sz="4" w:color="D9D9D9"/>
              <w:left w:val="single" w:sz="4" w:color="D9D9D9"/>
              <w:bottom w:val="single" w:sz="4" w:color="D9D9D9"/>
              <w:right w:val="single" w:sz="4" w:color="D9D9D9"/>
            </w:tcBorders>
            <w:tcMar>
              <w:top w:w="70" w:type="dxa"/>
              <w:start w:w="100" w:type="dxa"/>
              <w:bottom w:w="70" w:type="dxa"/>
              <w:end w:w="100" w:type="dxa"/>
            </w:tcMar>
            <w:vAlign w:val="center"/>
          </w:tcPr>
          <w:p>
            <w:pPr>
              <w:spacing w:after="0" w:line="276" w:lineRule="auto"/>
            </w:pPr>
            <w:r/>
            <w:r>
              <w:rPr>
                <w:b w:val="0"/>
                <w:sz w:val="18"/>
              </w:rPr>
              <w:t>Air Spell Arena</w:t>
            </w:r>
          </w:p>
        </w:tc>
        <w:tc>
          <w:tcPr>
            <w:tcW w:type="dxa" w:w="1134"/>
            <w:tcBorders>
              <w:top w:val="single" w:sz="4" w:color="D9D9D9"/>
              <w:left w:val="single" w:sz="4" w:color="D9D9D9"/>
              <w:bottom w:val="single" w:sz="4" w:color="D9D9D9"/>
              <w:right w:val="single" w:sz="4" w:color="D9D9D9"/>
            </w:tcBorders>
            <w:tcMar>
              <w:top w:w="70" w:type="dxa"/>
              <w:start w:w="100" w:type="dxa"/>
              <w:bottom w:w="70" w:type="dxa"/>
              <w:end w:w="100" w:type="dxa"/>
            </w:tcMar>
            <w:vAlign w:val="center"/>
            <w:shd w:fill="E9EDF2"/>
          </w:tcPr>
          <w:p>
            <w:pPr>
              <w:spacing w:after="0" w:line="276" w:lineRule="auto"/>
            </w:pPr>
            <w:r/>
            <w:r>
              <w:rPr>
                <w:b/>
                <w:sz w:val="18"/>
              </w:rPr>
              <w:t>제출일자</w:t>
            </w:r>
          </w:p>
        </w:tc>
        <w:tc>
          <w:tcPr>
            <w:tcW w:type="dxa" w:w="4394"/>
            <w:tcBorders>
              <w:top w:val="single" w:sz="4" w:color="D9D9D9"/>
              <w:left w:val="single" w:sz="4" w:color="D9D9D9"/>
              <w:bottom w:val="single" w:sz="4" w:color="D9D9D9"/>
              <w:right w:val="single" w:sz="4" w:color="D9D9D9"/>
            </w:tcBorders>
            <w:tcMar>
              <w:top w:w="70" w:type="dxa"/>
              <w:start w:w="100" w:type="dxa"/>
              <w:bottom w:w="70" w:type="dxa"/>
              <w:end w:w="100" w:type="dxa"/>
            </w:tcMar>
            <w:vAlign w:val="center"/>
          </w:tcPr>
          <w:p>
            <w:pPr>
              <w:spacing w:after="0" w:line="276" w:lineRule="auto"/>
            </w:pPr>
            <w:r/>
            <w:r>
              <w:rPr>
                <w:b w:val="0"/>
                <w:sz w:val="18"/>
              </w:rPr>
            </w:r>
          </w:p>
        </w:tc>
      </w:tr>
      <w:tr>
        <w:tc>
          <w:tcPr>
            <w:tcW w:type="dxa" w:w="1247"/>
            <w:tcBorders>
              <w:top w:val="single" w:sz="4" w:color="D9D9D9"/>
              <w:left w:val="single" w:sz="4" w:color="D9D9D9"/>
              <w:bottom w:val="single" w:sz="4" w:color="D9D9D9"/>
              <w:right w:val="single" w:sz="4" w:color="D9D9D9"/>
            </w:tcBorders>
            <w:tcMar>
              <w:top w:w="70" w:type="dxa"/>
              <w:start w:w="100" w:type="dxa"/>
              <w:bottom w:w="70" w:type="dxa"/>
              <w:end w:w="100" w:type="dxa"/>
            </w:tcMar>
            <w:vAlign w:val="center"/>
            <w:shd w:fill="E9EDF2"/>
          </w:tcPr>
          <w:p>
            <w:pPr>
              <w:spacing w:after="0" w:line="276" w:lineRule="auto"/>
            </w:pPr>
            <w:r/>
            <w:r>
              <w:rPr>
                <w:b/>
                <w:sz w:val="18"/>
              </w:rPr>
              <w:t>팀 구성원</w:t>
            </w:r>
          </w:p>
        </w:tc>
        <w:tc>
          <w:tcPr>
            <w:tcW w:type="dxa" w:w="8504"/>
            <w:gridSpan w:val="3"/>
            <w:tcBorders>
              <w:top w:val="single" w:sz="4" w:color="D9D9D9"/>
              <w:left w:val="single" w:sz="4" w:color="D9D9D9"/>
              <w:bottom w:val="single" w:sz="4" w:color="D9D9D9"/>
              <w:right w:val="single" w:sz="4" w:color="D9D9D9"/>
            </w:tcBorders>
            <w:tcMar>
              <w:top w:w="70" w:type="dxa"/>
              <w:start w:w="100" w:type="dxa"/>
              <w:bottom w:w="70" w:type="dxa"/>
              <w:end w:w="100" w:type="dxa"/>
            </w:tcMar>
            <w:vAlign w:val="center"/>
          </w:tcPr>
          <w:p>
            <w:pPr>
              <w:spacing w:after="0" w:line="276" w:lineRule="auto"/>
            </w:pPr>
            <w:r/>
            <w:r>
              <w:rPr>
                <w:b w:val="0"/>
                <w:sz w:val="18"/>
              </w:rPr>
              <w:t>4학년 20201566 곽태원   ·   4학년 20231262 서지우   ·   4학년 20232798 딜푸자</w:t>
            </w:r>
          </w:p>
        </w:tc>
      </w:tr>
    </w:tbl>
    <w:p>
      <w:pPr>
        <w:pStyle w:val="Heading1"/>
      </w:pPr>
      <w:r>
        <w:t>작품 개요</w:t>
      </w:r>
    </w:p>
    <w:p>
      <w:r>
        <w:t>Air Spell Arena는 웹캠으로 손 모양·검지 궤적·얼굴 방향을 인식해 주문을 시전하고 보스의 공격을 피하는 1인칭 액션 게임입니다. 별도 동작 컨트롤러 없이 플레이할 수 있으며, 웹캠을 사용할 수 없을 때는 키보드 입력으로 기본 전투를 진행할 수 있습니다.</w:t>
      </w:r>
    </w:p>
    <w:p>
      <w:r>
        <w:t>정적 포즈와 동적 궤적을 결합한 주문, 연속 및 동시 양손 시전, 마나 관리와 원소 상성, 세 단계 보스 패턴을 핵심 경험으로 설계했습니다. 게임은 Python과 MediaPipe·OpenCV·Pygame을 사용하며 CPU 추론을 기본으로 합니다.</w:t>
      </w:r>
    </w:p>
    <w:p>
      <w:pPr>
        <w:pStyle w:val="Heading1"/>
      </w:pPr>
      <w:r>
        <w:t>주요 기능</w:t>
      </w:r>
    </w:p>
    <w:tbl>
      <w:tblPr>
        <w:tblW w:type="auto" w:w="0"/>
        <w:jc w:val="center"/>
        <w:tblLayout w:type="fixed"/>
        <w:tblLook w:firstColumn="1" w:firstRow="1" w:lastColumn="0" w:lastRow="0" w:noHBand="0" w:noVBand="1" w:val="04A0"/>
      </w:tblPr>
      <w:tblGrid>
        <w:gridCol w:w="1701"/>
        <w:gridCol w:w="7994"/>
      </w:tblGrid>
      <w:tr>
        <w:trPr>
          <w:cantSplit/>
        </w:trPr>
        <w:tc>
          <w:tcPr>
            <w:tcW w:type="dxa" w:w="1701"/>
            <w:shd w:fill="DCE8F4"/>
            <w:tcBorders>
              <w:top w:val="single" w:sz="4" w:color="D9D9D9"/>
              <w:left w:val="single" w:sz="4" w:color="D9D9D9"/>
              <w:bottom w:val="single" w:sz="4" w:color="D9D9D9"/>
              <w:right w:val="single" w:sz="4" w:color="D9D9D9"/>
            </w:tcBorders>
            <w:tcMar>
              <w:top w:w="80" w:type="dxa"/>
              <w:start w:w="100" w:type="dxa"/>
              <w:bottom w:w="80" w:type="dxa"/>
              <w:end w:w="100" w:type="dxa"/>
            </w:tcMar>
            <w:vAlign w:val="center"/>
          </w:tcPr>
          <w:p>
            <w:pPr>
              <w:spacing w:after="0" w:line="276" w:lineRule="auto"/>
            </w:pPr>
            <w:r/>
            <w:r>
              <w:rPr>
                <w:b/>
                <w:sz w:val="18"/>
              </w:rPr>
              <w:t>구분</w:t>
            </w:r>
          </w:p>
        </w:tc>
        <w:tc>
          <w:tcPr>
            <w:tcW w:type="dxa" w:w="7994"/>
            <w:shd w:fill="DCE8F4"/>
            <w:tcBorders>
              <w:top w:val="single" w:sz="4" w:color="D9D9D9"/>
              <w:left w:val="single" w:sz="4" w:color="D9D9D9"/>
              <w:bottom w:val="single" w:sz="4" w:color="D9D9D9"/>
              <w:right w:val="single" w:sz="4" w:color="D9D9D9"/>
            </w:tcBorders>
            <w:tcMar>
              <w:top w:w="80" w:type="dxa"/>
              <w:start w:w="100" w:type="dxa"/>
              <w:bottom w:w="80" w:type="dxa"/>
              <w:end w:w="100" w:type="dxa"/>
            </w:tcMar>
            <w:vAlign w:val="center"/>
          </w:tcPr>
          <w:p>
            <w:pPr>
              <w:spacing w:after="0" w:line="276" w:lineRule="auto"/>
            </w:pPr>
            <w:r/>
            <w:r>
              <w:rPr>
                <w:b/>
                <w:sz w:val="18"/>
              </w:rPr>
              <w:t>구현 내용</w:t>
            </w:r>
          </w:p>
        </w:tc>
      </w:tr>
      <w:tr>
        <w:trPr>
          <w:cantSplit/>
        </w:trPr>
        <w:tc>
          <w:tcPr>
            <w:tcW w:type="dxa" w:w="1701"/>
            <w:vAlign w:val="center"/>
            <w:tcBorders>
              <w:top w:val="single" w:sz="4" w:color="D9D9D9"/>
              <w:left w:val="single" w:sz="4" w:color="D9D9D9"/>
              <w:bottom w:val="single" w:sz="4" w:color="D9D9D9"/>
              <w:right w:val="single" w:sz="4" w:color="D9D9D9"/>
            </w:tcBorders>
            <w:tcMar>
              <w:top w:w="80" w:type="dxa"/>
              <w:start w:w="100" w:type="dxa"/>
              <w:bottom w:w="80" w:type="dxa"/>
              <w:end w:w="100" w:type="dxa"/>
            </w:tcMar>
          </w:tcPr>
          <w:p>
            <w:pPr>
              <w:spacing w:after="0" w:line="276" w:lineRule="auto"/>
            </w:pPr>
            <w:r/>
            <w:r>
              <w:rPr>
                <w:b/>
                <w:sz w:val="18"/>
              </w:rPr>
              <w:t>동작 입력</w:t>
            </w:r>
          </w:p>
        </w:tc>
        <w:tc>
          <w:tcPr>
            <w:tcW w:type="dxa" w:w="7994"/>
            <w:vAlign w:val="center"/>
            <w:tcBorders>
              <w:top w:val="single" w:sz="4" w:color="D9D9D9"/>
              <w:left w:val="single" w:sz="4" w:color="D9D9D9"/>
              <w:bottom w:val="single" w:sz="4" w:color="D9D9D9"/>
              <w:right w:val="single" w:sz="4" w:color="D9D9D9"/>
            </w:tcBorders>
            <w:tcMar>
              <w:top w:w="80" w:type="dxa"/>
              <w:start w:w="100" w:type="dxa"/>
              <w:bottom w:w="80" w:type="dxa"/>
              <w:end w:w="100" w:type="dxa"/>
            </w:tcMar>
          </w:tcPr>
          <w:p>
            <w:pPr>
              <w:spacing w:after="0" w:line="276" w:lineRule="auto"/>
            </w:pPr>
            <w:r/>
            <w:r>
              <w:rPr>
                <w:b w:val="0"/>
                <w:sz w:val="18"/>
              </w:rPr>
              <w:t>손 포즈 4종(FIRE, WATER, EARTH, WIND)은 기본 5프레임 유지 후 발동합니다. 검지 궤적의 좌·우 이동, 원, 지그재그는 LIGHT, DARK, 실드, LIGHTNING으로 연결됩니다.</w:t>
            </w:r>
          </w:p>
        </w:tc>
      </w:tr>
      <w:tr>
        <w:trPr>
          <w:cantSplit/>
        </w:trPr>
        <w:tc>
          <w:tcPr>
            <w:tcW w:type="dxa" w:w="1701"/>
            <w:vAlign w:val="center"/>
            <w:tcBorders>
              <w:top w:val="single" w:sz="4" w:color="D9D9D9"/>
              <w:left w:val="single" w:sz="4" w:color="D9D9D9"/>
              <w:bottom w:val="single" w:sz="4" w:color="D9D9D9"/>
              <w:right w:val="single" w:sz="4" w:color="D9D9D9"/>
            </w:tcBorders>
            <w:tcMar>
              <w:top w:w="80" w:type="dxa"/>
              <w:start w:w="100" w:type="dxa"/>
              <w:bottom w:w="80" w:type="dxa"/>
              <w:end w:w="100" w:type="dxa"/>
            </w:tcMar>
          </w:tcPr>
          <w:p>
            <w:pPr>
              <w:spacing w:after="0" w:line="276" w:lineRule="auto"/>
            </w:pPr>
            <w:r/>
            <w:r>
              <w:rPr>
                <w:b/>
                <w:sz w:val="18"/>
              </w:rPr>
              <w:t>주문 조합</w:t>
            </w:r>
          </w:p>
        </w:tc>
        <w:tc>
          <w:tcPr>
            <w:tcW w:type="dxa" w:w="7994"/>
            <w:vAlign w:val="center"/>
            <w:tcBorders>
              <w:top w:val="single" w:sz="4" w:color="D9D9D9"/>
              <w:left w:val="single" w:sz="4" w:color="D9D9D9"/>
              <w:bottom w:val="single" w:sz="4" w:color="D9D9D9"/>
              <w:right w:val="single" w:sz="4" w:color="D9D9D9"/>
            </w:tcBorders>
            <w:tcMar>
              <w:top w:w="80" w:type="dxa"/>
              <w:start w:w="100" w:type="dxa"/>
              <w:bottom w:w="80" w:type="dxa"/>
              <w:end w:w="100" w:type="dxa"/>
            </w:tcMar>
          </w:tcPr>
          <w:p>
            <w:pPr>
              <w:spacing w:after="0" w:line="276" w:lineRule="auto"/>
            </w:pPr>
            <w:r/>
            <w:r>
              <w:rPr>
                <w:b w:val="0"/>
                <w:sz w:val="18"/>
              </w:rPr>
              <w:t>기본 주문 두 개를 1.2초 안에 연속 시전하면 조합 규칙을 적용합니다. 양손에서 같은 포즈를 동시에 만들면 증폭, 다른 포즈를 만들면 원소 융합을 발동합니다.</w:t>
            </w:r>
          </w:p>
        </w:tc>
      </w:tr>
      <w:tr>
        <w:trPr>
          <w:cantSplit/>
        </w:trPr>
        <w:tc>
          <w:tcPr>
            <w:tcW w:type="dxa" w:w="1701"/>
            <w:vAlign w:val="center"/>
            <w:tcBorders>
              <w:top w:val="single" w:sz="4" w:color="D9D9D9"/>
              <w:left w:val="single" w:sz="4" w:color="D9D9D9"/>
              <w:bottom w:val="single" w:sz="4" w:color="D9D9D9"/>
              <w:right w:val="single" w:sz="4" w:color="D9D9D9"/>
            </w:tcBorders>
            <w:tcMar>
              <w:top w:w="80" w:type="dxa"/>
              <w:start w:w="100" w:type="dxa"/>
              <w:bottom w:w="80" w:type="dxa"/>
              <w:end w:w="100" w:type="dxa"/>
            </w:tcMar>
          </w:tcPr>
          <w:p>
            <w:pPr>
              <w:spacing w:after="0" w:line="276" w:lineRule="auto"/>
            </w:pPr>
            <w:r/>
            <w:r>
              <w:rPr>
                <w:b/>
                <w:sz w:val="18"/>
              </w:rPr>
              <w:t>전투와 성장</w:t>
            </w:r>
          </w:p>
        </w:tc>
        <w:tc>
          <w:tcPr>
            <w:tcW w:type="dxa" w:w="7994"/>
            <w:vAlign w:val="center"/>
            <w:tcBorders>
              <w:top w:val="single" w:sz="4" w:color="D9D9D9"/>
              <w:left w:val="single" w:sz="4" w:color="D9D9D9"/>
              <w:bottom w:val="single" w:sz="4" w:color="D9D9D9"/>
              <w:right w:val="single" w:sz="4" w:color="D9D9D9"/>
            </w:tcBorders>
            <w:tcMar>
              <w:top w:w="80" w:type="dxa"/>
              <w:start w:w="100" w:type="dxa"/>
              <w:bottom w:w="80" w:type="dxa"/>
              <w:end w:w="100" w:type="dxa"/>
            </w:tcMar>
          </w:tcPr>
          <w:p>
            <w:pPr>
              <w:spacing w:after="0" w:line="276" w:lineRule="auto"/>
            </w:pPr>
            <w:r/>
            <w:r>
              <w:rPr>
                <w:b w:val="0"/>
                <w:sz w:val="18"/>
              </w:rPr>
              <w:t>주문마다 마나를 소모하고 자동 회복합니다. 원소 상성 피해 배율은 유리할 때 1.5배, 불리할 때 0.6배입니다. 보스는 HP에 따라 3페이즈로 바뀌고 공격 전 경고를 표시합니다. 스테이지를 넘기면 성장 룬 3개 중 하나를 선택합니다.</w:t>
            </w:r>
          </w:p>
        </w:tc>
      </w:tr>
      <w:tr>
        <w:trPr>
          <w:cantSplit/>
        </w:trPr>
        <w:tc>
          <w:tcPr>
            <w:tcW w:type="dxa" w:w="1701"/>
            <w:vAlign w:val="center"/>
            <w:tcBorders>
              <w:top w:val="single" w:sz="4" w:color="D9D9D9"/>
              <w:left w:val="single" w:sz="4" w:color="D9D9D9"/>
              <w:bottom w:val="single" w:sz="4" w:color="D9D9D9"/>
              <w:right w:val="single" w:sz="4" w:color="D9D9D9"/>
            </w:tcBorders>
            <w:tcMar>
              <w:top w:w="80" w:type="dxa"/>
              <w:start w:w="100" w:type="dxa"/>
              <w:bottom w:w="80" w:type="dxa"/>
              <w:end w:w="100" w:type="dxa"/>
            </w:tcMar>
          </w:tcPr>
          <w:p>
            <w:pPr>
              <w:spacing w:after="0" w:line="276" w:lineRule="auto"/>
            </w:pPr>
            <w:r/>
            <w:r>
              <w:rPr>
                <w:b/>
                <w:sz w:val="18"/>
              </w:rPr>
              <w:t>플레이 모드</w:t>
            </w:r>
          </w:p>
        </w:tc>
        <w:tc>
          <w:tcPr>
            <w:tcW w:type="dxa" w:w="7994"/>
            <w:vAlign w:val="center"/>
            <w:tcBorders>
              <w:top w:val="single" w:sz="4" w:color="D9D9D9"/>
              <w:left w:val="single" w:sz="4" w:color="D9D9D9"/>
              <w:bottom w:val="single" w:sz="4" w:color="D9D9D9"/>
              <w:right w:val="single" w:sz="4" w:color="D9D9D9"/>
            </w:tcBorders>
            <w:tcMar>
              <w:top w:w="80" w:type="dxa"/>
              <w:start w:w="100" w:type="dxa"/>
              <w:bottom w:w="80" w:type="dxa"/>
              <w:end w:w="100" w:type="dxa"/>
            </w:tcMar>
          </w:tcPr>
          <w:p>
            <w:pPr>
              <w:spacing w:after="0" w:line="276" w:lineRule="auto"/>
            </w:pPr>
            <w:r/>
            <w:r>
              <w:rPr>
                <w:b w:val="0"/>
                <w:sz w:val="18"/>
              </w:rPr>
              <w:t>날짜 기반 시드와 변형 규칙을 쓰는 일일 챌린지, 최초 포즈 확인, 앉은 자세 모드, 난이도 선택을 제공합니다. 카메라 사용이 어려우면 숫자키·방향키로 기본 주문과 회피를 조작합니다.</w:t>
            </w:r>
          </w:p>
        </w:tc>
      </w:tr>
      <w:tr>
        <w:trPr>
          <w:cantSplit/>
        </w:trPr>
        <w:tc>
          <w:tcPr>
            <w:tcW w:type="dxa" w:w="1701"/>
            <w:vAlign w:val="center"/>
            <w:tcBorders>
              <w:top w:val="single" w:sz="4" w:color="D9D9D9"/>
              <w:left w:val="single" w:sz="4" w:color="D9D9D9"/>
              <w:bottom w:val="single" w:sz="4" w:color="D9D9D9"/>
              <w:right w:val="single" w:sz="4" w:color="D9D9D9"/>
            </w:tcBorders>
            <w:tcMar>
              <w:top w:w="80" w:type="dxa"/>
              <w:start w:w="100" w:type="dxa"/>
              <w:bottom w:w="80" w:type="dxa"/>
              <w:end w:w="100" w:type="dxa"/>
            </w:tcMar>
          </w:tcPr>
          <w:p>
            <w:pPr>
              <w:spacing w:after="0" w:line="276" w:lineRule="auto"/>
            </w:pPr>
            <w:r/>
            <w:r>
              <w:rPr>
                <w:b/>
                <w:sz w:val="18"/>
              </w:rPr>
              <w:t>기록과 공유</w:t>
            </w:r>
          </w:p>
        </w:tc>
        <w:tc>
          <w:tcPr>
            <w:tcW w:type="dxa" w:w="7994"/>
            <w:vAlign w:val="center"/>
            <w:tcBorders>
              <w:top w:val="single" w:sz="4" w:color="D9D9D9"/>
              <w:left w:val="single" w:sz="4" w:color="D9D9D9"/>
              <w:bottom w:val="single" w:sz="4" w:color="D9D9D9"/>
              <w:right w:val="single" w:sz="4" w:color="D9D9D9"/>
            </w:tcBorders>
            <w:tcMar>
              <w:top w:w="80" w:type="dxa"/>
              <w:start w:w="100" w:type="dxa"/>
              <w:bottom w:w="80" w:type="dxa"/>
              <w:end w:w="100" w:type="dxa"/>
            </w:tcMar>
          </w:tcPr>
          <w:p>
            <w:pPr>
              <w:spacing w:after="0" w:line="276" w:lineRule="auto"/>
            </w:pPr>
            <w:r/>
            <w:r>
              <w:rPr>
                <w:b w:val="0"/>
                <w:sz w:val="18"/>
              </w:rPr>
              <w:t>웹캠 화면을 게임 내 수정구로 표시할 수 있습니다. 런 종료 결과 카드(PNG)를 저장하고, 승리 순간에는 직전 약 15초의 게임 영상을 MP4로 저장합니다.</w:t>
            </w:r>
          </w:p>
        </w:tc>
      </w:tr>
    </w:tbl>
    <w:p>
      <w:r>
        <w:br w:type="page"/>
      </w:r>
    </w:p>
    <w:p>
      <w:pPr>
        <w:pStyle w:val="Heading1"/>
      </w:pPr>
      <w:r>
        <w:t>시스템 구성과 처리 흐름</w:t>
      </w:r>
    </w:p>
    <w:p>
      <w:r>
        <w:t>vision_loop.py의 VisionPipeline은 별도 스레드에서 웹캠 영상을 받아 MediaPipe Hands·FaceMesh로 손과 얼굴의 랜드마크를 추출합니다. gesture.py와 trajectory.py가 손 포즈·궤적을 주문 이벤트로 분류하고, head_tracker.py가 얼굴 방향을 회피 신호로 판정합니다.</w:t>
      </w:r>
    </w:p>
    <w:p>
      <w:r>
        <w:t>main.py는 주문 이벤트를 읽어 spell_combo.py의 연속 주문 규칙을 적용합니다. 양손 증폭·융합 주문은 이미 최종 주문이므로 연속 콤보와 다시 합치지 않습니다. main.py는 주문과 최신 얼굴 방향을 game.py의 프레임 처리에 전달하고, game.py가 마나·HP·상성·보스 패턴·룬 효과를 갱신합니다. fp_renderer.py와 audio_manager.py가 영상과 오디오를 출력합니다.</w:t>
      </w:r>
    </w:p>
    <w:p>
      <w:pPr>
        <w:pStyle w:val="Heading1"/>
      </w:pPr>
      <w:r>
        <w:t>개발 환경과 배포 대상</w:t>
      </w:r>
    </w:p>
    <w:tbl>
      <w:tblPr>
        <w:tblW w:type="auto" w:w="0"/>
        <w:jc w:val="center"/>
        <w:tblLayout w:type="fixed"/>
        <w:tblLook w:firstColumn="1" w:firstRow="1" w:lastColumn="0" w:lastRow="0" w:noHBand="0" w:noVBand="1" w:val="04A0"/>
      </w:tblPr>
      <w:tblGrid>
        <w:gridCol w:w="1701"/>
        <w:gridCol w:w="7994"/>
      </w:tblGrid>
      <w:tr>
        <w:tc>
          <w:tcPr>
            <w:tcW w:type="dxa" w:w="1701"/>
            <w:vAlign w:val="center"/>
            <w:shd w:fill="DCE8F4"/>
            <w:tcBorders>
              <w:top w:val="single" w:sz="4" w:color="D9D9D9"/>
              <w:left w:val="single" w:sz="4" w:color="D9D9D9"/>
              <w:bottom w:val="single" w:sz="4" w:color="D9D9D9"/>
              <w:right w:val="single" w:sz="4" w:color="D9D9D9"/>
            </w:tcBorders>
            <w:tcMar>
              <w:top w:w="80" w:type="dxa"/>
              <w:start w:w="100" w:type="dxa"/>
              <w:bottom w:w="80" w:type="dxa"/>
              <w:end w:w="100" w:type="dxa"/>
            </w:tcMar>
          </w:tcPr>
          <w:p>
            <w:pPr>
              <w:spacing w:after="0" w:line="276" w:lineRule="auto"/>
            </w:pPr>
            <w:r/>
            <w:r>
              <w:rPr>
                <w:b/>
                <w:sz w:val="18"/>
              </w:rPr>
              <w:t>항목</w:t>
            </w:r>
          </w:p>
        </w:tc>
        <w:tc>
          <w:tcPr>
            <w:tcW w:type="dxa" w:w="7994"/>
            <w:vAlign w:val="center"/>
            <w:shd w:fill="DCE8F4"/>
            <w:tcBorders>
              <w:top w:val="single" w:sz="4" w:color="D9D9D9"/>
              <w:left w:val="single" w:sz="4" w:color="D9D9D9"/>
              <w:bottom w:val="single" w:sz="4" w:color="D9D9D9"/>
              <w:right w:val="single" w:sz="4" w:color="D9D9D9"/>
            </w:tcBorders>
            <w:tcMar>
              <w:top w:w="80" w:type="dxa"/>
              <w:start w:w="100" w:type="dxa"/>
              <w:bottom w:w="80" w:type="dxa"/>
              <w:end w:w="100" w:type="dxa"/>
            </w:tcMar>
          </w:tcPr>
          <w:p>
            <w:pPr>
              <w:spacing w:after="0" w:line="276" w:lineRule="auto"/>
            </w:pPr>
            <w:r/>
            <w:r>
              <w:rPr>
                <w:b/>
                <w:sz w:val="18"/>
              </w:rPr>
              <w:t>내용</w:t>
            </w:r>
          </w:p>
        </w:tc>
      </w:tr>
      <w:tr>
        <w:tc>
          <w:tcPr>
            <w:tcW w:type="dxa" w:w="1701"/>
            <w:vAlign w:val="center"/>
            <w:tcBorders>
              <w:top w:val="single" w:sz="4" w:color="D9D9D9"/>
              <w:left w:val="single" w:sz="4" w:color="D9D9D9"/>
              <w:bottom w:val="single" w:sz="4" w:color="D9D9D9"/>
              <w:right w:val="single" w:sz="4" w:color="D9D9D9"/>
            </w:tcBorders>
            <w:tcMar>
              <w:top w:w="80" w:type="dxa"/>
              <w:start w:w="100" w:type="dxa"/>
              <w:bottom w:w="80" w:type="dxa"/>
              <w:end w:w="100" w:type="dxa"/>
            </w:tcMar>
          </w:tcPr>
          <w:p>
            <w:pPr>
              <w:spacing w:after="0" w:line="276" w:lineRule="auto"/>
            </w:pPr>
            <w:r/>
            <w:r>
              <w:rPr>
                <w:b/>
                <w:sz w:val="18"/>
              </w:rPr>
              <w:t>언어·런타임</w:t>
            </w:r>
          </w:p>
        </w:tc>
        <w:tc>
          <w:tcPr>
            <w:tcW w:type="dxa" w:w="7994"/>
            <w:vAlign w:val="center"/>
            <w:tcBorders>
              <w:top w:val="single" w:sz="4" w:color="D9D9D9"/>
              <w:left w:val="single" w:sz="4" w:color="D9D9D9"/>
              <w:bottom w:val="single" w:sz="4" w:color="D9D9D9"/>
              <w:right w:val="single" w:sz="4" w:color="D9D9D9"/>
            </w:tcBorders>
            <w:tcMar>
              <w:top w:w="80" w:type="dxa"/>
              <w:start w:w="100" w:type="dxa"/>
              <w:bottom w:w="80" w:type="dxa"/>
              <w:end w:w="100" w:type="dxa"/>
            </w:tcMar>
          </w:tcPr>
          <w:p>
            <w:pPr>
              <w:spacing w:after="0" w:line="276" w:lineRule="auto"/>
            </w:pPr>
            <w:r/>
            <w:r>
              <w:rPr>
                <w:b w:val="0"/>
                <w:sz w:val="18"/>
              </w:rPr>
              <w:t>Python 3.12 기준. 프로젝트 메타데이터의 지원 범위는 Python 3.9 이상 3.13 미만입니다.</w:t>
            </w:r>
          </w:p>
        </w:tc>
      </w:tr>
      <w:tr>
        <w:tc>
          <w:tcPr>
            <w:tcW w:type="dxa" w:w="1701"/>
            <w:vAlign w:val="center"/>
            <w:tcBorders>
              <w:top w:val="single" w:sz="4" w:color="D9D9D9"/>
              <w:left w:val="single" w:sz="4" w:color="D9D9D9"/>
              <w:bottom w:val="single" w:sz="4" w:color="D9D9D9"/>
              <w:right w:val="single" w:sz="4" w:color="D9D9D9"/>
            </w:tcBorders>
            <w:tcMar>
              <w:top w:w="80" w:type="dxa"/>
              <w:start w:w="100" w:type="dxa"/>
              <w:bottom w:w="80" w:type="dxa"/>
              <w:end w:w="100" w:type="dxa"/>
            </w:tcMar>
          </w:tcPr>
          <w:p>
            <w:pPr>
              <w:spacing w:after="0" w:line="276" w:lineRule="auto"/>
            </w:pPr>
            <w:r/>
            <w:r>
              <w:rPr>
                <w:b/>
                <w:sz w:val="18"/>
              </w:rPr>
              <w:t>게임·비전</w:t>
            </w:r>
          </w:p>
        </w:tc>
        <w:tc>
          <w:tcPr>
            <w:tcW w:type="dxa" w:w="7994"/>
            <w:vAlign w:val="center"/>
            <w:tcBorders>
              <w:top w:val="single" w:sz="4" w:color="D9D9D9"/>
              <w:left w:val="single" w:sz="4" w:color="D9D9D9"/>
              <w:bottom w:val="single" w:sz="4" w:color="D9D9D9"/>
              <w:right w:val="single" w:sz="4" w:color="D9D9D9"/>
            </w:tcBorders>
            <w:tcMar>
              <w:top w:w="80" w:type="dxa"/>
              <w:start w:w="100" w:type="dxa"/>
              <w:bottom w:w="80" w:type="dxa"/>
              <w:end w:w="100" w:type="dxa"/>
            </w:tcMar>
          </w:tcPr>
          <w:p>
            <w:pPr>
              <w:spacing w:after="0" w:line="276" w:lineRule="auto"/>
            </w:pPr>
            <w:r/>
            <w:r>
              <w:rPr>
                <w:b w:val="0"/>
                <w:sz w:val="18"/>
              </w:rPr>
              <w:t>Pygame 2.6.1, MediaPipe 0.10.14, OpenCV 4.13.0.92, NumPy 2.2.5</w:t>
            </w:r>
          </w:p>
        </w:tc>
      </w:tr>
      <w:tr>
        <w:tc>
          <w:tcPr>
            <w:tcW w:type="dxa" w:w="1701"/>
            <w:vAlign w:val="center"/>
            <w:tcBorders>
              <w:top w:val="single" w:sz="4" w:color="D9D9D9"/>
              <w:left w:val="single" w:sz="4" w:color="D9D9D9"/>
              <w:bottom w:val="single" w:sz="4" w:color="D9D9D9"/>
              <w:right w:val="single" w:sz="4" w:color="D9D9D9"/>
            </w:tcBorders>
            <w:tcMar>
              <w:top w:w="80" w:type="dxa"/>
              <w:start w:w="100" w:type="dxa"/>
              <w:bottom w:w="80" w:type="dxa"/>
              <w:end w:w="100" w:type="dxa"/>
            </w:tcMar>
          </w:tcPr>
          <w:p>
            <w:pPr>
              <w:spacing w:after="0" w:line="276" w:lineRule="auto"/>
            </w:pPr>
            <w:r/>
            <w:r>
              <w:rPr>
                <w:b/>
                <w:sz w:val="18"/>
              </w:rPr>
              <w:t>검증 도구</w:t>
            </w:r>
          </w:p>
        </w:tc>
        <w:tc>
          <w:tcPr>
            <w:tcW w:type="dxa" w:w="7994"/>
            <w:vAlign w:val="center"/>
            <w:tcBorders>
              <w:top w:val="single" w:sz="4" w:color="D9D9D9"/>
              <w:left w:val="single" w:sz="4" w:color="D9D9D9"/>
              <w:bottom w:val="single" w:sz="4" w:color="D9D9D9"/>
              <w:right w:val="single" w:sz="4" w:color="D9D9D9"/>
            </w:tcBorders>
            <w:tcMar>
              <w:top w:w="80" w:type="dxa"/>
              <w:start w:w="100" w:type="dxa"/>
              <w:bottom w:w="80" w:type="dxa"/>
              <w:end w:w="100" w:type="dxa"/>
            </w:tcMar>
          </w:tcPr>
          <w:p>
            <w:pPr>
              <w:spacing w:after="0" w:line="276" w:lineRule="auto"/>
            </w:pPr>
            <w:r/>
            <w:r>
              <w:rPr>
                <w:b w:val="0"/>
                <w:sz w:val="18"/>
              </w:rPr>
              <w:t>pytest 헤드리스 테스트와 Ruff 정적 검사를 GitHub Actions의 Ubuntu 실행 환경에서 수행하도록 구성했습니다.</w:t>
            </w:r>
          </w:p>
        </w:tc>
      </w:tr>
      <w:tr>
        <w:tc>
          <w:tcPr>
            <w:tcW w:type="dxa" w:w="1701"/>
            <w:vAlign w:val="center"/>
            <w:tcBorders>
              <w:top w:val="single" w:sz="4" w:color="D9D9D9"/>
              <w:left w:val="single" w:sz="4" w:color="D9D9D9"/>
              <w:bottom w:val="single" w:sz="4" w:color="D9D9D9"/>
              <w:right w:val="single" w:sz="4" w:color="D9D9D9"/>
            </w:tcBorders>
            <w:tcMar>
              <w:top w:w="80" w:type="dxa"/>
              <w:start w:w="100" w:type="dxa"/>
              <w:bottom w:w="80" w:type="dxa"/>
              <w:end w:w="100" w:type="dxa"/>
            </w:tcMar>
          </w:tcPr>
          <w:p>
            <w:pPr>
              <w:spacing w:after="0" w:line="276" w:lineRule="auto"/>
            </w:pPr>
            <w:r/>
            <w:r>
              <w:rPr>
                <w:b/>
                <w:sz w:val="18"/>
              </w:rPr>
              <w:t>패키징</w:t>
            </w:r>
          </w:p>
        </w:tc>
        <w:tc>
          <w:tcPr>
            <w:tcW w:type="dxa" w:w="7994"/>
            <w:vAlign w:val="center"/>
            <w:tcBorders>
              <w:top w:val="single" w:sz="4" w:color="D9D9D9"/>
              <w:left w:val="single" w:sz="4" w:color="D9D9D9"/>
              <w:bottom w:val="single" w:sz="4" w:color="D9D9D9"/>
              <w:right w:val="single" w:sz="4" w:color="D9D9D9"/>
            </w:tcBorders>
            <w:tcMar>
              <w:top w:w="80" w:type="dxa"/>
              <w:start w:w="100" w:type="dxa"/>
              <w:bottom w:w="80" w:type="dxa"/>
              <w:end w:w="100" w:type="dxa"/>
            </w:tcMar>
          </w:tcPr>
          <w:p>
            <w:pPr>
              <w:spacing w:after="0" w:line="276" w:lineRule="auto"/>
            </w:pPr>
            <w:r/>
            <w:r>
              <w:rPr>
                <w:b w:val="0"/>
                <w:sz w:val="18"/>
              </w:rPr>
              <w:t>PyInstaller의 airspellarena.spec로 실행 파일을 생성하도록 구성했습니다. 플랫폼별 빌드와 실기기 카메라 검증은 별도 확인 대상입니다.</w:t>
            </w:r>
          </w:p>
        </w:tc>
      </w:tr>
    </w:tbl>
    <w:p>
      <w:pPr>
        <w:pStyle w:val="Heading1"/>
      </w:pPr>
      <w:r>
        <w:t>검증 계획</w:t>
      </w:r>
    </w:p>
    <w:p>
      <w:r>
        <w:t>자동 검사에서는 주문 판정, 연속·양손 조합, 전투 상태, 마나·룬, 저장 데이터와 주요 화면 흐름의 회귀 테스트 및 Ruff 검사를 수행합니다. 배포 전에는 Windows에서 패키징한 실행 파일의 시작·종료, 카메라 접근 실패 시 키보드 전환, 사운드와 결과물 저장을 확인합니다.</w:t>
      </w:r>
    </w:p>
    <w:p>
      <w:r>
        <w:t>실기기 플레이에서는 조명과 카메라 거리별 인식률, 장시간 실행의 메모리 사용량, 실제 보스전 완주, 입력 지연과 화면 가독성을 점검합니다. 이 항목의 성능 수치는 측정 결과를 확보한 뒤에만 확정합니다.</w:t>
      </w:r>
    </w:p>
    <w:sectPr w:rsidR="00FC693F" w:rsidRPr="0006063C" w:rsidSect="00034616">
      <w:footerReference w:type="default" r:id="rId9"/>
      <w:pgSz w:w="11906" w:h="16838"/>
      <w:pgMar w:top="992" w:right="1077" w:bottom="935" w:left="1077" w:header="510" w:footer="48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center"/>
    </w:pPr>
    <w:r>
      <w:rPr>
        <w:sz w:val="16"/>
      </w:rPr>
      <w:t>Air Spell Arena  ·  졸업작품 제안서</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93" w:lineRule="auto" w:after="100"/>
    </w:pPr>
    <w:rPr>
      <w:rFonts w:ascii="Malgun Gothic" w:hAnsi="Malgun Gothic" w:eastAsia="Malgun Gothic"/>
      <w:color w:val="000000"/>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20"/>
      <w:outlineLvl w:val="0"/>
    </w:pPr>
    <w:rPr>
      <w:rFonts w:asciiTheme="majorHAnsi" w:eastAsiaTheme="majorEastAsia" w:hAnsiTheme="majorHAnsi" w:cstheme="majorBidi" w:ascii="Malgun Gothic" w:hAnsi="Malgun Gothic" w:eastAsia="Malgun Gothic"/>
      <w:b/>
      <w:bCs/>
      <w:color w:val="000000"/>
      <w:sz w:val="24"/>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ascii="Malgun Gothic" w:hAnsi="Malgun Gothic" w:eastAsia="Malgun Gothic"/>
      <w:b/>
      <w:bCs/>
      <w:color w:val="000000"/>
      <w:sz w:val="21"/>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200" w:line="240" w:lineRule="auto" w:before="0"/>
      <w:contextualSpacing/>
    </w:pPr>
    <w:rPr>
      <w:rFonts w:asciiTheme="majorHAnsi" w:eastAsiaTheme="majorEastAsia" w:hAnsiTheme="majorHAnsi" w:cstheme="majorBidi" w:ascii="Malgun Gothic" w:hAnsi="Malgun Gothic" w:eastAsia="Malgun Gothic"/>
      <w:b/>
      <w:color w:val="000000"/>
      <w:spacing w:val="5"/>
      <w:kern w:val="28"/>
      <w:sz w:val="3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