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jc w:val="left"/>
      </w:pPr>
      <w:r>
        <w:rPr>
          <w:rFonts w:ascii="Palatino Linotype" w:hAnsi="Palatino Linotype" w:eastAsia="PingFang SC"/>
          <w:b w:val="0"/>
          <w:i w:val="0"/>
          <w:color w:val="0C2B15"/>
          <w:sz w:val="48"/>
        </w:rPr>
        <w:t>Dossier outreach: audit purchasing untuk partner akuntansi</w:t>
      </w:r>
    </w:p>
    <w:p>
      <w:pPr>
        <w:spacing w:before="0" w:after="120" w:line="320" w:lineRule="exact"/>
        <w:ind w:firstLine="0"/>
        <w:jc w:val="left"/>
      </w:pPr>
      <w:r>
        <w:rPr>
          <w:rFonts w:ascii="Helvetica Neue" w:hAnsi="Helvetica Neue" w:eastAsia="PingFang SC"/>
          <w:b w:val="0"/>
          <w:i w:val="0"/>
          <w:sz w:val="24"/>
        </w:rPr>
        <w:t xml:space="preserve">Status per 29 Oktober 2026. Dokumen ini merangkum apa yang sudah dikirim, apa yang dibatasi, siapa berikutnya, dan kapan harus bergerak. Angka diambil dari </w:t>
      </w:r>
      <w:r>
        <w:rPr>
          <w:rFonts w:ascii="Courier New" w:hAnsi="Courier New" w:eastAsia="Courier New"/>
          <w:sz w:val="22"/>
        </w:rPr>
        <w:t>ledger.json</w:t>
      </w:r>
      <w:r>
        <w:rPr>
          <w:rFonts w:ascii="Helvetica Neue" w:hAnsi="Helvetica Neue" w:eastAsia="PingFang SC"/>
          <w:b w:val="0"/>
          <w:i w:val="0"/>
          <w:sz w:val="24"/>
        </w:rPr>
        <w:t>, bukan dari ingatan.</w:t>
      </w:r>
    </w:p>
    <w:p>
      <w:pPr>
        <w:spacing w:before="80" w:after="80"/>
        <w:jc w:val="center"/>
      </w:pPr>
      <w:r>
        <w:rPr>
          <w:color w:val="AAAAAA"/>
        </w:rPr>
        <w:t>────────────────────────────────────────</w:t>
      </w:r>
    </w:p>
    <w:p>
      <w:pPr>
        <w:spacing w:before="480" w:after="160"/>
        <w:jc w:val="left"/>
      </w:pPr>
      <w:r>
        <w:rPr>
          <w:rFonts w:ascii="Palatino Linotype" w:hAnsi="Palatino Linotype" w:eastAsia="PingFang SC"/>
          <w:b w:val="0"/>
          <w:i w:val="0"/>
          <w:color w:val="0C2B15"/>
          <w:sz w:val="36"/>
        </w:rPr>
        <w:t>1. Angka pokok</w:t>
      </w:r>
    </w:p>
    <w:tbl>
      <w:tblPr>
        <w:tblStyle w:val="TableGrid"/>
        <w:tblW w:type="auto" w:w="0"/>
        <w:tblLook w:firstColumn="1" w:firstRow="1" w:lastColumn="0" w:lastRow="0" w:noHBand="0" w:noVBand="1" w:val="04A0"/>
      </w:tblPr>
      <w:tblGrid>
        <w:gridCol w:w="4986"/>
        <w:gridCol w:w="4986"/>
      </w:tblGrid>
      <w:tr>
        <w:tc>
          <w:tcPr>
            <w:tcW w:type="dxa" w:w="4986"/>
            <w:tcBorders>
              <w:top w:val="single" w:sz="12" w:color="212427"/>
              <w:bottom w:val="single" w:sz="6" w:color="212427"/>
              <w:left w:val="nil"/>
              <w:right w:val="nil"/>
            </w:tcBorders>
          </w:tcPr>
          <w:p>
            <w:pPr>
              <w:spacing w:before="80" w:after="80"/>
              <w:jc w:val="left"/>
            </w:pPr>
            <w:r>
              <w:rPr>
                <w:rFonts w:ascii="Helvetica Neue" w:hAnsi="Helvetica Neue" w:eastAsia="PingFang SC"/>
                <w:b/>
                <w:i w:val="0"/>
                <w:sz w:val="22"/>
              </w:rPr>
              <w:t>Ukuran</w:t>
            </w:r>
          </w:p>
        </w:tc>
        <w:tc>
          <w:tcPr>
            <w:tcW w:type="dxa" w:w="4986"/>
            <w:tcBorders>
              <w:top w:val="single" w:sz="12" w:color="212427"/>
              <w:bottom w:val="single" w:sz="6" w:color="212427"/>
              <w:left w:val="nil"/>
              <w:right w:val="nil"/>
            </w:tcBorders>
          </w:tcPr>
          <w:p>
            <w:pPr>
              <w:spacing w:before="80" w:after="80"/>
              <w:jc w:val="left"/>
            </w:pPr>
            <w:r>
              <w:rPr>
                <w:rFonts w:ascii="Helvetica Neue" w:hAnsi="Helvetica Neue" w:eastAsia="PingFang SC"/>
                <w:b/>
                <w:i w:val="0"/>
                <w:sz w:val="22"/>
              </w:rPr>
              <w:t>Nilai</w:t>
            </w:r>
          </w:p>
        </w:tc>
      </w:tr>
      <w:tr>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Email terkirim</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20</w:t>
            </w:r>
          </w:p>
        </w:tc>
      </w:tr>
      <w:tr>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Dalam jendela waktu</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63 menit, 28 Okt 19:43 sampai 20:46 UTC</w:t>
            </w:r>
          </w:p>
        </w:tc>
      </w:tr>
      <w:tr>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Domain berbeda</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20, satu email per domain</w:t>
            </w:r>
          </w:p>
        </w:tc>
      </w:tr>
      <w:tr>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Bounce</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0</w:t>
            </w:r>
          </w:p>
        </w:tc>
      </w:tr>
      <w:tr>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Balasan</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0</w:t>
            </w:r>
          </w:p>
        </w:tc>
      </w:tr>
      <w:tr>
        <w:tc>
          <w:tcPr>
            <w:tcW w:type="dxa" w:w="4986"/>
            <w:tcBorders>
              <w:top w:val="nil"/>
              <w:bottom w:val="single" w:sz="6" w:color="212427"/>
              <w:left w:val="nil"/>
              <w:right w:val="nil"/>
            </w:tcBorders>
          </w:tcPr>
          <w:p>
            <w:pPr>
              <w:spacing w:before="80" w:after="80"/>
              <w:jc w:val="left"/>
            </w:pPr>
            <w:r>
              <w:rPr>
                <w:rFonts w:ascii="Helvetica Neue" w:hAnsi="Helvetica Neue" w:eastAsia="PingFang SC"/>
                <w:b w:val="0"/>
                <w:i w:val="0"/>
                <w:sz w:val="22"/>
              </w:rPr>
              <w:t>Anggaran hari ini</w:t>
            </w:r>
          </w:p>
        </w:tc>
        <w:tc>
          <w:tcPr>
            <w:tcW w:type="dxa" w:w="4986"/>
            <w:tcBorders>
              <w:top w:val="nil"/>
              <w:bottom w:val="single" w:sz="6" w:color="212427"/>
              <w:left w:val="nil"/>
              <w:right w:val="nil"/>
            </w:tcBorders>
          </w:tcPr>
          <w:p>
            <w:pPr>
              <w:spacing w:before="80" w:after="80"/>
              <w:jc w:val="left"/>
            </w:pPr>
            <w:r>
              <w:rPr>
                <w:rFonts w:ascii="Helvetica Neue" w:hAnsi="Helvetica Neue" w:eastAsia="PingFang SC"/>
                <w:b w:val="0"/>
                <w:i w:val="0"/>
                <w:sz w:val="22"/>
              </w:rPr>
              <w:t>20 dari 20 terpakai</w:t>
            </w:r>
          </w:p>
        </w:tc>
      </w:tr>
    </w:tbl>
    <w:p/>
    <w:p>
      <w:pPr>
        <w:spacing w:before="0" w:after="120" w:line="320" w:lineRule="exact"/>
        <w:ind w:firstLine="0"/>
        <w:jc w:val="left"/>
      </w:pPr>
      <w:r>
        <w:rPr>
          <w:rFonts w:ascii="Helvetica Neue" w:hAnsi="Helvetica Neue" w:eastAsia="PingFang SC"/>
          <w:b w:val="0"/>
          <w:i w:val="0"/>
          <w:sz w:val="24"/>
        </w:rPr>
        <w:t>Nol balasan bukan kegagalan pada tahap ini. Dua puluh kiriman dingin dengan penargetan wajar menghasilkan 0 sampai 1 balasan. Yang menentukan adalah apa yang terjadi pada hari ke-3 dan ke-7.</w:t>
      </w:r>
    </w:p>
    <w:p>
      <w:pPr>
        <w:spacing w:before="480" w:after="160"/>
        <w:jc w:val="left"/>
      </w:pPr>
      <w:r>
        <w:rPr>
          <w:rFonts w:ascii="Palatino Linotype" w:hAnsi="Palatino Linotype" w:eastAsia="PingFang SC"/>
          <w:b w:val="0"/>
          <w:i w:val="0"/>
          <w:color w:val="0C2B15"/>
          <w:sz w:val="36"/>
        </w:rPr>
        <w:t>2. Siapa yang dikirimi</w:t>
      </w:r>
    </w:p>
    <w:p>
      <w:pPr>
        <w:spacing w:before="0" w:after="120" w:line="320" w:lineRule="exact"/>
        <w:ind w:firstLine="0"/>
        <w:jc w:val="left"/>
      </w:pPr>
      <w:r>
        <w:rPr>
          <w:rFonts w:ascii="Helvetica Neue" w:hAnsi="Helvetica Neue" w:eastAsia="PingFang SC"/>
          <w:b/>
          <w:i w:val="0"/>
          <w:sz w:val="24"/>
        </w:rPr>
        <w:t>Gelombang 1, tujuh firma akuntansi.</w:t>
      </w:r>
      <w:r>
        <w:rPr>
          <w:rFonts w:ascii="Helvetica Neue" w:hAnsi="Helvetica Neue" w:eastAsia="PingFang SC"/>
          <w:b w:val="0"/>
          <w:i w:val="0"/>
          <w:sz w:val="24"/>
        </w:rPr>
        <w:t xml:space="preserve"> ConnectBooks, Social Commerce Accountants, Think Accounting, Bookkeeper Superhero, Fox Clever, Rocket Bookkeeper, EcomBalance.</w:t>
      </w:r>
    </w:p>
    <w:p>
      <w:pPr>
        <w:spacing w:before="0" w:after="120" w:line="320" w:lineRule="exact"/>
        <w:ind w:firstLine="0"/>
        <w:jc w:val="left"/>
      </w:pPr>
      <w:r>
        <w:rPr>
          <w:rFonts w:ascii="Helvetica Neue" w:hAnsi="Helvetica Neue" w:eastAsia="PingFang SC"/>
          <w:b/>
          <w:i w:val="0"/>
          <w:sz w:val="24"/>
        </w:rPr>
        <w:t>Gelombang 2, enam fractional CFO.</w:t>
      </w:r>
      <w:r>
        <w:rPr>
          <w:rFonts w:ascii="Helvetica Neue" w:hAnsi="Helvetica Neue" w:eastAsia="PingFang SC"/>
          <w:b w:val="0"/>
          <w:i w:val="0"/>
          <w:sz w:val="24"/>
        </w:rPr>
        <w:t xml:space="preserve"> TYM Consulting, Ascent CFO, CFO Lifeline, Mastery CFO, MT Bachani CPA, Judith Hobdell.</w:t>
      </w:r>
    </w:p>
    <w:p>
      <w:pPr>
        <w:spacing w:before="0" w:after="120" w:line="320" w:lineRule="exact"/>
        <w:ind w:firstLine="0"/>
        <w:jc w:val="left"/>
      </w:pPr>
      <w:r>
        <w:rPr>
          <w:rFonts w:ascii="Helvetica Neue" w:hAnsi="Helvetica Neue" w:eastAsia="PingFang SC"/>
          <w:b/>
          <w:i w:val="0"/>
          <w:sz w:val="24"/>
        </w:rPr>
        <w:t>Gelombang 3, tujuh campuran.</w:t>
      </w:r>
      <w:r>
        <w:rPr>
          <w:rFonts w:ascii="Helvetica Neue" w:hAnsi="Helvetica Neue" w:eastAsia="PingFang SC"/>
          <w:b w:val="0"/>
          <w:i w:val="0"/>
          <w:sz w:val="24"/>
        </w:rPr>
        <w:t xml:space="preserve"> Elver Accountants, Custom CPA, James Scott, Onflair, DTCCOO Ventures, DTC Ventures, NorthPeak.</w:t>
      </w:r>
    </w:p>
    <w:p>
      <w:pPr>
        <w:spacing w:before="0" w:after="120" w:line="320" w:lineRule="exact"/>
        <w:ind w:firstLine="0"/>
        <w:jc w:val="left"/>
      </w:pPr>
      <w:r>
        <w:rPr>
          <w:rFonts w:ascii="Helvetica Neue" w:hAnsi="Helvetica Neue" w:eastAsia="PingFang SC"/>
          <w:b w:val="0"/>
          <w:i w:val="0"/>
          <w:sz w:val="24"/>
        </w:rPr>
        <w:t>Pembagiannya disengaja. Enam CFO menerima sudut kas: reorder point yang jadi tebakan, dan biayanya muncul sebagai inventory, bukan expense, sehingga tidak pernah tampak di P&amp;L sebagai kesalahan. Tujuh akuntan menerima sudut costing dan pencocokan invoice.</w:t>
      </w:r>
    </w:p>
    <w:p>
      <w:pPr>
        <w:spacing w:before="480" w:after="160"/>
        <w:jc w:val="left"/>
      </w:pPr>
      <w:r>
        <w:rPr>
          <w:rFonts w:ascii="Palatino Linotype" w:hAnsi="Palatino Linotype" w:eastAsia="PingFang SC"/>
          <w:b w:val="0"/>
          <w:i w:val="0"/>
          <w:color w:val="0C2B15"/>
          <w:sz w:val="36"/>
        </w:rPr>
        <w:t>3. Kenapa akuntan, bukan agency desain</w:t>
      </w:r>
    </w:p>
    <w:p>
      <w:pPr>
        <w:spacing w:before="0" w:after="120" w:line="320" w:lineRule="exact"/>
        <w:ind w:firstLine="0"/>
        <w:jc w:val="left"/>
      </w:pPr>
      <w:r>
        <w:rPr>
          <w:rFonts w:ascii="Helvetica Neue" w:hAnsi="Helvetica Neue" w:eastAsia="PingFang SC"/>
          <w:b w:val="0"/>
          <w:i w:val="0"/>
          <w:sz w:val="24"/>
        </w:rPr>
        <w:t>Rencana pertama adalah menghubungi agency Shopify. Itu pembeli yang salah. Agency desain menyerahkan toko selesai peluncuran dan tidak menyentuh purchase order lagi. Yang punya masalahnya adalah orang yang tiap bulan harus mencocokkan invoice supplier ke PO yang sudah hilang.</w:t>
      </w:r>
    </w:p>
    <w:p>
      <w:pPr>
        <w:spacing w:before="0" w:after="120" w:line="320" w:lineRule="exact"/>
        <w:ind w:firstLine="0"/>
        <w:jc w:val="left"/>
      </w:pPr>
      <w:r>
        <w:rPr>
          <w:rFonts w:ascii="Helvetica Neue" w:hAnsi="Helvetica Neue" w:eastAsia="PingFang SC"/>
          <w:b w:val="0"/>
          <w:i w:val="0"/>
          <w:sz w:val="24"/>
        </w:rPr>
        <w:t xml:space="preserve">Konsekuensi kedua: tawarannya bukan "rekrut saya". Bookkeeper dengan 40 klien tidak akan menyerahkan daftar kliennya. Tawarannya adalah subkontrak dengan harga tetap di belakang engagement yang sudah ada, dan satu kalimat yang mengerjakan seluruh bujukan: </w:t>
      </w:r>
      <w:r>
        <w:rPr>
          <w:rFonts w:ascii="Helvetica Neue" w:hAnsi="Helvetica Neue" w:eastAsia="PingFang SC"/>
          <w:b/>
          <w:i w:val="0"/>
          <w:sz w:val="24"/>
        </w:rPr>
        <w:t>klien tetap milik mereka, dan hasil kerjanya mereka tagih sendiri.</w:t>
      </w:r>
    </w:p>
    <w:p>
      <w:pPr>
        <w:spacing w:before="480" w:after="160"/>
        <w:jc w:val="left"/>
      </w:pPr>
      <w:r>
        <w:rPr>
          <w:rFonts w:ascii="Palatino Linotype" w:hAnsi="Palatino Linotype" w:eastAsia="PingFang SC"/>
          <w:b w:val="0"/>
          <w:i w:val="0"/>
          <w:color w:val="0C2B15"/>
          <w:sz w:val="36"/>
        </w:rPr>
        <w:t>4. Celah pasar yang dipakai</w:t>
      </w:r>
    </w:p>
    <w:p>
      <w:pPr>
        <w:spacing w:before="0" w:after="120" w:line="320" w:lineRule="exact"/>
        <w:ind w:firstLine="0"/>
        <w:jc w:val="left"/>
      </w:pPr>
      <w:r>
        <w:rPr>
          <w:rFonts w:ascii="Helvetica Neue" w:hAnsi="Helvetica Neue" w:eastAsia="PingFang SC"/>
          <w:b w:val="0"/>
          <w:i w:val="0"/>
          <w:sz w:val="24"/>
        </w:rPr>
        <w:t>Aplikasi pengganti Stocky berlimpah dan murah: Stockful 19,99 dolar per bulan, Monocle 47, Prediko 49, ReplenishRadar 99, Cin7 349. Semuanya menjual sistem baru untuk dijalankan mulai sekarang.</w:t>
      </w:r>
    </w:p>
    <w:p>
      <w:pPr>
        <w:spacing w:before="0" w:after="120" w:line="320" w:lineRule="exact"/>
        <w:ind w:firstLine="0"/>
        <w:jc w:val="left"/>
      </w:pPr>
      <w:r>
        <w:rPr>
          <w:rFonts w:ascii="Helvetica Neue" w:hAnsi="Helvetica Neue" w:eastAsia="PingFang SC"/>
          <w:b w:val="0"/>
          <w:i w:val="0"/>
          <w:sz w:val="24"/>
        </w:rPr>
        <w:t>Tidak satu pun membangun ulang riwayat yang sudah ada, karena itu kerja tangan, bukan perangkat lunak. Itulah celahnya: pekerjaan sekali jalan dengan lingkup tetap yang mengubah ekspor mati menjadi catatan biaya dan supplier yang bisa dipakai.</w:t>
      </w:r>
    </w:p>
    <w:p>
      <w:pPr>
        <w:spacing w:before="480" w:after="160"/>
        <w:jc w:val="left"/>
      </w:pPr>
      <w:r>
        <w:rPr>
          <w:rFonts w:ascii="Palatino Linotype" w:hAnsi="Palatino Linotype" w:eastAsia="PingFang SC"/>
          <w:b w:val="0"/>
          <w:i w:val="0"/>
          <w:color w:val="0C2B15"/>
          <w:sz w:val="36"/>
        </w:rPr>
        <w:t>5. Fakta yang menopang setiap email</w:t>
      </w:r>
    </w:p>
    <w:tbl>
      <w:tblPr>
        <w:tblStyle w:val="TableGrid"/>
        <w:tblW w:type="auto" w:w="0"/>
        <w:tblLook w:firstColumn="1" w:firstRow="1" w:lastColumn="0" w:lastRow="0" w:noHBand="0" w:noVBand="1" w:val="04A0"/>
      </w:tblPr>
      <w:tblGrid>
        <w:gridCol w:w="4986"/>
        <w:gridCol w:w="4986"/>
      </w:tblGrid>
      <w:tr>
        <w:tc>
          <w:tcPr>
            <w:tcW w:type="dxa" w:w="4986"/>
            <w:tcBorders>
              <w:top w:val="single" w:sz="12" w:color="212427"/>
              <w:bottom w:val="single" w:sz="6" w:color="212427"/>
              <w:left w:val="nil"/>
              <w:right w:val="nil"/>
            </w:tcBorders>
          </w:tcPr>
          <w:p>
            <w:pPr>
              <w:spacing w:before="80" w:after="80"/>
              <w:jc w:val="left"/>
            </w:pPr>
            <w:r>
              <w:rPr>
                <w:rFonts w:ascii="Helvetica Neue" w:hAnsi="Helvetica Neue" w:eastAsia="PingFang SC"/>
                <w:b/>
                <w:i w:val="0"/>
                <w:sz w:val="22"/>
              </w:rPr>
              <w:t>Fakta</w:t>
            </w:r>
          </w:p>
        </w:tc>
        <w:tc>
          <w:tcPr>
            <w:tcW w:type="dxa" w:w="4986"/>
            <w:tcBorders>
              <w:top w:val="single" w:sz="12" w:color="212427"/>
              <w:bottom w:val="single" w:sz="6" w:color="212427"/>
              <w:left w:val="nil"/>
              <w:right w:val="nil"/>
            </w:tcBorders>
          </w:tcPr>
          <w:p>
            <w:pPr>
              <w:spacing w:before="80" w:after="80"/>
              <w:jc w:val="left"/>
            </w:pPr>
            <w:r>
              <w:rPr>
                <w:rFonts w:ascii="Helvetica Neue" w:hAnsi="Helvetica Neue" w:eastAsia="PingFang SC"/>
                <w:b/>
                <w:i w:val="0"/>
                <w:sz w:val="22"/>
              </w:rPr>
              <w:t>Sumber</w:t>
            </w:r>
          </w:p>
        </w:tc>
      </w:tr>
      <w:tr>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Stocky berhenti penuh 31 Agustus 2026</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Shopify Help Center</w:t>
            </w:r>
          </w:p>
        </w:tc>
      </w:tr>
      <w:tr>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Ekspor read-only terbuka "at least 90 days" setelahnya, tanpa tanggal akhir</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Shopify Help Center</w:t>
            </w:r>
          </w:p>
        </w:tc>
      </w:tr>
      <w:tr>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Karena itu penutupan paling cepat 29 November 2026</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turunan dari dua baris di atas</w:t>
            </w:r>
          </w:p>
        </w:tc>
      </w:tr>
      <w:tr>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Supplier tidak pernah bisa diekspor dari Stocky</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Shopify Help Center</w:t>
            </w:r>
          </w:p>
        </w:tc>
      </w:tr>
      <w:tr>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Riwayat PO dan stocktake tidak pindah ke alat bawaan Shopify</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Shopify Help Center</w:t>
            </w:r>
          </w:p>
        </w:tc>
      </w:tr>
      <w:tr>
        <w:tc>
          <w:tcPr>
            <w:tcW w:type="dxa" w:w="4986"/>
            <w:tcBorders>
              <w:top w:val="nil"/>
              <w:bottom w:val="single" w:sz="6" w:color="212427"/>
              <w:left w:val="nil"/>
              <w:right w:val="nil"/>
            </w:tcBorders>
          </w:tcPr>
          <w:p>
            <w:pPr>
              <w:spacing w:before="80" w:after="80"/>
              <w:jc w:val="left"/>
            </w:pPr>
            <w:r>
              <w:rPr>
                <w:rFonts w:ascii="Helvetica Neue" w:hAnsi="Helvetica Neue" w:eastAsia="PingFang SC"/>
                <w:b w:val="0"/>
                <w:i w:val="0"/>
                <w:sz w:val="22"/>
              </w:rPr>
              <w:t>Alat bawaan Shopify menjaga kuantitas, bukan average cost dan landed cost</w:t>
            </w:r>
          </w:p>
        </w:tc>
        <w:tc>
          <w:tcPr>
            <w:tcW w:type="dxa" w:w="4986"/>
            <w:tcBorders>
              <w:top w:val="nil"/>
              <w:bottom w:val="single" w:sz="6" w:color="212427"/>
              <w:left w:val="nil"/>
              <w:right w:val="nil"/>
            </w:tcBorders>
          </w:tcPr>
          <w:p>
            <w:pPr>
              <w:spacing w:before="80" w:after="80"/>
              <w:jc w:val="left"/>
            </w:pPr>
            <w:r>
              <w:rPr>
                <w:rFonts w:ascii="Helvetica Neue" w:hAnsi="Helvetica Neue" w:eastAsia="PingFang SC"/>
                <w:b w:val="0"/>
                <w:i w:val="0"/>
                <w:sz w:val="22"/>
              </w:rPr>
              <w:t>Woodard Report, 23 Juli 2026</w:t>
            </w:r>
          </w:p>
        </w:tc>
      </w:tr>
    </w:tbl>
    <w:p/>
    <w:p>
      <w:pPr>
        <w:spacing w:before="0" w:after="120" w:line="320" w:lineRule="exact"/>
        <w:ind w:firstLine="0"/>
        <w:jc w:val="left"/>
      </w:pPr>
      <w:r>
        <w:rPr>
          <w:rFonts w:ascii="Helvetica Neue" w:hAnsi="Helvetica Neue" w:eastAsia="PingFang SC"/>
          <w:b w:val="0"/>
          <w:i w:val="0"/>
          <w:sz w:val="24"/>
        </w:rPr>
        <w:t>Tanggal 29 November adalah satu-satunya klaim di seluruh materi yang punya tenggat, dan itu juga satu-satunya yang bisa diverifikasi penerima dalam tiga puluh detik.</w:t>
      </w:r>
    </w:p>
    <w:p>
      <w:pPr>
        <w:spacing w:before="480" w:after="160"/>
        <w:jc w:val="left"/>
      </w:pPr>
      <w:r>
        <w:rPr>
          <w:rFonts w:ascii="Palatino Linotype" w:hAnsi="Palatino Linotype" w:eastAsia="PingFang SC"/>
          <w:b w:val="0"/>
          <w:i w:val="0"/>
          <w:color w:val="0C2B15"/>
          <w:sz w:val="36"/>
        </w:rPr>
        <w:t>6. Batas kirim yang berlaku</w:t>
      </w:r>
    </w:p>
    <w:p>
      <w:pPr>
        <w:spacing w:before="0" w:after="120" w:line="320" w:lineRule="exact"/>
        <w:ind w:firstLine="0"/>
        <w:jc w:val="left"/>
      </w:pPr>
      <w:r>
        <w:rPr>
          <w:rFonts w:ascii="Helvetica Neue" w:hAnsi="Helvetica Neue" w:eastAsia="PingFang SC"/>
          <w:b w:val="0"/>
          <w:i w:val="0"/>
          <w:sz w:val="24"/>
        </w:rPr>
        <w:t>Batas resmi Gmail gratis 500 per hari. Angka itu kuota teknis, bukan anggaran reputasi. Ambang yang sebenarnya menentukan adalah keluhan spam di bawah 0,3 persen. Pada volume 20, satu keluhan saja sudah 5 persen.</w:t>
      </w:r>
    </w:p>
    <w:p>
      <w:pPr>
        <w:spacing w:before="0" w:after="120" w:line="320" w:lineRule="exact"/>
        <w:ind w:firstLine="0"/>
        <w:jc w:val="left"/>
      </w:pPr>
      <w:r>
        <w:rPr>
          <w:rFonts w:ascii="Helvetica Neue" w:hAnsi="Helvetica Neue" w:eastAsia="PingFang SC"/>
          <w:b w:val="0"/>
          <w:i w:val="0"/>
          <w:sz w:val="24"/>
        </w:rPr>
        <w:t xml:space="preserve">Patokan yang dipakai: 20 per hari, jarak 3 menit, 15 per jam, langit-langit 40. Ditegakkan oleh </w:t>
      </w:r>
      <w:r>
        <w:rPr>
          <w:rFonts w:ascii="Courier New" w:hAnsi="Courier New" w:eastAsia="Courier New"/>
          <w:sz w:val="22"/>
        </w:rPr>
        <w:t>send-budget.py</w:t>
      </w:r>
      <w:r>
        <w:rPr>
          <w:rFonts w:ascii="Helvetica Neue" w:hAnsi="Helvetica Neue" w:eastAsia="PingFang SC"/>
          <w:b w:val="0"/>
          <w:i w:val="0"/>
          <w:sz w:val="24"/>
        </w:rPr>
        <w:t xml:space="preserve"> yang membaca </w:t>
      </w:r>
      <w:r>
        <w:rPr>
          <w:rFonts w:ascii="Courier New" w:hAnsi="Courier New" w:eastAsia="Courier New"/>
          <w:sz w:val="22"/>
        </w:rPr>
        <w:t>ledger.json</w:t>
      </w:r>
      <w:r>
        <w:rPr>
          <w:rFonts w:ascii="Helvetica Neue" w:hAnsi="Helvetica Neue" w:eastAsia="PingFang SC"/>
          <w:b w:val="0"/>
          <w:i w:val="0"/>
          <w:sz w:val="24"/>
        </w:rPr>
        <w:t xml:space="preserve"> dan menolak kiriman yang melewati batas.</w:t>
      </w:r>
    </w:p>
    <w:p>
      <w:pPr>
        <w:spacing w:before="0" w:after="120" w:line="320" w:lineRule="exact"/>
        <w:ind w:firstLine="0"/>
        <w:jc w:val="left"/>
      </w:pPr>
      <w:r>
        <w:rPr>
          <w:rFonts w:ascii="Helvetica Neue" w:hAnsi="Helvetica Neue" w:eastAsia="PingFang SC"/>
          <w:b w:val="0"/>
          <w:i w:val="0"/>
          <w:sz w:val="24"/>
        </w:rPr>
        <w:t>Aturan berhenti: empat kegagalan beruntun, dua bounce dalam dua puluh kiriman, atau satu keluhan spam. Berhenti berarti berhenti, bukan "kurangi sedikit".</w:t>
      </w:r>
    </w:p>
    <w:p>
      <w:pPr>
        <w:spacing w:before="480" w:after="160"/>
        <w:jc w:val="left"/>
      </w:pPr>
      <w:r>
        <w:rPr>
          <w:rFonts w:ascii="Palatino Linotype" w:hAnsi="Palatino Linotype" w:eastAsia="PingFang SC"/>
          <w:b w:val="0"/>
          <w:i w:val="0"/>
          <w:color w:val="0C2B15"/>
          <w:sz w:val="36"/>
        </w:rPr>
        <w:t>7. Yang membatasi sekarang bukan Gmail</w:t>
      </w:r>
    </w:p>
    <w:p>
      <w:pPr>
        <w:spacing w:before="0" w:after="120" w:line="320" w:lineRule="exact"/>
        <w:ind w:firstLine="0"/>
        <w:jc w:val="left"/>
      </w:pPr>
      <w:r>
        <w:rPr>
          <w:rFonts w:ascii="Helvetica Neue" w:hAnsi="Helvetica Neue" w:eastAsia="PingFang SC"/>
          <w:b w:val="0"/>
          <w:i w:val="0"/>
          <w:sz w:val="24"/>
        </w:rPr>
        <w:t>Dua puluh kiriman menghabiskan sepertiga kolam firma akuntansi dan CFO ecommerce berbahasa Inggris yang memenuhi syarat: alamat publik di situs sendiri, MX hidup, dan alasan spesifik untuk menghubungi mereka.</w:t>
      </w:r>
    </w:p>
    <w:p>
      <w:pPr>
        <w:spacing w:before="0" w:after="120" w:line="320" w:lineRule="exact"/>
        <w:ind w:firstLine="0"/>
        <w:jc w:val="left"/>
      </w:pPr>
      <w:r>
        <w:rPr>
          <w:rFonts w:ascii="Helvetica Neue" w:hAnsi="Helvetica Neue" w:eastAsia="PingFang SC"/>
          <w:b w:val="0"/>
          <w:i w:val="0"/>
          <w:sz w:val="24"/>
        </w:rPr>
        <w:t>Perkiraan realistis ukuran kolam itu 60 sampai 90 firma. Dengan 20 per hari, habis dalam empat hari.</w:t>
      </w:r>
    </w:p>
    <w:p>
      <w:pPr>
        <w:spacing w:before="0" w:after="120" w:line="320" w:lineRule="exact"/>
        <w:ind w:firstLine="0"/>
        <w:jc w:val="left"/>
      </w:pPr>
      <w:r>
        <w:rPr>
          <w:rFonts w:ascii="Helvetica Neue" w:hAnsi="Helvetica Neue" w:eastAsia="PingFang SC"/>
          <w:b w:val="0"/>
          <w:i w:val="0"/>
          <w:sz w:val="24"/>
        </w:rPr>
        <w:t>Batch 3 sudah disiapkan dan belum dikirim: Unloop, Fusion CPA, The Ecommerce Accountants, Irvine Bookkeeping, lalu tiga 3PL sebagai tes terpisah (Encore, ShipCalm, SHIPHYPE). Tujuh firma. Segmen 3PL dicatat sebagai eksperimen, bukan keyakinan, karena mereka menagih per order dan per pallet sehingga advisory 250 dolar terasa asing bagi mereka.</w:t>
      </w:r>
    </w:p>
    <w:p>
      <w:pPr>
        <w:spacing w:before="480" w:after="160"/>
        <w:jc w:val="left"/>
      </w:pPr>
      <w:r>
        <w:rPr>
          <w:rFonts w:ascii="Palatino Linotype" w:hAnsi="Palatino Linotype" w:eastAsia="PingFang SC"/>
          <w:b w:val="0"/>
          <w:i w:val="0"/>
          <w:color w:val="0C2B15"/>
          <w:sz w:val="36"/>
        </w:rPr>
        <w:t>8. Jadwal yang tidak bisa digeser</w:t>
      </w:r>
    </w:p>
    <w:tbl>
      <w:tblPr>
        <w:tblStyle w:val="TableGrid"/>
        <w:tblW w:type="auto" w:w="0"/>
        <w:tblLook w:firstColumn="1" w:firstRow="1" w:lastColumn="0" w:lastRow="0" w:noHBand="0" w:noVBand="1" w:val="04A0"/>
      </w:tblPr>
      <w:tblGrid>
        <w:gridCol w:w="4986"/>
        <w:gridCol w:w="4986"/>
      </w:tblGrid>
      <w:tr>
        <w:tc>
          <w:tcPr>
            <w:tcW w:type="dxa" w:w="4986"/>
            <w:tcBorders>
              <w:top w:val="single" w:sz="12" w:color="212427"/>
              <w:bottom w:val="single" w:sz="6" w:color="212427"/>
              <w:left w:val="nil"/>
              <w:right w:val="nil"/>
            </w:tcBorders>
          </w:tcPr>
          <w:p>
            <w:pPr>
              <w:spacing w:before="80" w:after="80"/>
              <w:jc w:val="left"/>
            </w:pPr>
            <w:r>
              <w:rPr>
                <w:rFonts w:ascii="Helvetica Neue" w:hAnsi="Helvetica Neue" w:eastAsia="PingFang SC"/>
                <w:b/>
                <w:i w:val="0"/>
                <w:sz w:val="22"/>
              </w:rPr>
              <w:t>Tanggal</w:t>
            </w:r>
          </w:p>
        </w:tc>
        <w:tc>
          <w:tcPr>
            <w:tcW w:type="dxa" w:w="4986"/>
            <w:tcBorders>
              <w:top w:val="single" w:sz="12" w:color="212427"/>
              <w:bottom w:val="single" w:sz="6" w:color="212427"/>
              <w:left w:val="nil"/>
              <w:right w:val="nil"/>
            </w:tcBorders>
          </w:tcPr>
          <w:p>
            <w:pPr>
              <w:spacing w:before="80" w:after="80"/>
              <w:jc w:val="left"/>
            </w:pPr>
            <w:r>
              <w:rPr>
                <w:rFonts w:ascii="Helvetica Neue" w:hAnsi="Helvetica Neue" w:eastAsia="PingFang SC"/>
                <w:b/>
                <w:i w:val="0"/>
                <w:sz w:val="22"/>
              </w:rPr>
              <w:t>Tindakan</w:t>
            </w:r>
          </w:p>
        </w:tc>
      </w:tr>
      <w:tr>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31 Oktober</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Follow-up hari ke-3 untuk 20 penerima. Satu informasi baru: jebakan MOQ unit versus minimum order value.</w:t>
            </w:r>
          </w:p>
        </w:tc>
      </w:tr>
      <w:tr>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4 November</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Follow-up hari ke-7. Hanya tenggat, tanpa tawaran.</w:t>
            </w:r>
          </w:p>
        </w:tc>
      </w:tr>
      <w:tr>
        <w:tc>
          <w:tcPr>
            <w:tcW w:type="dxa" w:w="4986"/>
            <w:tcBorders>
              <w:top w:val="nil"/>
              <w:bottom w:val="single" w:sz="6" w:color="212427"/>
              <w:left w:val="nil"/>
              <w:right w:val="nil"/>
            </w:tcBorders>
          </w:tcPr>
          <w:p>
            <w:pPr>
              <w:spacing w:before="80" w:after="80"/>
              <w:jc w:val="left"/>
            </w:pPr>
            <w:r>
              <w:rPr>
                <w:rFonts w:ascii="Helvetica Neue" w:hAnsi="Helvetica Neue" w:eastAsia="PingFang SC"/>
                <w:b w:val="0"/>
                <w:i w:val="0"/>
                <w:sz w:val="22"/>
              </w:rPr>
              <w:t>Setelah itu</w:t>
            </w:r>
          </w:p>
        </w:tc>
        <w:tc>
          <w:tcPr>
            <w:tcW w:type="dxa" w:w="4986"/>
            <w:tcBorders>
              <w:top w:val="nil"/>
              <w:bottom w:val="single" w:sz="6" w:color="212427"/>
              <w:left w:val="nil"/>
              <w:right w:val="nil"/>
            </w:tcBorders>
          </w:tcPr>
          <w:p>
            <w:pPr>
              <w:spacing w:before="80" w:after="80"/>
              <w:jc w:val="left"/>
            </w:pPr>
            <w:r>
              <w:rPr>
                <w:rFonts w:ascii="Helvetica Neue" w:hAnsi="Helvetica Neue" w:eastAsia="PingFang SC"/>
                <w:b w:val="0"/>
                <w:i w:val="0"/>
                <w:sz w:val="22"/>
              </w:rPr>
              <w:t>Berhenti. Tidak ada email keempat.</w:t>
            </w:r>
          </w:p>
        </w:tc>
      </w:tr>
    </w:tbl>
    <w:p/>
    <w:p>
      <w:pPr>
        <w:spacing w:before="0" w:after="120" w:line="320" w:lineRule="exact"/>
        <w:ind w:firstLine="0"/>
        <w:jc w:val="left"/>
      </w:pPr>
      <w:r>
        <w:rPr>
          <w:rFonts w:ascii="Helvetica Neue" w:hAnsi="Helvetica Neue" w:eastAsia="PingFang SC"/>
          <w:b w:val="0"/>
          <w:i w:val="0"/>
          <w:sz w:val="24"/>
        </w:rPr>
        <w:t>Balasan apa pun membatalkan sekuens untuk alamat itu, permanen.</w:t>
      </w:r>
    </w:p>
    <w:p>
      <w:pPr>
        <w:spacing w:before="480" w:after="160"/>
        <w:jc w:val="left"/>
      </w:pPr>
      <w:r>
        <w:rPr>
          <w:rFonts w:ascii="Palatino Linotype" w:hAnsi="Palatino Linotype" w:eastAsia="PingFang SC"/>
          <w:b w:val="0"/>
          <w:i w:val="0"/>
          <w:color w:val="0C2B15"/>
          <w:sz w:val="36"/>
        </w:rPr>
        <w:t>9. Aritmatika target</w:t>
      </w:r>
    </w:p>
    <w:p>
      <w:pPr>
        <w:spacing w:before="0" w:after="120" w:line="320" w:lineRule="exact"/>
        <w:ind w:firstLine="0"/>
        <w:jc w:val="left"/>
      </w:pPr>
      <w:r>
        <w:rPr>
          <w:rFonts w:ascii="Helvetica Neue" w:hAnsi="Helvetica Neue" w:eastAsia="PingFang SC"/>
          <w:b w:val="0"/>
          <w:i w:val="0"/>
          <w:sz w:val="24"/>
        </w:rPr>
        <w:t>Target 1.500 dolar. Dua engagement 750 dolar, atau tiga engagement 450 dolar. Pada reply rate 5 persen dan closing 20 persen dari balasan, itu berarti 200 sampai 300 kiriman tertarget.</w:t>
      </w:r>
    </w:p>
    <w:p>
      <w:pPr>
        <w:spacing w:before="0" w:after="120" w:line="320" w:lineRule="exact"/>
        <w:ind w:firstLine="0"/>
        <w:jc w:val="left"/>
      </w:pPr>
      <w:r>
        <w:rPr>
          <w:rFonts w:ascii="Helvetica Neue" w:hAnsi="Helvetica Neue" w:eastAsia="PingFang SC"/>
          <w:b w:val="0"/>
          <w:i w:val="0"/>
          <w:sz w:val="24"/>
        </w:rPr>
        <w:t>Dua puluh sudah terkirim. Sisanya butuh kolam yang lebih besar, atau segmen baru, atau harga yang lebih tinggi per engagement. Yang tidak akan berhasil adalah menambah volume tanpa memperbaiki penargetan.</w:t>
      </w:r>
    </w:p>
    <w:p>
      <w:pPr>
        <w:spacing w:before="480" w:after="160"/>
        <w:jc w:val="left"/>
      </w:pPr>
      <w:r>
        <w:rPr>
          <w:rFonts w:ascii="Palatino Linotype" w:hAnsi="Palatino Linotype" w:eastAsia="PingFang SC"/>
          <w:b w:val="0"/>
          <w:i w:val="0"/>
          <w:color w:val="0C2B15"/>
          <w:sz w:val="36"/>
        </w:rPr>
        <w:t>10. Empat hal yang bukan pekerjaan saya</w:t>
      </w:r>
    </w:p>
    <w:p>
      <w:pPr>
        <w:spacing w:before="0" w:after="120" w:line="320" w:lineRule="exact"/>
        <w:ind w:firstLine="0"/>
        <w:jc w:val="left"/>
      </w:pPr>
      <w:r>
        <w:rPr>
          <w:rFonts w:ascii="Helvetica Neue" w:hAnsi="Helvetica Neue" w:eastAsia="PingFang SC"/>
          <w:b w:val="0"/>
          <w:i w:val="0"/>
          <w:sz w:val="24"/>
        </w:rPr>
        <w:t>Pembelian domain, penyetelan mailbox, pengiriman dari akun sendiri, dan keputusan apakah nama studio dipertahankan. Yang terakhir sudah diputuskan pemilik pada 29 Oktober: tetap Small Signal Studio, tetap dari Gmail, domain ditunda.</w:t>
      </w:r>
    </w:p>
    <w:p>
      <w:pPr>
        <w:spacing w:before="80" w:after="80"/>
        <w:jc w:val="center"/>
      </w:pPr>
      <w:r>
        <w:rPr>
          <w:color w:val="AAAAAA"/>
        </w:rPr>
        <w:t>────────────────────────────────────────</w:t>
      </w:r>
    </w:p>
    <w:p>
      <w:pPr>
        <w:spacing w:before="480" w:after="160"/>
        <w:jc w:val="left"/>
      </w:pPr>
      <w:r>
        <w:rPr>
          <w:rFonts w:ascii="Palatino Linotype" w:hAnsi="Palatino Linotype" w:eastAsia="PingFang SC"/>
          <w:b w:val="0"/>
          <w:i w:val="0"/>
          <w:color w:val="0C2B15"/>
          <w:sz w:val="36"/>
        </w:rPr>
        <w:t>Lampiran: berkas yang menyertai dokumen ini</w:t>
      </w:r>
    </w:p>
    <w:tbl>
      <w:tblPr>
        <w:tblStyle w:val="TableGrid"/>
        <w:tblW w:type="auto" w:w="0"/>
        <w:tblLook w:firstColumn="1" w:firstRow="1" w:lastColumn="0" w:lastRow="0" w:noHBand="0" w:noVBand="1" w:val="04A0"/>
      </w:tblPr>
      <w:tblGrid>
        <w:gridCol w:w="4986"/>
        <w:gridCol w:w="4986"/>
      </w:tblGrid>
      <w:tr>
        <w:tc>
          <w:tcPr>
            <w:tcW w:type="dxa" w:w="4986"/>
            <w:tcBorders>
              <w:top w:val="single" w:sz="12" w:color="212427"/>
              <w:bottom w:val="single" w:sz="6" w:color="212427"/>
              <w:left w:val="nil"/>
              <w:right w:val="nil"/>
            </w:tcBorders>
          </w:tcPr>
          <w:p>
            <w:pPr>
              <w:spacing w:before="80" w:after="80"/>
              <w:jc w:val="left"/>
            </w:pPr>
            <w:r>
              <w:rPr>
                <w:rFonts w:ascii="Helvetica Neue" w:hAnsi="Helvetica Neue" w:eastAsia="PingFang SC"/>
                <w:b/>
                <w:i w:val="0"/>
                <w:sz w:val="22"/>
              </w:rPr>
              <w:t>Berkas</w:t>
            </w:r>
          </w:p>
        </w:tc>
        <w:tc>
          <w:tcPr>
            <w:tcW w:type="dxa" w:w="4986"/>
            <w:tcBorders>
              <w:top w:val="single" w:sz="12" w:color="212427"/>
              <w:bottom w:val="single" w:sz="6" w:color="212427"/>
              <w:left w:val="nil"/>
              <w:right w:val="nil"/>
            </w:tcBorders>
          </w:tcPr>
          <w:p>
            <w:pPr>
              <w:spacing w:before="80" w:after="80"/>
              <w:jc w:val="left"/>
            </w:pPr>
            <w:r>
              <w:rPr>
                <w:rFonts w:ascii="Helvetica Neue" w:hAnsi="Helvetica Neue" w:eastAsia="PingFang SC"/>
                <w:b/>
                <w:i w:val="0"/>
                <w:sz w:val="22"/>
              </w:rPr>
              <w:t>Isi</w:t>
            </w:r>
          </w:p>
        </w:tc>
      </w:tr>
      <w:tr>
        <w:tc>
          <w:tcPr>
            <w:tcW w:type="dxa" w:w="4986"/>
            <w:tcBorders>
              <w:top w:val="nil"/>
              <w:bottom w:val="nil"/>
              <w:left w:val="nil"/>
              <w:right w:val="nil"/>
            </w:tcBorders>
          </w:tcPr>
          <w:p>
            <w:pPr>
              <w:spacing w:before="80" w:after="80"/>
              <w:jc w:val="left"/>
            </w:pPr>
            <w:r>
              <w:rPr>
                <w:rFonts w:ascii="Courier New" w:hAnsi="Courier New" w:eastAsia="Courier New"/>
                <w:sz w:val="20"/>
              </w:rPr>
              <w:t>SENDING-POLICY.md</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Batas kirim, aturan stop, kebijakan identitas pengirim</w:t>
            </w:r>
          </w:p>
        </w:tc>
      </w:tr>
      <w:tr>
        <w:tc>
          <w:tcPr>
            <w:tcW w:type="dxa" w:w="4986"/>
            <w:tcBorders>
              <w:top w:val="nil"/>
              <w:bottom w:val="nil"/>
              <w:left w:val="nil"/>
              <w:right w:val="nil"/>
            </w:tcBorders>
          </w:tcPr>
          <w:p>
            <w:pPr>
              <w:spacing w:before="80" w:after="80"/>
              <w:jc w:val="left"/>
            </w:pPr>
            <w:r>
              <w:rPr>
                <w:rFonts w:ascii="Courier New" w:hAnsi="Courier New" w:eastAsia="Courier New"/>
                <w:sz w:val="20"/>
              </w:rPr>
              <w:t>PARTNER-RESEARCH.md</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Riset pasar, harga pembanding, alasan memilih dan menolak</w:t>
            </w:r>
          </w:p>
        </w:tc>
      </w:tr>
      <w:tr>
        <w:tc>
          <w:tcPr>
            <w:tcW w:type="dxa" w:w="4986"/>
            <w:tcBorders>
              <w:top w:val="nil"/>
              <w:bottom w:val="nil"/>
              <w:left w:val="nil"/>
              <w:right w:val="nil"/>
            </w:tcBorders>
          </w:tcPr>
          <w:p>
            <w:pPr>
              <w:spacing w:before="80" w:after="80"/>
              <w:jc w:val="left"/>
            </w:pPr>
            <w:r>
              <w:rPr>
                <w:rFonts w:ascii="Courier New" w:hAnsi="Courier New" w:eastAsia="Courier New"/>
                <w:sz w:val="20"/>
              </w:rPr>
              <w:t>SENT-2026-10-29.md</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Tujuh kiriman pertama dan teks follow-up</w:t>
            </w:r>
          </w:p>
        </w:tc>
      </w:tr>
      <w:tr>
        <w:tc>
          <w:tcPr>
            <w:tcW w:type="dxa" w:w="4986"/>
            <w:tcBorders>
              <w:top w:val="nil"/>
              <w:bottom w:val="nil"/>
              <w:left w:val="nil"/>
              <w:right w:val="nil"/>
            </w:tcBorders>
          </w:tcPr>
          <w:p>
            <w:pPr>
              <w:spacing w:before="80" w:after="80"/>
              <w:jc w:val="left"/>
            </w:pPr>
            <w:r>
              <w:rPr>
                <w:rFonts w:ascii="Courier New" w:hAnsi="Courier New" w:eastAsia="Courier New"/>
                <w:sz w:val="20"/>
              </w:rPr>
              <w:t>SENT-2026-10-28-batch2.md</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Tiga belas kiriman berikutnya</w:t>
            </w:r>
          </w:p>
        </w:tc>
      </w:tr>
      <w:tr>
        <w:tc>
          <w:tcPr>
            <w:tcW w:type="dxa" w:w="4986"/>
            <w:tcBorders>
              <w:top w:val="nil"/>
              <w:bottom w:val="nil"/>
              <w:left w:val="nil"/>
              <w:right w:val="nil"/>
            </w:tcBorders>
          </w:tcPr>
          <w:p>
            <w:pPr>
              <w:spacing w:before="80" w:after="80"/>
              <w:jc w:val="left"/>
            </w:pPr>
            <w:r>
              <w:rPr>
                <w:rFonts w:ascii="Courier New" w:hAnsi="Courier New" w:eastAsia="Courier New"/>
                <w:sz w:val="20"/>
              </w:rPr>
              <w:t>TARGETS-BATCH-3.md</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Tujuh target berikutnya, terverifikasi</w:t>
            </w:r>
          </w:p>
        </w:tc>
      </w:tr>
      <w:tr>
        <w:tc>
          <w:tcPr>
            <w:tcW w:type="dxa" w:w="4986"/>
            <w:tcBorders>
              <w:top w:val="nil"/>
              <w:bottom w:val="nil"/>
              <w:left w:val="nil"/>
              <w:right w:val="nil"/>
            </w:tcBorders>
          </w:tcPr>
          <w:p>
            <w:pPr>
              <w:spacing w:before="80" w:after="80"/>
              <w:jc w:val="left"/>
            </w:pPr>
            <w:r>
              <w:rPr>
                <w:rFonts w:ascii="Courier New" w:hAnsi="Courier New" w:eastAsia="Courier New"/>
                <w:sz w:val="20"/>
              </w:rPr>
              <w:t>ledger.json</w:t>
            </w:r>
          </w:p>
        </w:tc>
        <w:tc>
          <w:tcPr>
            <w:tcW w:type="dxa" w:w="4986"/>
            <w:tcBorders>
              <w:top w:val="nil"/>
              <w:bottom w:val="nil"/>
              <w:left w:val="nil"/>
              <w:right w:val="nil"/>
            </w:tcBorders>
          </w:tcPr>
          <w:p>
            <w:pPr>
              <w:spacing w:before="80" w:after="80"/>
              <w:jc w:val="left"/>
            </w:pPr>
            <w:r>
              <w:rPr>
                <w:rFonts w:ascii="Helvetica Neue" w:hAnsi="Helvetica Neue" w:eastAsia="PingFang SC"/>
                <w:b w:val="0"/>
                <w:i w:val="0"/>
                <w:sz w:val="22"/>
              </w:rPr>
              <w:t>Catatan setiap kiriman, sumber angka di dokumen ini</w:t>
            </w:r>
          </w:p>
        </w:tc>
      </w:tr>
      <w:tr>
        <w:tc>
          <w:tcPr>
            <w:tcW w:type="dxa" w:w="4986"/>
            <w:tcBorders>
              <w:top w:val="nil"/>
              <w:bottom w:val="single" w:sz="6" w:color="212427"/>
              <w:left w:val="nil"/>
              <w:right w:val="nil"/>
            </w:tcBorders>
          </w:tcPr>
          <w:p>
            <w:pPr>
              <w:spacing w:before="80" w:after="80"/>
              <w:jc w:val="left"/>
            </w:pPr>
            <w:r>
              <w:rPr>
                <w:rFonts w:ascii="Courier New" w:hAnsi="Courier New" w:eastAsia="Courier New"/>
                <w:sz w:val="20"/>
              </w:rPr>
              <w:t>send-budget.py</w:t>
            </w:r>
          </w:p>
        </w:tc>
        <w:tc>
          <w:tcPr>
            <w:tcW w:type="dxa" w:w="4986"/>
            <w:tcBorders>
              <w:top w:val="nil"/>
              <w:bottom w:val="single" w:sz="6" w:color="212427"/>
              <w:left w:val="nil"/>
              <w:right w:val="nil"/>
            </w:tcBorders>
          </w:tcPr>
          <w:p>
            <w:pPr>
              <w:spacing w:before="80" w:after="80"/>
              <w:jc w:val="left"/>
            </w:pPr>
            <w:r>
              <w:rPr>
                <w:rFonts w:ascii="Helvetica Neue" w:hAnsi="Helvetica Neue" w:eastAsia="PingFang SC"/>
                <w:b w:val="0"/>
                <w:i w:val="0"/>
                <w:sz w:val="22"/>
              </w:rPr>
              <w:t>Penegak batas kirim</w:t>
            </w:r>
          </w:p>
        </w:tc>
      </w:tr>
    </w:tbl>
    <w:p/>
    <w:sectPr w:rsidR="00FC693F" w:rsidRPr="0006063C" w:rsidSect="00034616">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