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z1xx5un1i39" w:id="0"/>
      <w:bookmarkEnd w:id="0"/>
      <w:r w:rsidDel="00000000" w:rsidR="00000000" w:rsidRPr="00000000">
        <w:rPr>
          <w:b w:val="1"/>
          <w:bCs w:val="1"/>
          <w:sz w:val="46"/>
          <w:szCs w:val="46"/>
          <w:rtl w:val="0"/>
        </w:rPr>
        <w:t xml:space="preserve">Explainable AI (XAI) Analysis: SHAP on LeViT-256 Hybrid Model</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This report details the implementation of SHapley Additive exPlanations (SHAP) on the LeViT-256+EfficientNetV2-Shybrid model. The objective is to provide </w:t>
      </w:r>
      <w:r w:rsidDel="00000000" w:rsidR="00000000" w:rsidRPr="00000000">
        <w:rPr>
          <w:b w:val="1"/>
          <w:bCs w:val="1"/>
          <w:sz w:val="28"/>
          <w:szCs w:val="28"/>
          <w:rtl w:val="0"/>
        </w:rPr>
        <w:t xml:space="preserve">model transparency</w:t>
      </w:r>
      <w:r w:rsidDel="00000000" w:rsidR="00000000" w:rsidRPr="00000000">
        <w:rPr>
          <w:sz w:val="28"/>
          <w:szCs w:val="28"/>
          <w:rtl w:val="0"/>
        </w:rPr>
        <w:t xml:space="preserve"> by identifying the specific visual regions (superpixels) that contribute most significantly to the model's predictions for the TrashNeXt image classification task.</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fsdwgqepz65" w:id="1"/>
      <w:bookmarkEnd w:id="1"/>
      <w:r w:rsidDel="00000000" w:rsidR="00000000" w:rsidRPr="00000000">
        <w:rPr>
          <w:b w:val="1"/>
          <w:bCs w:val="1"/>
          <w:sz w:val="34"/>
          <w:szCs w:val="34"/>
          <w:rtl w:val="0"/>
        </w:rPr>
        <w:t xml:space="preserve">1. Model and Performance Context</w:t>
      </w:r>
    </w:p>
    <w:p w:rsidR="00000000" w:rsidDel="00000000" w:rsidP="00000000" w:rsidRDefault="00000000" w:rsidRPr="00000000" w14:paraId="00000005">
      <w:pPr>
        <w:spacing w:after="240" w:before="240" w:lineRule="auto"/>
        <w:rPr/>
      </w:pPr>
      <w:r w:rsidDel="00000000" w:rsidR="00000000" w:rsidRPr="00000000">
        <w:rPr>
          <w:rtl w:val="0"/>
        </w:rPr>
        <w:t xml:space="preserve">Before examining explainability, it is essential to establish the model's reliability.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r76blkj4q8q" w:id="2"/>
      <w:bookmarkEnd w:id="2"/>
      <w:r w:rsidDel="00000000" w:rsidR="00000000" w:rsidRPr="00000000">
        <w:rPr>
          <w:b w:val="1"/>
          <w:bCs w:val="1"/>
          <w:color w:val="000000"/>
          <w:sz w:val="26"/>
          <w:szCs w:val="26"/>
          <w:rtl w:val="0"/>
        </w:rPr>
        <w:t xml:space="preserve">1.1. Hybrid Architecture Overview</w:t>
      </w:r>
    </w:p>
    <w:p w:rsidR="00000000" w:rsidDel="00000000" w:rsidP="00000000" w:rsidRDefault="00000000" w:rsidRPr="00000000" w14:paraId="00000007">
      <w:pPr>
        <w:spacing w:after="240" w:before="240" w:lineRule="auto"/>
        <w:rPr/>
      </w:pPr>
      <w:r w:rsidDel="00000000" w:rsidR="00000000" w:rsidRPr="00000000">
        <w:rPr>
          <w:rtl w:val="0"/>
        </w:rPr>
        <w:t xml:space="preserve">The system operates as a feature-based hybrid model:</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Feature Extractors:</w:t>
      </w:r>
      <w:r w:rsidDel="00000000" w:rsidR="00000000" w:rsidRPr="00000000">
        <w:rPr>
          <w:rtl w:val="0"/>
        </w:rPr>
        <w:t xml:space="preserve"> EfficientNetV2-S (CNN, 1280D features) and LeViT-256 (Vision Transformer, 512Dfeatures). Both are pre-trained and fixed.</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Feature Space:</w:t>
      </w:r>
      <w:r w:rsidDel="00000000" w:rsidR="00000000" w:rsidRPr="00000000">
        <w:rPr>
          <w:rtl w:val="0"/>
        </w:rPr>
        <w:t xml:space="preserve"> The features are concatenated to form a 1792D vector.</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Classifier:</w:t>
      </w:r>
      <w:r w:rsidDel="00000000" w:rsidR="00000000" w:rsidRPr="00000000">
        <w:rPr>
          <w:rtl w:val="0"/>
        </w:rPr>
        <w:t xml:space="preserve"> An XGBoost classifier is trained on the combined feature vectors.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ijtocyuh0ll" w:id="3"/>
      <w:bookmarkEnd w:id="3"/>
      <w:r w:rsidDel="00000000" w:rsidR="00000000" w:rsidRPr="00000000">
        <w:rPr>
          <w:b w:val="1"/>
          <w:bCs w:val="1"/>
          <w:color w:val="000000"/>
          <w:sz w:val="26"/>
          <w:szCs w:val="26"/>
          <w:rtl w:val="0"/>
        </w:rPr>
        <w:t xml:space="preserve">1.2. Key Generalization Metrics (Testing Set)</w:t>
      </w:r>
    </w:p>
    <w:p w:rsidR="00000000" w:rsidDel="00000000" w:rsidP="00000000" w:rsidRDefault="00000000" w:rsidRPr="00000000" w14:paraId="0000000C">
      <w:pPr>
        <w:spacing w:after="240" w:before="240" w:lineRule="auto"/>
        <w:rPr/>
      </w:pPr>
      <w:r w:rsidDel="00000000" w:rsidR="00000000" w:rsidRPr="00000000">
        <w:rPr>
          <w:rtl w:val="0"/>
        </w:rPr>
        <w:t xml:space="preserve">The model demonstrates strong predictive performance on unseen data:</w:t>
      </w:r>
    </w:p>
    <w:tbl>
      <w:tblPr>
        <w:tblStyle w:val="Table1"/>
        <w:tblW w:w="8280.0" w:type="dxa"/>
        <w:jc w:val="left"/>
        <w:tblLayout w:type="fixed"/>
        <w:tblLook w:val="0600"/>
      </w:tblPr>
      <w:tblGrid>
        <w:gridCol w:w="2525"/>
        <w:gridCol w:w="1040"/>
        <w:gridCol w:w="4715"/>
        <w:tblGridChange w:id="0">
          <w:tblGrid>
            <w:gridCol w:w="2525"/>
            <w:gridCol w:w="1040"/>
            <w:gridCol w:w="47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Metric</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Value</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Interpretation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Testing Accuracy</w:t>
            </w:r>
            <w:r w:rsidDel="00000000" w:rsidR="00000000" w:rsidRPr="00000000">
              <w:rPr>
                <w:rFonts w:ascii="Arial Unicode MS" w:cs="Arial Unicode MS" w:eastAsia="Arial Unicode MS" w:hAnsi="Arial Unicode MS"/>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0.8981</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Overall correctness on the testing set.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Weighted F1-Score</w:t>
            </w:r>
            <w:r w:rsidDel="00000000" w:rsidR="00000000" w:rsidRPr="00000000">
              <w:rPr>
                <w:rFonts w:ascii="Arial Unicode MS" w:cs="Arial Unicode MS" w:eastAsia="Arial Unicode MS" w:hAnsi="Arial Unicode MS"/>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0.8980</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Robust harmonic mean of precision and recall.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Weighted AUROC</w:t>
            </w:r>
            <w:r w:rsidDel="00000000" w:rsidR="00000000" w:rsidRPr="00000000">
              <w:rPr>
                <w:rFonts w:ascii="Arial Unicode MS" w:cs="Arial Unicode MS" w:eastAsia="Arial Unicode MS" w:hAnsi="Arial Unicode MS"/>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0.9926</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Excellent ability to separate classes.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Inference Time</w:t>
            </w:r>
            <w:r w:rsidDel="00000000" w:rsidR="00000000" w:rsidRPr="00000000">
              <w:rPr>
                <w:rFonts w:ascii="Arial Unicode MS" w:cs="Arial Unicode MS" w:eastAsia="Arial Unicode MS" w:hAnsi="Arial Unicode MS"/>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0.0912 s</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High speed suitable for real-time deployment.</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gc744nl2rfk" w:id="4"/>
      <w:bookmarkEnd w:id="4"/>
      <w:r w:rsidDel="00000000" w:rsidR="00000000" w:rsidRPr="00000000">
        <w:rPr>
          <w:b w:val="1"/>
          <w:bCs w:val="1"/>
          <w:sz w:val="34"/>
          <w:szCs w:val="34"/>
          <w:rtl w:val="0"/>
        </w:rPr>
        <w:t xml:space="preserve">2. Core Explainability using SHAP</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5bee4b7v2jb" w:id="5"/>
      <w:bookmarkEnd w:id="5"/>
      <w:r w:rsidDel="00000000" w:rsidR="00000000" w:rsidRPr="00000000">
        <w:rPr>
          <w:b w:val="1"/>
          <w:bCs w:val="1"/>
          <w:color w:val="000000"/>
          <w:sz w:val="26"/>
          <w:szCs w:val="26"/>
          <w:rtl w:val="0"/>
        </w:rPr>
        <w:t xml:space="preserve">2.1. The Principle of SHAP</w:t>
      </w:r>
    </w:p>
    <w:p w:rsidR="00000000" w:rsidDel="00000000" w:rsidP="00000000" w:rsidRDefault="00000000" w:rsidRPr="00000000" w14:paraId="00000020">
      <w:pPr>
        <w:spacing w:after="240" w:before="240" w:lineRule="auto"/>
        <w:rPr/>
      </w:pPr>
      <w:r w:rsidDel="00000000" w:rsidR="00000000" w:rsidRPr="00000000">
        <w:rPr>
          <w:rtl w:val="0"/>
        </w:rPr>
        <w:t xml:space="preserve">SHAP (SHapley Additive exPlanations) is a mathematically rigorous, game-theoretic approach used to explain the output of any machine learning model.</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It assigns a </w:t>
      </w:r>
      <w:r w:rsidDel="00000000" w:rsidR="00000000" w:rsidRPr="00000000">
        <w:rPr>
          <w:b w:val="1"/>
          <w:bCs w:val="1"/>
          <w:rtl w:val="0"/>
        </w:rPr>
        <w:t xml:space="preserve">Shapley value</w:t>
      </w:r>
      <w:r w:rsidDel="00000000" w:rsidR="00000000" w:rsidRPr="00000000">
        <w:rPr>
          <w:rtl w:val="0"/>
        </w:rPr>
        <w:t xml:space="preserve"> to every input feature (in the case of images, a region or superpixel) for a specific prediction.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This value indicates how much a feature contributes to pushing the model's output </w:t>
      </w:r>
      <w:r w:rsidDel="00000000" w:rsidR="00000000" w:rsidRPr="00000000">
        <w:rPr>
          <w:i w:val="1"/>
          <w:iCs w:val="1"/>
          <w:rtl w:val="0"/>
        </w:rPr>
        <w:t xml:space="preserve">from the base value</w:t>
      </w:r>
      <w:r w:rsidDel="00000000" w:rsidR="00000000" w:rsidRPr="00000000">
        <w:rPr>
          <w:rtl w:val="0"/>
        </w:rPr>
        <w:t xml:space="preserve"> (average prediction) towards the final prediction for a given class.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Red regions (Positive SHAP values):</w:t>
      </w:r>
      <w:r w:rsidDel="00000000" w:rsidR="00000000" w:rsidRPr="00000000">
        <w:rPr>
          <w:rtl w:val="0"/>
        </w:rPr>
        <w:t xml:space="preserve"> Indicate areas that strongly </w:t>
      </w:r>
      <w:r w:rsidDel="00000000" w:rsidR="00000000" w:rsidRPr="00000000">
        <w:rPr>
          <w:b w:val="1"/>
          <w:bCs w:val="1"/>
          <w:rtl w:val="0"/>
        </w:rPr>
        <w:t xml:space="preserve">support</w:t>
      </w:r>
      <w:r w:rsidDel="00000000" w:rsidR="00000000" w:rsidRPr="00000000">
        <w:rPr>
          <w:rtl w:val="0"/>
        </w:rPr>
        <w:t xml:space="preserve"> the predicted class.</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b w:val="1"/>
          <w:bCs w:val="1"/>
          <w:rtl w:val="0"/>
        </w:rPr>
        <w:t xml:space="preserve">Blue regions (Negative SHAP values):</w:t>
      </w:r>
      <w:r w:rsidDel="00000000" w:rsidR="00000000" w:rsidRPr="00000000">
        <w:rPr>
          <w:rtl w:val="0"/>
        </w:rPr>
        <w:t xml:space="preserve"> Indicate areas that strongly </w:t>
      </w:r>
      <w:r w:rsidDel="00000000" w:rsidR="00000000" w:rsidRPr="00000000">
        <w:rPr>
          <w:b w:val="1"/>
          <w:bCs w:val="1"/>
          <w:rtl w:val="0"/>
        </w:rPr>
        <w:t xml:space="preserve">contradict</w:t>
      </w:r>
      <w:r w:rsidDel="00000000" w:rsidR="00000000" w:rsidRPr="00000000">
        <w:rPr>
          <w:rtl w:val="0"/>
        </w:rPr>
        <w:t xml:space="preserve"> the predicted class or support a different class.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db9vo7qe4s" w:id="6"/>
      <w:bookmarkEnd w:id="6"/>
      <w:r w:rsidDel="00000000" w:rsidR="00000000" w:rsidRPr="00000000">
        <w:rPr>
          <w:b w:val="1"/>
          <w:bCs w:val="1"/>
          <w:color w:val="000000"/>
          <w:sz w:val="26"/>
          <w:szCs w:val="26"/>
          <w:rtl w:val="0"/>
        </w:rPr>
        <w:t xml:space="preserve">2.2. Implementation Strategy for the Hybrid Model</w:t>
      </w:r>
    </w:p>
    <w:p w:rsidR="00000000" w:rsidDel="00000000" w:rsidP="00000000" w:rsidRDefault="00000000" w:rsidRPr="00000000" w14:paraId="00000026">
      <w:pPr>
        <w:spacing w:after="240" w:before="240" w:lineRule="auto"/>
        <w:rPr/>
      </w:pPr>
      <w:r w:rsidDel="00000000" w:rsidR="00000000" w:rsidRPr="00000000">
        <w:rPr>
          <w:rtl w:val="0"/>
        </w:rPr>
        <w:t xml:space="preserve">Applying SHAP to a hybrid ViT-CNN-XGBoost system required a specialized implementation using the </w:t>
      </w:r>
      <w:r w:rsidDel="00000000" w:rsidR="00000000" w:rsidRPr="00000000">
        <w:rPr>
          <w:rFonts w:ascii="Roboto Mono" w:cs="Roboto Mono" w:eastAsia="Roboto Mono" w:hAnsi="Roboto Mono"/>
          <w:color w:val="188038"/>
          <w:rtl w:val="0"/>
        </w:rPr>
        <w:t xml:space="preserve">KernelExplainer</w:t>
      </w:r>
      <w:r w:rsidDel="00000000" w:rsidR="00000000" w:rsidRPr="00000000">
        <w:rPr>
          <w:rtl w:val="0"/>
        </w:rPr>
        <w:t xml:space="preserve">.</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d384bz3xc5h6" w:id="7"/>
      <w:bookmarkEnd w:id="7"/>
      <w:r w:rsidDel="00000000" w:rsidR="00000000" w:rsidRPr="00000000">
        <w:rPr>
          <w:b w:val="1"/>
          <w:bCs w:val="1"/>
          <w:color w:val="000000"/>
          <w:sz w:val="22"/>
          <w:szCs w:val="22"/>
          <w:rtl w:val="0"/>
        </w:rPr>
        <w:t xml:space="preserve">A. Custom Prediction Function (</w:t>
      </w:r>
      <w:r w:rsidDel="00000000" w:rsidR="00000000" w:rsidRPr="00000000">
        <w:rPr>
          <w:rFonts w:ascii="Roboto Mono" w:cs="Roboto Mono" w:eastAsia="Roboto Mono" w:hAnsi="Roboto Mono"/>
          <w:b w:val="1"/>
          <w:bCs w:val="1"/>
          <w:color w:val="188038"/>
          <w:sz w:val="22"/>
          <w:szCs w:val="22"/>
          <w:rtl w:val="0"/>
        </w:rPr>
        <w:t xml:space="preserve">predict_proba_shap</w:t>
      </w:r>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The most critical step was defining a seamless prediction function that handles the entire multi-stage pipeline as a single black box for the SHAP library.</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Input Handling:</w:t>
      </w:r>
      <w:r w:rsidDel="00000000" w:rsidR="00000000" w:rsidRPr="00000000">
        <w:rPr>
          <w:rtl w:val="0"/>
        </w:rPr>
        <w:t xml:space="preserve"> Takes raw image NumPy arrays from SHAP (in HWC format).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PyTorch Preprocessing:</w:t>
      </w:r>
      <w:r w:rsidDel="00000000" w:rsidR="00000000" w:rsidRPr="00000000">
        <w:rPr>
          <w:rtl w:val="0"/>
        </w:rPr>
        <w:t xml:space="preserve"> Converts the image to PyTorch tensors, resizes, and applies ImageNet normalization (e.g., standardizing the image data using the mean and standard deviation of the ImageNet dataset).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Feature Extraction:</w:t>
      </w:r>
      <w:r w:rsidDel="00000000" w:rsidR="00000000" w:rsidRPr="00000000">
        <w:rPr>
          <w:rtl w:val="0"/>
        </w:rPr>
        <w:t xml:space="preserve"> Passes the tensor through the </w:t>
      </w:r>
      <w:r w:rsidDel="00000000" w:rsidR="00000000" w:rsidRPr="00000000">
        <w:rPr>
          <w:rFonts w:ascii="Roboto Mono" w:cs="Roboto Mono" w:eastAsia="Roboto Mono" w:hAnsi="Roboto Mono"/>
          <w:color w:val="188038"/>
          <w:rtl w:val="0"/>
        </w:rPr>
        <w:t xml:space="preserve">HybridFeatureExtractor</w:t>
      </w:r>
      <w:r w:rsidDel="00000000" w:rsidR="00000000" w:rsidRPr="00000000">
        <w:rPr>
          <w:rtl w:val="0"/>
        </w:rPr>
        <w:t xml:space="preserve"> (both EfficientNetV2-S and LeViT-256) to get the 1792D feature vector.</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XGBoost Prediction:</w:t>
      </w:r>
      <w:r w:rsidDel="00000000" w:rsidR="00000000" w:rsidRPr="00000000">
        <w:rPr>
          <w:rtl w:val="0"/>
        </w:rPr>
        <w:t xml:space="preserve"> Converts the feature vector into an XGBoost DMatrix and calls the trained XGBoost model to return the final class probabilities.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rq91ahymiyb8" w:id="8"/>
      <w:bookmarkEnd w:id="8"/>
      <w:r w:rsidDel="00000000" w:rsidR="00000000" w:rsidRPr="00000000">
        <w:rPr>
          <w:b w:val="1"/>
          <w:bCs w:val="1"/>
          <w:color w:val="000000"/>
          <w:sz w:val="22"/>
          <w:szCs w:val="22"/>
          <w:rtl w:val="0"/>
        </w:rPr>
        <w:t xml:space="preserve">B. Explainer Setup</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bCs w:val="1"/>
          <w:rtl w:val="0"/>
        </w:rPr>
        <w:t xml:space="preserve">Explainer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shap.maskers.Image</w:t>
      </w:r>
      <w:r w:rsidDel="00000000" w:rsidR="00000000" w:rsidRPr="00000000">
        <w:rPr>
          <w:rtl w:val="0"/>
        </w:rPr>
        <w:t xml:space="preserve"> was used to group pixels into </w:t>
      </w:r>
      <w:r w:rsidDel="00000000" w:rsidR="00000000" w:rsidRPr="00000000">
        <w:rPr>
          <w:b w:val="1"/>
          <w:bCs w:val="1"/>
          <w:rtl w:val="0"/>
        </w:rPr>
        <w:t xml:space="preserve">superpixels</w:t>
      </w:r>
      <w:r w:rsidDel="00000000" w:rsidR="00000000" w:rsidRPr="00000000">
        <w:rPr>
          <w:rtl w:val="0"/>
        </w:rPr>
        <w:t xml:space="preserve">. This allows SHAP to explain the model's decisions based on visually meaningful regions rather than computationally expensive individual pixels.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Background Data:</w:t>
      </w:r>
      <w:r w:rsidDel="00000000" w:rsidR="00000000" w:rsidRPr="00000000">
        <w:rPr>
          <w:rtl w:val="0"/>
        </w:rPr>
        <w:t xml:space="preserve"> KernelExplainer requires a background dataset of 50 random samples from the training set to establish a baseline for prediction.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1z3c0kbugcq" w:id="9"/>
      <w:bookmarkEnd w:id="9"/>
      <w:r w:rsidDel="00000000" w:rsidR="00000000" w:rsidRPr="00000000">
        <w:rPr>
          <w:b w:val="1"/>
          <w:bCs w:val="1"/>
          <w:color w:val="000000"/>
          <w:sz w:val="26"/>
          <w:szCs w:val="26"/>
          <w:rtl w:val="0"/>
        </w:rPr>
        <w:t xml:space="preserve">2.3. Significance of SHAP Results</w:t>
      </w:r>
    </w:p>
    <w:p w:rsidR="00000000" w:rsidDel="00000000" w:rsidP="00000000" w:rsidRDefault="00000000" w:rsidRPr="00000000" w14:paraId="00000031">
      <w:pPr>
        <w:spacing w:after="240" w:before="240" w:lineRule="auto"/>
        <w:rPr/>
      </w:pPr>
      <w:r w:rsidDel="00000000" w:rsidR="00000000" w:rsidRPr="00000000">
        <w:rPr>
          <w:rtl w:val="0"/>
        </w:rPr>
        <w:t xml:space="preserve">The generated SHAP visualizations (typically plotted as heatmaps over the original image) allow researchers to confirm the model's focus:</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Validation of Features:</w:t>
      </w:r>
      <w:r w:rsidDel="00000000" w:rsidR="00000000" w:rsidRPr="00000000">
        <w:rPr>
          <w:rtl w:val="0"/>
        </w:rPr>
        <w:t xml:space="preserve"> For example, in an image of "plastic," the SHAP analysis should show high positive contribution (red) on the plastic object itself (e.g., bottle shape, reflective texture) and low contribution (blue) on the background.</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Bias Detection:</w:t>
      </w:r>
      <w:r w:rsidDel="00000000" w:rsidR="00000000" w:rsidRPr="00000000">
        <w:rPr>
          <w:rtl w:val="0"/>
        </w:rPr>
        <w:t xml:space="preserve"> If the model consistently relies on background features (e.g., grass in all "organic" waste images, regardless of the object), SHAP quickly identifies this as a potential dataset or model bias, allowing for targeted correction.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Trust and Reliability:</w:t>
      </w:r>
      <w:r w:rsidDel="00000000" w:rsidR="00000000" w:rsidRPr="00000000">
        <w:rPr>
          <w:rtl w:val="0"/>
        </w:rPr>
        <w:t xml:space="preserve"> By verifying that the complex hybrid model is utilizing features that are logically relevant to the human eye, the SHAP analysis significantly increases trust in the model's reliability for critical deployment decisions.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