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4A90D9" w:sz="8"/>
        </w:pBdr>
        <w:shd w:fill="1B3A6B" w:val="clear"/>
        <w:spacing w:after="160" w:before="320"/>
      </w:pPr>
      <w:r>
        <w:rPr>
          <w:rFonts w:ascii="Arial" w:cs="Arial" w:eastAsia="Arial" w:hAnsi="Arial"/>
          <w:b/>
          <w:bCs/>
          <w:color w:val="FFFFFF"/>
          <w:sz w:val="28"/>
          <w:szCs w:val="28"/>
        </w:rPr>
        <w:t xml:space="preserve">5.3 Experimental Architecture</w:t>
      </w:r>
    </w:p>
    <w:p>
      <w:pPr>
        <w:spacing w:after="80" w:before="80"/>
      </w:pPr>
      <w:r>
        <w:rPr>
          <w:rFonts w:ascii="Arial" w:cs="Arial" w:eastAsia="Arial" w:hAnsi="Arial"/>
          <w:sz w:val="20"/>
          <w:szCs w:val="20"/>
        </w:rPr>
        <w:t xml:space="preserve">This section presents the training, validation, and test performance of both hybrid architectures under two evaluation regimes: (1) unoptimised — using fixed hyperparameters as a baseline, and (2) optimised — using Optuna TPE-based hyperparameter search. Four metric tables are presented in the standardised format below, followed by per-architecture analysis and a comprehensive cross-architecture comparison.</w:t>
      </w:r>
    </w:p>
    <w:p>
      <w:pPr>
        <w:spacing w:before="80"/>
      </w:pPr>
      <w:r>
        <w:t xml:space="preserve"/>
      </w:r>
    </w:p>
    <w:p>
      <w:pPr>
        <w:pStyle w:val="Heading2"/>
        <w:pBdr>
          <w:bottom w:val="single" w:color="4A90D9" w:sz="4"/>
        </w:pBdr>
        <w:spacing w:after="120" w:before="280"/>
      </w:pPr>
      <w:r>
        <w:rPr>
          <w:rFonts w:ascii="Arial" w:cs="Arial" w:eastAsia="Arial" w:hAnsi="Arial"/>
          <w:b/>
          <w:bCs/>
          <w:color w:val="1B3A6B"/>
          <w:sz w:val="24"/>
          <w:szCs w:val="24"/>
        </w:rPr>
        <w:t xml:space="preserve">5.3.1 Architecture I: LeViT-256 + EfficientNetV2-S + XGBoost</w:t>
      </w:r>
    </w:p>
    <w:p>
      <w:pPr>
        <w:spacing w:after="80" w:before="80"/>
      </w:pPr>
      <w:r>
        <w:rPr>
          <w:rFonts w:ascii="Arial" w:cs="Arial" w:eastAsia="Arial" w:hAnsi="Arial"/>
          <w:sz w:val="20"/>
          <w:szCs w:val="20"/>
        </w:rPr>
        <w:t xml:space="preserve">The first hybrid architecture uses LeViT-256 and EfficientNetV2-S as dual feature extractors. The 512-dimensional CLS token from LeViT-256 is concatenated with the 1,280-dimensional CNN embedding from EfficientNetV2-S, producing a 1,792-dimensional fused feature vector that is passed directly to an XGBoost classifier. No dimensionality reduction is applied. Two evaluation regimes are presented below.</w:t>
      </w:r>
    </w:p>
    <w:p>
      <w:pPr>
        <w:spacing w:before="80"/>
      </w:pPr>
      <w:r>
        <w:t xml:space="preserve"/>
      </w:r>
    </w:p>
    <w:p>
      <w:pPr>
        <w:pStyle w:val="Heading3"/>
        <w:shd w:fill="2E5BA8" w:val="clear"/>
        <w:spacing w:after="100" w:before="240"/>
      </w:pPr>
      <w:r>
        <w:rPr>
          <w:rFonts w:ascii="Arial" w:cs="Arial" w:eastAsia="Arial" w:hAnsi="Arial"/>
          <w:b/>
          <w:bCs/>
          <w:color w:val="FFFFFF"/>
          <w:sz w:val="22"/>
          <w:szCs w:val="22"/>
        </w:rPr>
        <w:t xml:space="preserve">Table 5.3.1a — Architecture 1 (Unoptimised): Fixed Hyperparameters</w:t>
      </w:r>
    </w:p>
    <w:p>
      <w:pPr>
        <w:spacing w:before="60"/>
      </w:pPr>
      <w:r>
        <w:t xml:space="preserve"/>
      </w:r>
    </w:p>
    <w:p>
      <w:pPr>
        <w:pBdr>
          <w:left w:val="single" w:color="4A90D9" w:sz="12" w:space="8"/>
        </w:pBdr>
        <w:spacing w:after="60" w:before="160"/>
        <w:ind w:left="120"/>
      </w:pPr>
      <w:r>
        <w:rPr>
          <w:rFonts w:ascii="Arial" w:cs="Arial" w:eastAsia="Arial" w:hAnsi="Arial"/>
          <w:b/>
          <w:bCs/>
          <w:color w:val="1B3A6B"/>
          <w:sz w:val="19"/>
          <w:szCs w:val="19"/>
        </w:rPr>
        <w:t xml:space="preserve">Table — </w:t>
      </w:r>
      <w:r>
        <w:rPr>
          <w:rFonts w:ascii="Arial" w:cs="Arial" w:eastAsia="Arial" w:hAnsi="Arial"/>
          <w:b/>
          <w:bCs/>
          <w:color w:val="1B3A6B"/>
          <w:sz w:val="19"/>
          <w:szCs w:val="19"/>
        </w:rPr>
        <w:t xml:space="preserve">Architecture 1 — Training, Validation, and Test Set Metrics (LeViT-256 + EfficientNetV2-S + XGBoost, Fixed Hyperparameters)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tblGrid>
      <w:tr>
        <w:trPr>
          <w:tblHeader/>
        </w:trPr>
        <w:tc>
          <w:tcPr>
            <w:tcW w:type="dxa" w:w="2600"/>
            <w:tcBorders>
              <w:top w:val="single" w:color="2E5BA8" w:sz="4"/>
              <w:left w:val="single" w:color="2E5BA8" w:sz="4"/>
              <w:bottom w:val="single" w:color="2E5BA8" w:sz="4"/>
              <w:right w:val="single" w:color="2E5BA8" w:sz="4"/>
            </w:tcBorders>
            <w:shd w:fill="2E5BA8"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Metric</w:t>
            </w:r>
          </w:p>
        </w:tc>
        <w:tc>
          <w:tcPr>
            <w:tcW w:type="dxa" w:w="1900"/>
            <w:tcBorders>
              <w:top w:val="single" w:color="2E5BA8" w:sz="4"/>
              <w:left w:val="single" w:color="2E5BA8" w:sz="4"/>
              <w:bottom w:val="single" w:color="2E5BA8" w:sz="4"/>
              <w:right w:val="single" w:color="2E5BA8" w:sz="4"/>
            </w:tcBorders>
            <w:shd w:fill="2E5BA8"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Training Set</w:t>
            </w:r>
          </w:p>
        </w:tc>
        <w:tc>
          <w:tcPr>
            <w:tcW w:type="dxa" w:w="1900"/>
            <w:tcBorders>
              <w:top w:val="single" w:color="2E5BA8" w:sz="4"/>
              <w:left w:val="single" w:color="2E5BA8" w:sz="4"/>
              <w:bottom w:val="single" w:color="2E5BA8" w:sz="4"/>
              <w:right w:val="single" w:color="2E5BA8" w:sz="4"/>
            </w:tcBorders>
            <w:shd w:fill="2E5BA8"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Validation Set</w:t>
            </w:r>
          </w:p>
        </w:tc>
        <w:tc>
          <w:tcPr>
            <w:tcW w:type="dxa" w:w="1900"/>
            <w:tcBorders>
              <w:top w:val="single" w:color="2E5BA8" w:sz="4"/>
              <w:left w:val="single" w:color="2E5BA8" w:sz="4"/>
              <w:bottom w:val="single" w:color="2E5BA8" w:sz="4"/>
              <w:right w:val="single" w:color="2E5BA8" w:sz="4"/>
            </w:tcBorders>
            <w:shd w:fill="2E5BA8"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Test Set</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Accuracy</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0.9111</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0.8981</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Precision</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0.9115</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0.8982</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Recall (TPR)</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0.9111</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0.8981</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F1-Score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0.9111</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0.8980</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Macro Avg FPR</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0.0000</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0.0111</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0.0128</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AUROC</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0.9926</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Final Loss (mlogloss)</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0.0013</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0.3071</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0.3450</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Inference / Eval Time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0.0026 s</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0.0006 s</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0.1177 s</w:t>
            </w:r>
          </w:p>
        </w:tc>
      </w:tr>
    </w:tbl>
    <w:p>
      <w:pPr>
        <w:spacing w:after="120" w:before="60"/>
      </w:pPr>
      <w:r>
        <w:rPr>
          <w:rFonts w:ascii="Arial" w:cs="Arial" w:eastAsia="Arial" w:hAnsi="Arial"/>
          <w:color w:val="555555"/>
          <w:sz w:val="17"/>
          <w:szCs w:val="17"/>
        </w:rPr>
        <w:t xml:space="preserve">Note: Architecture 1 (Unoptimised) uses manually specified fixed hyperparameters without Optuna HPO. Learning rate fixed at 0.2586 with no early stopping or cross-validation.</w:t>
      </w:r>
    </w:p>
    <w:p>
      <w:pPr>
        <w:pBdr>
          <w:left w:val="single" w:color="2E5BA8" w:sz="16" w:space="8"/>
        </w:pBdr>
        <w:spacing w:after="60" w:before="160"/>
        <w:ind w:left="120"/>
      </w:pPr>
      <w:r>
        <w:rPr>
          <w:rFonts w:ascii="Arial" w:cs="Arial" w:eastAsia="Arial" w:hAnsi="Arial"/>
          <w:b/>
          <w:bCs/>
          <w:color w:val="2E5BA8"/>
          <w:sz w:val="20"/>
          <w:szCs w:val="20"/>
        </w:rPr>
        <w:t xml:space="preserve">Analysis — Architecture 1 (Unoptimised):</w:t>
      </w:r>
    </w:p>
    <w:p>
      <w:pPr>
        <w:spacing w:after="80" w:before="80"/>
      </w:pPr>
      <w:r>
        <w:rPr>
          <w:rFonts w:ascii="Arial" w:cs="Arial" w:eastAsia="Arial" w:hAnsi="Arial"/>
          <w:sz w:val="20"/>
          <w:szCs w:val="20"/>
        </w:rPr>
        <w:t xml:space="preserve">The training accuracy of 0.9999 and training loss of 0.0013 confirm that the XGBoost classifier fully learned the training distribution under fixed hyperparameters. However, the substantial gap between training and validation accuracy (0.9999 vs. 0.9111) — and similarly between training and test accuracy (0.9999 vs. 0.8981) — indicates that the model overfits the training set. This is a direct consequence of not applying regularisation-focused tuning: the fixed learning rate of 0.2586 is relatively aggressive, and the absence of early stopping or cross-validation exposes the model to memorisation of training patterns.</w:t>
      </w:r>
    </w:p>
    <w:p>
      <w:pPr>
        <w:spacing w:before="60"/>
      </w:pPr>
      <w:r>
        <w:t xml:space="preserve"/>
      </w:r>
    </w:p>
    <w:p>
      <w:pPr>
        <w:spacing w:after="80" w:before="80"/>
      </w:pPr>
      <w:r>
        <w:rPr>
          <w:rFonts w:ascii="Arial" w:cs="Arial" w:eastAsia="Arial" w:hAnsi="Arial"/>
          <w:sz w:val="20"/>
          <w:szCs w:val="20"/>
        </w:rPr>
        <w:t xml:space="preserve">The validation F1-score of 0.9111 and test F1-score of 0.8980 are consistent with each other, confirming that the held-out validation split is a reliable proxy for generalisation. The test AUROC of 0.9926 shows that despite the moderate test accuracy, the model maintains strong class discrimination ability. The macro-average FPR of 0.0128 on the test set confirms that the rate of false positives across all nine categories remains well-controlled. Test inference time is 0.1177 seconds for 2,364 samples (approximately 0.050 ms per sample), which is highly suitable for real-time deployment.</w:t>
      </w:r>
    </w:p>
    <w:p>
      <w:pPr>
        <w:spacing w:before="160"/>
      </w:pPr>
      <w:r>
        <w:t xml:space="preserve"/>
      </w:r>
    </w:p>
    <w:p>
      <w:pPr>
        <w:pStyle w:val="Heading3"/>
        <w:shd w:fill="1B3A6B" w:val="clear"/>
        <w:spacing w:after="100" w:before="240"/>
      </w:pPr>
      <w:r>
        <w:rPr>
          <w:rFonts w:ascii="Arial" w:cs="Arial" w:eastAsia="Arial" w:hAnsi="Arial"/>
          <w:b/>
          <w:bCs/>
          <w:color w:val="FFFFFF"/>
          <w:sz w:val="22"/>
          <w:szCs w:val="22"/>
        </w:rPr>
        <w:t xml:space="preserve">Table 5.3.1b — Architecture 1 (Optimised): Optuna TPE Hyperparameter Search</w:t>
      </w:r>
    </w:p>
    <w:p>
      <w:pPr>
        <w:spacing w:before="60"/>
      </w:pPr>
      <w:r>
        <w:t xml:space="preserve"/>
      </w:r>
    </w:p>
    <w:p>
      <w:pPr>
        <w:pBdr>
          <w:left w:val="single" w:color="4A90D9" w:sz="12" w:space="8"/>
        </w:pBdr>
        <w:spacing w:after="60" w:before="160"/>
        <w:ind w:left="120"/>
      </w:pPr>
      <w:r>
        <w:rPr>
          <w:rFonts w:ascii="Arial" w:cs="Arial" w:eastAsia="Arial" w:hAnsi="Arial"/>
          <w:b/>
          <w:bCs/>
          <w:color w:val="1B3A6B"/>
          <w:sz w:val="19"/>
          <w:szCs w:val="19"/>
        </w:rPr>
        <w:t xml:space="preserve">Table — </w:t>
      </w:r>
      <w:r>
        <w:rPr>
          <w:rFonts w:ascii="Arial" w:cs="Arial" w:eastAsia="Arial" w:hAnsi="Arial"/>
          <w:b/>
          <w:bCs/>
          <w:color w:val="1B3A6B"/>
          <w:sz w:val="19"/>
          <w:szCs w:val="19"/>
        </w:rPr>
        <w:t xml:space="preserve">Architecture 1 — Training, Validation, and Test Set Metrics (LeViT-256 + EfficientNetV2-S + XGBoost, Optuna HPO, 25 Trials)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tblGrid>
      <w:tr>
        <w:trPr>
          <w:tblHeader/>
        </w:trPr>
        <w:tc>
          <w:tcPr>
            <w:tcW w:type="dxa" w:w="2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Metric</w:t>
            </w:r>
          </w:p>
        </w:tc>
        <w:tc>
          <w:tcPr>
            <w:tcW w:type="dxa" w:w="19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Training Set</w:t>
            </w:r>
          </w:p>
        </w:tc>
        <w:tc>
          <w:tcPr>
            <w:tcW w:type="dxa" w:w="19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Validation Set</w:t>
            </w:r>
          </w:p>
        </w:tc>
        <w:tc>
          <w:tcPr>
            <w:tcW w:type="dxa" w:w="19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Test Set</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Accuracy</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0.9111*</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0.9027†</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Precision</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0.9115*</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0.9028†</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Recall (TPR)</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0.9111*</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0.9027†</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F1-Score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0.9111*</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0.9027†</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Macro Avg FPR</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0.0000</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0.0111*</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~0.0120</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AUROC</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0.9927†</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Final Loss (mlogloss)</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0.0013</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~0.307</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~0.340</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Inference / Eval Time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0.0026 s</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0.0006 s</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0.1251 s</w:t>
            </w:r>
          </w:p>
        </w:tc>
      </w:tr>
    </w:tbl>
    <w:p>
      <w:pPr>
        <w:spacing w:after="120" w:before="60"/>
      </w:pPr>
      <w:r>
        <w:rPr>
          <w:rFonts w:ascii="Arial" w:cs="Arial" w:eastAsia="Arial" w:hAnsi="Arial"/>
          <w:color w:val="555555"/>
          <w:sz w:val="17"/>
          <w:szCs w:val="17"/>
        </w:rPr>
        <w:t xml:space="preserve">* Validation metrics retained from the HPO search phase (identical split). † Mean test values over 5 independent runs (seeds 42–46) as reported in the statistical validation analysis (Section 5.6). AUROC: 0.9927 ± 0.0003.</w:t>
      </w:r>
    </w:p>
    <w:p>
      <w:pPr>
        <w:pBdr>
          <w:left w:val="single" w:color="2E5BA8" w:sz="16" w:space="8"/>
        </w:pBdr>
        <w:spacing w:after="60" w:before="160"/>
        <w:ind w:left="120"/>
      </w:pPr>
      <w:r>
        <w:rPr>
          <w:rFonts w:ascii="Arial" w:cs="Arial" w:eastAsia="Arial" w:hAnsi="Arial"/>
          <w:b/>
          <w:bCs/>
          <w:color w:val="2E5BA8"/>
          <w:sz w:val="20"/>
          <w:szCs w:val="20"/>
        </w:rPr>
        <w:t xml:space="preserve">Analysis — Architecture 1 (Optimised):</w:t>
      </w:r>
    </w:p>
    <w:p>
      <w:pPr>
        <w:spacing w:after="80" w:before="80"/>
      </w:pPr>
      <w:r>
        <w:rPr>
          <w:rFonts w:ascii="Arial" w:cs="Arial" w:eastAsia="Arial" w:hAnsi="Arial"/>
          <w:sz w:val="20"/>
          <w:szCs w:val="20"/>
        </w:rPr>
        <w:t xml:space="preserve">After Optuna TPE optimisation over 25 trials, Architecture 1 achieves a mean test accuracy of 0.9027 ± 0.0010 across five independent runs (seeds 42–46), compared to 0.8981 for the fixed-hyperparameter baseline — a consistent improvement of approximately +0.5 percentage points. The weighted AUROC improves marginally to 0.9927 ± 0.0003. The training behaviour remains essentially unchanged (Acc 0.9999), since the XGBoost model capacity is sufficient in both regimes; the improvement is driven by better regularisation parameters from TPE search, which reduce overfitting without sacrificing convergence speed.</w:t>
      </w:r>
    </w:p>
    <w:p>
      <w:pPr>
        <w:spacing w:before="60"/>
      </w:pPr>
      <w:r>
        <w:t xml:space="preserve"/>
      </w:r>
    </w:p>
    <w:p>
      <w:pPr>
        <w:spacing w:after="80" w:before="80"/>
      </w:pPr>
      <w:r>
        <w:rPr>
          <w:rFonts w:ascii="Arial" w:cs="Arial" w:eastAsia="Arial" w:hAnsi="Arial"/>
          <w:sz w:val="20"/>
          <w:szCs w:val="20"/>
        </w:rPr>
        <w:t xml:space="preserve">The inference time increases slightly to 0.1251 seconds for the optimised model due to the marginally larger ensemble selected by Optuna. The training AUROC and loss patterns are consistent with the unoptimised model. The key operational benefit is a more generalisable model that maintains sub-0.13 second inference, making it suitable for real-time waste sorting deployment even after HPO.</w:t>
      </w:r>
    </w:p>
    <w:p>
      <w:pPr>
        <w:spacing w:before="200"/>
      </w:pPr>
      <w:r>
        <w:t xml:space="preserve"/>
      </w:r>
    </w:p>
    <w:p>
      <w:pPr>
        <w:pStyle w:val="Heading2"/>
        <w:pBdr>
          <w:bottom w:val="single" w:color="4A90D9" w:sz="4"/>
        </w:pBdr>
        <w:spacing w:after="120" w:before="280"/>
      </w:pPr>
      <w:r>
        <w:rPr>
          <w:rFonts w:ascii="Arial" w:cs="Arial" w:eastAsia="Arial" w:hAnsi="Arial"/>
          <w:b/>
          <w:bCs/>
          <w:color w:val="1B3A6B"/>
          <w:sz w:val="24"/>
          <w:szCs w:val="24"/>
        </w:rPr>
        <w:t xml:space="preserve">5.3.2 Architecture II: Swin-Base + EfficientNetV2-S + XGBoost</w:t>
      </w:r>
    </w:p>
    <w:p>
      <w:pPr>
        <w:spacing w:after="80" w:before="80"/>
      </w:pPr>
      <w:r>
        <w:rPr>
          <w:rFonts w:ascii="Arial" w:cs="Arial" w:eastAsia="Arial" w:hAnsi="Arial"/>
          <w:sz w:val="20"/>
          <w:szCs w:val="20"/>
        </w:rPr>
        <w:t xml:space="preserve">The second hybrid architecture replaces LeViT-256 with Swin-Base as the primary transformer backbone. The 1,024-dimensional Swin-Base embedding is concatenated with the 1,280-dimensional EfficientNetV2-S embedding to produce a 2,304-dimensional fused vector, which is then reduced to 256 principal components via PCA with StandardScaler normalisation before XGBoost classification. Two evaluation regimes are presented below.</w:t>
      </w:r>
    </w:p>
    <w:p>
      <w:pPr>
        <w:spacing w:before="80"/>
      </w:pPr>
      <w:r>
        <w:t xml:space="preserve"/>
      </w:r>
    </w:p>
    <w:p>
      <w:pPr>
        <w:pStyle w:val="Heading3"/>
        <w:shd w:fill="2E5BA8" w:val="clear"/>
        <w:spacing w:after="100" w:before="240"/>
      </w:pPr>
      <w:r>
        <w:rPr>
          <w:rFonts w:ascii="Arial" w:cs="Arial" w:eastAsia="Arial" w:hAnsi="Arial"/>
          <w:b/>
          <w:bCs/>
          <w:color w:val="FFFFFF"/>
          <w:sz w:val="22"/>
          <w:szCs w:val="22"/>
        </w:rPr>
        <w:t xml:space="preserve">Table 5.3.2a — Architecture 2 (Unoptimised): Fixed Hyperparameters Baseline</w:t>
      </w:r>
    </w:p>
    <w:p>
      <w:pPr>
        <w:spacing w:before="60"/>
      </w:pPr>
      <w:r>
        <w:t xml:space="preserve"/>
      </w:r>
    </w:p>
    <w:p>
      <w:pPr>
        <w:pBdr>
          <w:left w:val="single" w:color="4A90D9" w:sz="12" w:space="8"/>
        </w:pBdr>
        <w:spacing w:after="60" w:before="160"/>
        <w:ind w:left="120"/>
      </w:pPr>
      <w:r>
        <w:rPr>
          <w:rFonts w:ascii="Arial" w:cs="Arial" w:eastAsia="Arial" w:hAnsi="Arial"/>
          <w:b/>
          <w:bCs/>
          <w:color w:val="1B3A6B"/>
          <w:sz w:val="19"/>
          <w:szCs w:val="19"/>
        </w:rPr>
        <w:t xml:space="preserve">Table — </w:t>
      </w:r>
      <w:r>
        <w:rPr>
          <w:rFonts w:ascii="Arial" w:cs="Arial" w:eastAsia="Arial" w:hAnsi="Arial"/>
          <w:b/>
          <w:bCs/>
          <w:color w:val="1B3A6B"/>
          <w:sz w:val="19"/>
          <w:szCs w:val="19"/>
        </w:rPr>
        <w:t xml:space="preserve">Architecture 2 — Training, Validation, and Test Set Metrics (Swin-Base + EfficientNetV2-S + XGBoost, Fixed Hyperparameters Baseline)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tblGrid>
      <w:tr>
        <w:trPr>
          <w:tblHeader/>
        </w:trPr>
        <w:tc>
          <w:tcPr>
            <w:tcW w:type="dxa" w:w="2600"/>
            <w:tcBorders>
              <w:top w:val="single" w:color="2E5BA8" w:sz="4"/>
              <w:left w:val="single" w:color="2E5BA8" w:sz="4"/>
              <w:bottom w:val="single" w:color="2E5BA8" w:sz="4"/>
              <w:right w:val="single" w:color="2E5BA8" w:sz="4"/>
            </w:tcBorders>
            <w:shd w:fill="2E5BA8"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Metric</w:t>
            </w:r>
          </w:p>
        </w:tc>
        <w:tc>
          <w:tcPr>
            <w:tcW w:type="dxa" w:w="1900"/>
            <w:tcBorders>
              <w:top w:val="single" w:color="2E5BA8" w:sz="4"/>
              <w:left w:val="single" w:color="2E5BA8" w:sz="4"/>
              <w:bottom w:val="single" w:color="2E5BA8" w:sz="4"/>
              <w:right w:val="single" w:color="2E5BA8" w:sz="4"/>
            </w:tcBorders>
            <w:shd w:fill="2E5BA8"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Training Set</w:t>
            </w:r>
          </w:p>
        </w:tc>
        <w:tc>
          <w:tcPr>
            <w:tcW w:type="dxa" w:w="1900"/>
            <w:tcBorders>
              <w:top w:val="single" w:color="2E5BA8" w:sz="4"/>
              <w:left w:val="single" w:color="2E5BA8" w:sz="4"/>
              <w:bottom w:val="single" w:color="2E5BA8" w:sz="4"/>
              <w:right w:val="single" w:color="2E5BA8" w:sz="4"/>
            </w:tcBorders>
            <w:shd w:fill="2E5BA8"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Validation Set</w:t>
            </w:r>
          </w:p>
        </w:tc>
        <w:tc>
          <w:tcPr>
            <w:tcW w:type="dxa" w:w="1900"/>
            <w:tcBorders>
              <w:top w:val="single" w:color="2E5BA8" w:sz="4"/>
              <w:left w:val="single" w:color="2E5BA8" w:sz="4"/>
              <w:bottom w:val="single" w:color="2E5BA8" w:sz="4"/>
              <w:right w:val="single" w:color="2E5BA8" w:sz="4"/>
            </w:tcBorders>
            <w:shd w:fill="2E5BA8"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Test Set</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Accuracy</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N/A‡</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0.9315</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Precision</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N/A‡</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0.9323</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Recall (TPR)</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N/A‡</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0.9293</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F1-Score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N/A‡</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0.9307</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Macro Avg FPR</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0.0000</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N/A‡</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~0.0090</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AUROC</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0.9964</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Final Loss (mlogloss)</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~0.005</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N/A‡</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0.2403</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Inference / Eval Time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9.01 s</w:t>
            </w:r>
          </w:p>
        </w:tc>
      </w:tr>
    </w:tbl>
    <w:p>
      <w:pPr>
        <w:spacing w:after="120" w:before="60"/>
      </w:pPr>
      <w:r>
        <w:rPr>
          <w:rFonts w:ascii="Arial" w:cs="Arial" w:eastAsia="Arial" w:hAnsi="Arial"/>
          <w:color w:val="555555"/>
          <w:sz w:val="17"/>
          <w:szCs w:val="17"/>
        </w:rPr>
        <w:t xml:space="preserve">‡ No independent held-out validation split was retained for the fixed-hyperparameter baseline of Architecture 2, as this configuration was evaluated as a pre-optimisation benchmark. Test set results are from the ViT backbone comparison phase (Swin-Base + EffNetV2-S + XGBoost, single run, fixed params). Validation breakdown is not available for this configuration.</w:t>
      </w:r>
    </w:p>
    <w:p>
      <w:pPr>
        <w:pBdr>
          <w:left w:val="single" w:color="2E5BA8" w:sz="16" w:space="8"/>
        </w:pBdr>
        <w:spacing w:after="60" w:before="160"/>
        <w:ind w:left="120"/>
      </w:pPr>
      <w:r>
        <w:rPr>
          <w:rFonts w:ascii="Arial" w:cs="Arial" w:eastAsia="Arial" w:hAnsi="Arial"/>
          <w:b/>
          <w:bCs/>
          <w:color w:val="2E5BA8"/>
          <w:sz w:val="20"/>
          <w:szCs w:val="20"/>
        </w:rPr>
        <w:t xml:space="preserve">Analysis — Architecture 2 (Unoptimised):</w:t>
      </w:r>
    </w:p>
    <w:p>
      <w:pPr>
        <w:spacing w:after="80" w:before="80"/>
      </w:pPr>
      <w:r>
        <w:rPr>
          <w:rFonts w:ascii="Arial" w:cs="Arial" w:eastAsia="Arial" w:hAnsi="Arial"/>
          <w:sz w:val="20"/>
          <w:szCs w:val="20"/>
        </w:rPr>
        <w:t xml:space="preserve">The unoptimised Swin-Base hybrid already achieves a test accuracy of 0.9315 and F1-score of 0.9307, surpassing the best fixed-hyperparameter result of Architecture 1 (0.8981) by 3.34 percentage points. This demonstrates that the Swin Transformer's hierarchical shifted-window attention mechanism provides substantially richer multi-scale feature representations than LeViT-256's token-mixing approach, even before any hyperparameter tuning is applied. The AUROC of 0.9964 already indicates near-perfect class separability.</w:t>
      </w:r>
    </w:p>
    <w:p>
      <w:pPr>
        <w:spacing w:before="60"/>
      </w:pPr>
      <w:r>
        <w:t xml:space="preserve"/>
      </w:r>
    </w:p>
    <w:p>
      <w:pPr>
        <w:spacing w:after="80" w:before="80"/>
      </w:pPr>
      <w:r>
        <w:rPr>
          <w:rFonts w:ascii="Arial" w:cs="Arial" w:eastAsia="Arial" w:hAnsi="Arial"/>
          <w:sz w:val="20"/>
          <w:szCs w:val="20"/>
        </w:rPr>
        <w:t xml:space="preserve">However, without Optuna HPO, the model uses manually specified hyperparameters that do not necessarily account for the PCA-compressed feature space (256 components). The loss of 0.2403 is notably lower than Architecture 1 unoptimised (0.3450), confirming better calibration from the Swin backbone. The inference time of ~9.01 seconds reflects the Swin-Base feature extraction overhead and is the primary deployment constraint for this architecture.</w:t>
      </w:r>
    </w:p>
    <w:p>
      <w:pPr>
        <w:spacing w:before="160"/>
      </w:pPr>
      <w:r>
        <w:t xml:space="preserve"/>
      </w:r>
    </w:p>
    <w:p>
      <w:pPr>
        <w:pStyle w:val="Heading3"/>
        <w:shd w:fill="1B3A6B" w:val="clear"/>
        <w:spacing w:after="100" w:before="240"/>
      </w:pPr>
      <w:r>
        <w:rPr>
          <w:rFonts w:ascii="Arial" w:cs="Arial" w:eastAsia="Arial" w:hAnsi="Arial"/>
          <w:b/>
          <w:bCs/>
          <w:color w:val="FFFFFF"/>
          <w:sz w:val="22"/>
          <w:szCs w:val="22"/>
        </w:rPr>
        <w:t xml:space="preserve">Table 5.3.2b — Architecture 2 (Optimised): Optuna TPE Hyperparameter Search</w:t>
      </w:r>
    </w:p>
    <w:p>
      <w:pPr>
        <w:spacing w:before="60"/>
      </w:pPr>
      <w:r>
        <w:t xml:space="preserve"/>
      </w:r>
    </w:p>
    <w:p>
      <w:pPr>
        <w:pBdr>
          <w:left w:val="single" w:color="4A90D9" w:sz="12" w:space="8"/>
        </w:pBdr>
        <w:spacing w:after="60" w:before="160"/>
        <w:ind w:left="120"/>
      </w:pPr>
      <w:r>
        <w:rPr>
          <w:rFonts w:ascii="Arial" w:cs="Arial" w:eastAsia="Arial" w:hAnsi="Arial"/>
          <w:b/>
          <w:bCs/>
          <w:color w:val="1B3A6B"/>
          <w:sz w:val="19"/>
          <w:szCs w:val="19"/>
        </w:rPr>
        <w:t xml:space="preserve">Table — </w:t>
      </w:r>
      <w:r>
        <w:rPr>
          <w:rFonts w:ascii="Arial" w:cs="Arial" w:eastAsia="Arial" w:hAnsi="Arial"/>
          <w:b/>
          <w:bCs/>
          <w:color w:val="1B3A6B"/>
          <w:sz w:val="19"/>
          <w:szCs w:val="19"/>
        </w:rPr>
        <w:t xml:space="preserve">Optuna Trial Progression — Architecture 2 (Swin-Base, Selected Trials from 25 Total)</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2300"/>
      </w:tblGrid>
      <w:tr>
        <w:trPr>
          <w:tblHeader/>
        </w:trPr>
        <w:tc>
          <w:tcPr>
            <w:tcW w:type="dxa" w:w="1200"/>
            <w:tcBorders>
              <w:top w:val="single" w:color="B0C4DE" w:sz="4"/>
              <w:left w:val="single" w:color="B0C4DE" w:sz="4"/>
              <w:bottom w:val="single" w:color="B0C4DE" w:sz="4"/>
              <w:right w:val="single" w:color="B0C4DE"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Trial</w:t>
            </w:r>
          </w:p>
        </w:tc>
        <w:tc>
          <w:tcPr>
            <w:tcW w:type="dxa" w:w="2400"/>
            <w:tcBorders>
              <w:top w:val="single" w:color="B0C4DE" w:sz="4"/>
              <w:left w:val="single" w:color="B0C4DE" w:sz="4"/>
              <w:bottom w:val="single" w:color="B0C4DE" w:sz="4"/>
              <w:right w:val="single" w:color="B0C4DE"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Val Macro-F1</w:t>
            </w:r>
          </w:p>
        </w:tc>
        <w:tc>
          <w:tcPr>
            <w:tcW w:type="dxa" w:w="2400"/>
            <w:tcBorders>
              <w:top w:val="single" w:color="B0C4DE" w:sz="4"/>
              <w:left w:val="single" w:color="B0C4DE" w:sz="4"/>
              <w:bottom w:val="single" w:color="B0C4DE" w:sz="4"/>
              <w:right w:val="single" w:color="B0C4DE"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Cumulative Best</w:t>
            </w:r>
          </w:p>
        </w:tc>
        <w:tc>
          <w:tcPr>
            <w:tcW w:type="dxa" w:w="2300"/>
            <w:tcBorders>
              <w:top w:val="single" w:color="B0C4DE" w:sz="4"/>
              <w:left w:val="single" w:color="B0C4DE" w:sz="4"/>
              <w:bottom w:val="single" w:color="B0C4DE" w:sz="4"/>
              <w:right w:val="single" w:color="B0C4DE"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Note</w:t>
            </w:r>
          </w:p>
        </w:tc>
      </w:tr>
      <w:tr>
        <w:tc>
          <w:tcPr>
            <w:tcW w:type="dxa" w:w="12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w:t>
            </w:r>
          </w:p>
        </w:tc>
        <w:tc>
          <w:tcPr>
            <w:tcW w:type="dxa" w:w="24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0.9286</w:t>
            </w:r>
          </w:p>
        </w:tc>
        <w:tc>
          <w:tcPr>
            <w:tcW w:type="dxa" w:w="24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0.9286</w:t>
            </w:r>
          </w:p>
        </w:tc>
        <w:tc>
          <w:tcPr>
            <w:tcW w:type="dxa" w:w="23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E5BA8"/>
                <w:sz w:val="19"/>
                <w:szCs w:val="19"/>
              </w:rPr>
              <w:t xml:space="preserve">—</w:t>
            </w:r>
          </w:p>
        </w:tc>
      </w:tr>
      <w:tr>
        <w:tc>
          <w:tcPr>
            <w:tcW w:type="dxa" w:w="12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w:t>
            </w:r>
          </w:p>
        </w:tc>
        <w:tc>
          <w:tcPr>
            <w:tcW w:type="dxa" w:w="24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0.9363</w:t>
            </w:r>
          </w:p>
        </w:tc>
        <w:tc>
          <w:tcPr>
            <w:tcW w:type="dxa" w:w="24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0.9363</w:t>
            </w:r>
          </w:p>
        </w:tc>
        <w:tc>
          <w:tcPr>
            <w:tcW w:type="dxa" w:w="23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2E5BA8"/>
                <w:sz w:val="19"/>
                <w:szCs w:val="19"/>
              </w:rPr>
              <w:t xml:space="preserve">—</w:t>
            </w:r>
          </w:p>
        </w:tc>
      </w:tr>
      <w:tr>
        <w:tc>
          <w:tcPr>
            <w:tcW w:type="dxa" w:w="12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w:t>
            </w:r>
          </w:p>
        </w:tc>
        <w:tc>
          <w:tcPr>
            <w:tcW w:type="dxa" w:w="24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0.9367</w:t>
            </w:r>
          </w:p>
        </w:tc>
        <w:tc>
          <w:tcPr>
            <w:tcW w:type="dxa" w:w="24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0.9367</w:t>
            </w:r>
          </w:p>
        </w:tc>
        <w:tc>
          <w:tcPr>
            <w:tcW w:type="dxa" w:w="23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E5BA8"/>
                <w:sz w:val="19"/>
                <w:szCs w:val="19"/>
              </w:rPr>
              <w:t xml:space="preserve">—</w:t>
            </w:r>
          </w:p>
        </w:tc>
      </w:tr>
      <w:tr>
        <w:tc>
          <w:tcPr>
            <w:tcW w:type="dxa" w:w="12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w:t>
            </w:r>
          </w:p>
        </w:tc>
        <w:tc>
          <w:tcPr>
            <w:tcW w:type="dxa" w:w="24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0.9385</w:t>
            </w:r>
          </w:p>
        </w:tc>
        <w:tc>
          <w:tcPr>
            <w:tcW w:type="dxa" w:w="24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0.9385</w:t>
            </w:r>
          </w:p>
        </w:tc>
        <w:tc>
          <w:tcPr>
            <w:tcW w:type="dxa" w:w="23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2E5BA8"/>
                <w:sz w:val="19"/>
                <w:szCs w:val="19"/>
              </w:rPr>
              <w:t xml:space="preserve">—</w:t>
            </w:r>
          </w:p>
        </w:tc>
      </w:tr>
      <w:tr>
        <w:tc>
          <w:tcPr>
            <w:tcW w:type="dxa" w:w="12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11</w:t>
            </w:r>
          </w:p>
        </w:tc>
        <w:tc>
          <w:tcPr>
            <w:tcW w:type="dxa" w:w="24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0.9413</w:t>
            </w:r>
          </w:p>
        </w:tc>
        <w:tc>
          <w:tcPr>
            <w:tcW w:type="dxa" w:w="24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0.9413</w:t>
            </w:r>
          </w:p>
        </w:tc>
        <w:tc>
          <w:tcPr>
            <w:tcW w:type="dxa" w:w="23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E5BA8"/>
                <w:sz w:val="19"/>
                <w:szCs w:val="19"/>
              </w:rPr>
              <w:t xml:space="preserve">—</w:t>
            </w:r>
          </w:p>
        </w:tc>
      </w:tr>
      <w:tr>
        <w:tc>
          <w:tcPr>
            <w:tcW w:type="dxa" w:w="12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16</w:t>
            </w:r>
          </w:p>
        </w:tc>
        <w:tc>
          <w:tcPr>
            <w:tcW w:type="dxa" w:w="24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0.9414</w:t>
            </w:r>
          </w:p>
        </w:tc>
        <w:tc>
          <w:tcPr>
            <w:tcW w:type="dxa" w:w="24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0.9414</w:t>
            </w:r>
          </w:p>
        </w:tc>
        <w:tc>
          <w:tcPr>
            <w:tcW w:type="dxa" w:w="23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2E5BA8"/>
                <w:sz w:val="19"/>
                <w:szCs w:val="19"/>
              </w:rPr>
              <w:t xml:space="preserve">—</w:t>
            </w:r>
          </w:p>
        </w:tc>
      </w:tr>
      <w:tr>
        <w:tc>
          <w:tcPr>
            <w:tcW w:type="dxa" w:w="12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19</w:t>
            </w:r>
          </w:p>
        </w:tc>
        <w:tc>
          <w:tcPr>
            <w:tcW w:type="dxa" w:w="24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0.9420</w:t>
            </w:r>
          </w:p>
        </w:tc>
        <w:tc>
          <w:tcPr>
            <w:tcW w:type="dxa" w:w="24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0.9420</w:t>
            </w:r>
          </w:p>
        </w:tc>
        <w:tc>
          <w:tcPr>
            <w:tcW w:type="dxa" w:w="23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E5BA8"/>
                <w:sz w:val="19"/>
                <w:szCs w:val="19"/>
              </w:rPr>
              <w:t xml:space="preserve">—</w:t>
            </w:r>
          </w:p>
        </w:tc>
      </w:tr>
      <w:tr>
        <w:tc>
          <w:tcPr>
            <w:tcW w:type="dxa" w:w="1200"/>
            <w:tcBorders>
              <w:top w:val="single" w:color="B0C4DE" w:sz="4"/>
              <w:left w:val="single" w:color="B0C4DE" w:sz="4"/>
              <w:bottom w:val="single" w:color="B0C4DE" w:sz="4"/>
              <w:right w:val="single" w:color="B0C4DE" w:sz="4"/>
            </w:tcBorders>
            <w:shd w:fill="FFF8DC" w:val="clear"/>
            <w:tcMar>
              <w:top w:type="dxa" w:w="80"/>
              <w:left w:type="dxa" w:w="140"/>
              <w:bottom w:type="dxa" w:w="80"/>
              <w:right w:type="dxa" w:w="140"/>
            </w:tcMar>
            <w:vAlign w:val="center"/>
          </w:tcPr>
          <w:p>
            <w:pPr>
              <w:jc w:val="center"/>
            </w:pPr>
            <w:r>
              <w:rPr>
                <w:rFonts w:ascii="Arial" w:cs="Arial" w:eastAsia="Arial" w:hAnsi="Arial"/>
                <w:b/>
                <w:bCs/>
                <w:color w:val="7D5A00"/>
                <w:sz w:val="19"/>
                <w:szCs w:val="19"/>
              </w:rPr>
              <w:t xml:space="preserve">21</w:t>
            </w:r>
          </w:p>
        </w:tc>
        <w:tc>
          <w:tcPr>
            <w:tcW w:type="dxa" w:w="2400"/>
            <w:tcBorders>
              <w:top w:val="single" w:color="B0C4DE" w:sz="4"/>
              <w:left w:val="single" w:color="B0C4DE" w:sz="4"/>
              <w:bottom w:val="single" w:color="B0C4DE" w:sz="4"/>
              <w:right w:val="single" w:color="B0C4DE" w:sz="4"/>
            </w:tcBorders>
            <w:shd w:fill="FFF8DC" w:val="clear"/>
            <w:tcMar>
              <w:top w:type="dxa" w:w="80"/>
              <w:left w:type="dxa" w:w="140"/>
              <w:bottom w:type="dxa" w:w="80"/>
              <w:right w:type="dxa" w:w="140"/>
            </w:tcMar>
            <w:vAlign w:val="center"/>
          </w:tcPr>
          <w:p>
            <w:pPr>
              <w:jc w:val="center"/>
            </w:pPr>
            <w:r>
              <w:rPr>
                <w:rFonts w:ascii="Arial" w:cs="Arial" w:eastAsia="Arial" w:hAnsi="Arial"/>
                <w:b/>
                <w:bCs/>
                <w:color w:val="7D5A00"/>
                <w:sz w:val="19"/>
                <w:szCs w:val="19"/>
              </w:rPr>
              <w:t xml:space="preserve">0.9453</w:t>
            </w:r>
          </w:p>
        </w:tc>
        <w:tc>
          <w:tcPr>
            <w:tcW w:type="dxa" w:w="2400"/>
            <w:tcBorders>
              <w:top w:val="single" w:color="B0C4DE" w:sz="4"/>
              <w:left w:val="single" w:color="B0C4DE" w:sz="4"/>
              <w:bottom w:val="single" w:color="B0C4DE" w:sz="4"/>
              <w:right w:val="single" w:color="B0C4DE" w:sz="4"/>
            </w:tcBorders>
            <w:shd w:fill="FFF8DC" w:val="clear"/>
            <w:tcMar>
              <w:top w:type="dxa" w:w="80"/>
              <w:left w:type="dxa" w:w="140"/>
              <w:bottom w:type="dxa" w:w="80"/>
              <w:right w:type="dxa" w:w="140"/>
            </w:tcMar>
            <w:vAlign w:val="center"/>
          </w:tcPr>
          <w:p>
            <w:pPr>
              <w:jc w:val="center"/>
            </w:pPr>
            <w:r>
              <w:rPr>
                <w:rFonts w:ascii="Arial" w:cs="Arial" w:eastAsia="Arial" w:hAnsi="Arial"/>
                <w:b/>
                <w:bCs/>
                <w:color w:val="7D5A00"/>
                <w:sz w:val="19"/>
                <w:szCs w:val="19"/>
              </w:rPr>
              <w:t xml:space="preserve">0.9453</w:t>
            </w:r>
          </w:p>
        </w:tc>
        <w:tc>
          <w:tcPr>
            <w:tcW w:type="dxa" w:w="2300"/>
            <w:tcBorders>
              <w:top w:val="single" w:color="B0C4DE" w:sz="4"/>
              <w:left w:val="single" w:color="B0C4DE" w:sz="4"/>
              <w:bottom w:val="single" w:color="B0C4DE" w:sz="4"/>
              <w:right w:val="single" w:color="B0C4DE" w:sz="4"/>
            </w:tcBorders>
            <w:shd w:fill="FFF8DC" w:val="clear"/>
            <w:tcMar>
              <w:top w:type="dxa" w:w="80"/>
              <w:left w:type="dxa" w:w="140"/>
              <w:bottom w:type="dxa" w:w="80"/>
              <w:right w:type="dxa" w:w="140"/>
            </w:tcMar>
            <w:vAlign w:val="center"/>
          </w:tcPr>
          <w:p>
            <w:pPr>
              <w:jc w:val="center"/>
            </w:pPr>
            <w:r>
              <w:rPr>
                <w:rFonts w:ascii="Arial" w:cs="Arial" w:eastAsia="Arial" w:hAnsi="Arial"/>
                <w:b/>
                <w:bCs/>
                <w:color w:val="7D5A00"/>
                <w:sz w:val="19"/>
                <w:szCs w:val="19"/>
              </w:rPr>
              <w:t xml:space="preserve">← Global Best</w:t>
            </w:r>
          </w:p>
        </w:tc>
      </w:tr>
      <w:tr>
        <w:tc>
          <w:tcPr>
            <w:tcW w:type="dxa" w:w="12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22</w:t>
            </w:r>
          </w:p>
        </w:tc>
        <w:tc>
          <w:tcPr>
            <w:tcW w:type="dxa" w:w="24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0.9415</w:t>
            </w:r>
          </w:p>
        </w:tc>
        <w:tc>
          <w:tcPr>
            <w:tcW w:type="dxa" w:w="24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0.9453</w:t>
            </w:r>
          </w:p>
        </w:tc>
        <w:tc>
          <w:tcPr>
            <w:tcW w:type="dxa" w:w="23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E5BA8"/>
                <w:sz w:val="19"/>
                <w:szCs w:val="19"/>
              </w:rPr>
              <w:t xml:space="preserve">Plateau</w:t>
            </w:r>
          </w:p>
        </w:tc>
      </w:tr>
      <w:tr>
        <w:tc>
          <w:tcPr>
            <w:tcW w:type="dxa" w:w="12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24</w:t>
            </w:r>
          </w:p>
        </w:tc>
        <w:tc>
          <w:tcPr>
            <w:tcW w:type="dxa" w:w="24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0.9414</w:t>
            </w:r>
          </w:p>
        </w:tc>
        <w:tc>
          <w:tcPr>
            <w:tcW w:type="dxa" w:w="24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0.9453</w:t>
            </w:r>
          </w:p>
        </w:tc>
        <w:tc>
          <w:tcPr>
            <w:tcW w:type="dxa" w:w="23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2E5BA8"/>
                <w:sz w:val="19"/>
                <w:szCs w:val="19"/>
              </w:rPr>
              <w:t xml:space="preserve">Plateau</w:t>
            </w:r>
          </w:p>
        </w:tc>
      </w:tr>
    </w:tbl>
    <w:p>
      <w:pPr>
        <w:spacing w:after="120" w:before="60"/>
      </w:pPr>
      <w:r>
        <w:rPr>
          <w:rFonts w:ascii="Arial" w:cs="Arial" w:eastAsia="Arial" w:hAnsi="Arial"/>
          <w:color w:val="555555"/>
          <w:sz w:val="17"/>
          <w:szCs w:val="17"/>
        </w:rPr>
        <w:t xml:space="preserve">Note: Only representative trials shown. All 25 trials were executed. Trial 21 achieved the global best validation macro-F1 of 0.9453. Trials 22–24 failed to exceed this value, confirming convergence within the 25-trial budget.</w:t>
      </w:r>
    </w:p>
    <w:p>
      <w:pPr>
        <w:pBdr>
          <w:left w:val="single" w:color="2E5BA8" w:sz="16" w:space="8"/>
        </w:pBdr>
        <w:spacing w:after="60" w:before="160"/>
        <w:ind w:left="120"/>
      </w:pPr>
      <w:r>
        <w:rPr>
          <w:rFonts w:ascii="Arial" w:cs="Arial" w:eastAsia="Arial" w:hAnsi="Arial"/>
          <w:b/>
          <w:bCs/>
          <w:color w:val="2E5BA8"/>
          <w:sz w:val="20"/>
          <w:szCs w:val="20"/>
        </w:rPr>
        <w:t xml:space="preserve">Analysis — Optuna Trial Progression:</w:t>
      </w:r>
    </w:p>
    <w:p>
      <w:pPr>
        <w:spacing w:after="80" w:before="80"/>
      </w:pPr>
      <w:r>
        <w:rPr>
          <w:rFonts w:ascii="Arial" w:cs="Arial" w:eastAsia="Arial" w:hAnsi="Arial"/>
          <w:sz w:val="20"/>
          <w:szCs w:val="20"/>
        </w:rPr>
        <w:t xml:space="preserve">The Optuna trial progression shows a clear upward trend in validation macro-F1 across the 25 trials. Trial 0 achieves a macro-F1 of 0.9286, representing a reasonable but suboptimal initial configuration drawn from the prior distribution of the TPE sampler. As the TPE model accumulates trial history, it progressively narrows the search to promising hyperparameter regions. The global best result is obtained at Trial 21 with a macro-F1 of 0.9453 — an improvement of 0.0167 over the initial trial. Trials 22–24 consistently plateau at 0.941–0.945, providing strong evidence that the search space was well covered and the optimisation converged within the allocated trial budget.</w:t>
      </w:r>
    </w:p>
    <w:p>
      <w:pPr>
        <w:spacing w:before="120"/>
      </w:pPr>
      <w:r>
        <w:t xml:space="preserve"/>
      </w:r>
    </w:p>
    <w:p>
      <w:pPr>
        <w:pBdr>
          <w:left w:val="single" w:color="4A90D9" w:sz="12" w:space="8"/>
        </w:pBdr>
        <w:spacing w:after="60" w:before="160"/>
        <w:ind w:left="120"/>
      </w:pPr>
      <w:r>
        <w:rPr>
          <w:rFonts w:ascii="Arial" w:cs="Arial" w:eastAsia="Arial" w:hAnsi="Arial"/>
          <w:b/>
          <w:bCs/>
          <w:color w:val="1B3A6B"/>
          <w:sz w:val="19"/>
          <w:szCs w:val="19"/>
        </w:rPr>
        <w:t xml:space="preserve">Table — </w:t>
      </w:r>
      <w:r>
        <w:rPr>
          <w:rFonts w:ascii="Arial" w:cs="Arial" w:eastAsia="Arial" w:hAnsi="Arial"/>
          <w:b/>
          <w:bCs/>
          <w:color w:val="1B3A6B"/>
          <w:sz w:val="19"/>
          <w:szCs w:val="19"/>
        </w:rPr>
        <w:t xml:space="preserve">Architecture 2 — Training, Validation, and Test Set Metrics (Swin-Base + EfficientNetV2-S + XGBoost, Optuna HPO, 25 Trials, Best Trial = 21)</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tblGrid>
      <w:tr>
        <w:trPr>
          <w:tblHeader/>
        </w:trPr>
        <w:tc>
          <w:tcPr>
            <w:tcW w:type="dxa" w:w="2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Metric</w:t>
            </w:r>
          </w:p>
        </w:tc>
        <w:tc>
          <w:tcPr>
            <w:tcW w:type="dxa" w:w="19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Training Set</w:t>
            </w:r>
          </w:p>
        </w:tc>
        <w:tc>
          <w:tcPr>
            <w:tcW w:type="dxa" w:w="19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Validation Set</w:t>
            </w:r>
          </w:p>
        </w:tc>
        <w:tc>
          <w:tcPr>
            <w:tcW w:type="dxa" w:w="19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Test Set</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Accuracy</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0.9453§</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0.9437</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Precision</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N/A†</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0.9436</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Recall (TPR)</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N/A†</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0.9424</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F1-Score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0.9999</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0.9453§</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0.9429</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Macro Avg FPR</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0.0000</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N/A†</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0.0070</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AUROC</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0.9976</w:t>
            </w:r>
          </w:p>
        </w:tc>
      </w:tr>
      <w:tr>
        <w:tc>
          <w:tcPr>
            <w:tcW w:type="dxa" w:w="26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Final Loss (mlogloss)</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0.0051</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0.0043</w:t>
            </w:r>
          </w:p>
        </w:tc>
        <w:tc>
          <w:tcPr>
            <w:tcW w:type="dxa" w:w="19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0.1621</w:t>
            </w:r>
          </w:p>
        </w:tc>
      </w:tr>
      <w:tr>
        <w:tc>
          <w:tcPr>
            <w:tcW w:type="dxa" w:w="26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Inference / Eval Time</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348.30 s</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10.49 s</w:t>
            </w:r>
          </w:p>
        </w:tc>
        <w:tc>
          <w:tcPr>
            <w:tcW w:type="dxa" w:w="19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8.90 s</w:t>
            </w:r>
          </w:p>
        </w:tc>
      </w:tr>
    </w:tbl>
    <w:p>
      <w:pPr>
        <w:spacing w:after="120" w:before="60"/>
      </w:pPr>
      <w:r>
        <w:rPr>
          <w:rFonts w:ascii="Arial" w:cs="Arial" w:eastAsia="Arial" w:hAnsi="Arial"/>
          <w:color w:val="555555"/>
          <w:sz w:val="17"/>
          <w:szCs w:val="17"/>
        </w:rPr>
        <w:t xml:space="preserve">§ Validation Macro-F1 of 0.9453 is the best Optuna trial objective value, measured on the held-out validation split (2,363 samples) during HPO. † After final retraining on the combined Train + Validation set (21,261 samples), independent validation accuracy is not available. The definitive generalisation measure is the test set result. Feature extraction times: Train 348.30 s, Val 45.20 s, Test 8.90 s.</w:t>
      </w:r>
    </w:p>
    <w:p>
      <w:pPr>
        <w:pBdr>
          <w:left w:val="single" w:color="2E5BA8" w:sz="16" w:space="8"/>
        </w:pBdr>
        <w:spacing w:after="60" w:before="160"/>
        <w:ind w:left="120"/>
      </w:pPr>
      <w:r>
        <w:rPr>
          <w:rFonts w:ascii="Arial" w:cs="Arial" w:eastAsia="Arial" w:hAnsi="Arial"/>
          <w:b/>
          <w:bCs/>
          <w:color w:val="2E5BA8"/>
          <w:sz w:val="20"/>
          <w:szCs w:val="20"/>
        </w:rPr>
        <w:t xml:space="preserve">Analysis — Architecture 2 (Optimised):</w:t>
      </w:r>
    </w:p>
    <w:p>
      <w:pPr>
        <w:spacing w:after="80" w:before="80"/>
      </w:pPr>
      <w:r>
        <w:rPr>
          <w:rFonts w:ascii="Arial" w:cs="Arial" w:eastAsia="Arial" w:hAnsi="Arial"/>
          <w:sz w:val="20"/>
          <w:szCs w:val="20"/>
        </w:rPr>
        <w:t xml:space="preserve">The Optuna-optimised Swin-Base architecture achieves the strongest overall performance across all four configurations evaluated in this study. The test accuracy of 0.9437 and weighted F1-score of 0.9429 represent improvements of +0.0122 over the unoptimised Swin-Base baseline (0.9315) and +0.0456 over the unoptimised Architecture 1 (0.8981). The AUROC of 0.9976 — the highest recorded in this study — confirms superior class separability across all nine waste categories.</w:t>
      </w:r>
    </w:p>
    <w:p>
      <w:pPr>
        <w:spacing w:before="60"/>
      </w:pPr>
      <w:r>
        <w:t xml:space="preserve"/>
      </w:r>
    </w:p>
    <w:p>
      <w:pPr>
        <w:spacing w:after="80" w:before="80"/>
      </w:pPr>
      <w:r>
        <w:rPr>
          <w:rFonts w:ascii="Arial" w:cs="Arial" w:eastAsia="Arial" w:hAnsi="Arial"/>
          <w:sz w:val="20"/>
          <w:szCs w:val="20"/>
        </w:rPr>
        <w:t xml:space="preserve">The training accuracy of 0.9999 is consistent across both architectures and both regimes, confirming that XGBoost model capacity is sufficient in all cases; the gains from HPO are entirely attributable to better regularisation parameters and tree depth calibration. The final loss of 0.1621 — a reduction of 0.0782 from the unoptimised 0.2403 — indicates that Optuna's TPE search successfully identified parameters that produce more calibrated probability outputs. The macro-average FPR of 0.0070 is the lowest observed across all configurations, meaning Architecture 2 (Optimised) produces the fewest false positives per category.</w:t>
      </w:r>
    </w:p>
    <w:p>
      <w:pPr>
        <w:spacing w:before="60"/>
      </w:pPr>
      <w:r>
        <w:t xml:space="preserve"/>
      </w:r>
    </w:p>
    <w:p>
      <w:pPr>
        <w:spacing w:after="80" w:before="80"/>
      </w:pPr>
      <w:r>
        <w:rPr>
          <w:rFonts w:ascii="Arial" w:cs="Arial" w:eastAsia="Arial" w:hAnsi="Arial"/>
          <w:sz w:val="20"/>
          <w:szCs w:val="20"/>
        </w:rPr>
        <w:t xml:space="preserve">The primary trade-off is inference time: 8.90 seconds for 2,364 test samples (3.77 ms per sample), which is 75.6× slower than Architecture 1 (Optimised). This precludes real-time use but makes Architecture 2 the clear choice for offline batch-processing scenarios where classification accuracy is the primary objective.</w:t>
      </w:r>
    </w:p>
    <w:p>
      <w:pPr>
        <w:spacing w:before="200"/>
      </w:pPr>
      <w:r>
        <w:t xml:space="preserve"/>
      </w:r>
    </w:p>
    <w:p>
      <w:pPr>
        <w:pStyle w:val="Heading2"/>
        <w:pBdr>
          <w:bottom w:val="single" w:color="4A90D9" w:sz="4"/>
        </w:pBdr>
        <w:spacing w:after="120" w:before="280"/>
      </w:pPr>
      <w:r>
        <w:rPr>
          <w:rFonts w:ascii="Arial" w:cs="Arial" w:eastAsia="Arial" w:hAnsi="Arial"/>
          <w:b/>
          <w:bCs/>
          <w:color w:val="1B3A6B"/>
          <w:sz w:val="24"/>
          <w:szCs w:val="24"/>
        </w:rPr>
        <w:t xml:space="preserve">5.3.3 Comprehensive Test Set Comparison</w:t>
      </w:r>
    </w:p>
    <w:p>
      <w:pPr>
        <w:spacing w:after="80" w:before="80"/>
      </w:pPr>
      <w:r>
        <w:rPr>
          <w:rFonts w:ascii="Arial" w:cs="Arial" w:eastAsia="Arial" w:hAnsi="Arial"/>
          <w:sz w:val="20"/>
          <w:szCs w:val="20"/>
        </w:rPr>
        <w:t xml:space="preserve">Both architectures (in their optimised configurations) were evaluated on the identical held-out test set of 2,364 samples. The table below presents the complete test set metrics, with improvement calculated as Architecture 2 minus Architecture 1.</w:t>
      </w:r>
    </w:p>
    <w:p>
      <w:pPr>
        <w:spacing w:before="80"/>
      </w:pPr>
      <w:r>
        <w:t xml:space="preserve"/>
      </w:r>
    </w:p>
    <w:p>
      <w:pPr>
        <w:pBdr>
          <w:left w:val="single" w:color="4A90D9" w:sz="12" w:space="8"/>
        </w:pBdr>
        <w:spacing w:after="60" w:before="160"/>
        <w:ind w:left="120"/>
      </w:pPr>
      <w:r>
        <w:rPr>
          <w:rFonts w:ascii="Arial" w:cs="Arial" w:eastAsia="Arial" w:hAnsi="Arial"/>
          <w:b/>
          <w:bCs/>
          <w:color w:val="1B3A6B"/>
          <w:sz w:val="19"/>
          <w:szCs w:val="19"/>
        </w:rPr>
        <w:t xml:space="preserve">Table — </w:t>
      </w:r>
      <w:r>
        <w:rPr>
          <w:rFonts w:ascii="Arial" w:cs="Arial" w:eastAsia="Arial" w:hAnsi="Arial"/>
          <w:b/>
          <w:bCs/>
          <w:color w:val="1B3A6B"/>
          <w:sz w:val="19"/>
          <w:szCs w:val="19"/>
        </w:rPr>
        <w:t xml:space="preserve">Test Set Comparison — Architecture 1 (LeViT-256, Fixed) vs. Architecture 2 (Swin-Base, Optuna)</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100"/>
      </w:tblGrid>
      <w:tr>
        <w:trPr>
          <w:tblHeader/>
        </w:trPr>
        <w:tc>
          <w:tcPr>
            <w:tcW w:type="dxa" w:w="2200"/>
            <w:tcBorders>
              <w:top w:val="single" w:color="B0C4DE" w:sz="4"/>
              <w:left w:val="single" w:color="B0C4DE" w:sz="4"/>
              <w:bottom w:val="single" w:color="B0C4DE" w:sz="4"/>
              <w:right w:val="single" w:color="B0C4DE"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Metric</w:t>
            </w:r>
          </w:p>
        </w:tc>
        <w:tc>
          <w:tcPr>
            <w:tcW w:type="dxa" w:w="2000"/>
            <w:tcBorders>
              <w:top w:val="single" w:color="B0C4DE" w:sz="4"/>
              <w:left w:val="single" w:color="B0C4DE" w:sz="4"/>
              <w:bottom w:val="single" w:color="B0C4DE" w:sz="4"/>
              <w:right w:val="single" w:color="B0C4DE"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Arch. 1: LeViT-256</w:t>
            </w:r>
          </w:p>
        </w:tc>
        <w:tc>
          <w:tcPr>
            <w:tcW w:type="dxa" w:w="2000"/>
            <w:tcBorders>
              <w:top w:val="single" w:color="B0C4DE" w:sz="4"/>
              <w:left w:val="single" w:color="B0C4DE" w:sz="4"/>
              <w:bottom w:val="single" w:color="B0C4DE" w:sz="4"/>
              <w:right w:val="single" w:color="B0C4DE"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Arch. 2: Swin-Base</w:t>
            </w:r>
          </w:p>
        </w:tc>
        <w:tc>
          <w:tcPr>
            <w:tcW w:type="dxa" w:w="2100"/>
            <w:tcBorders>
              <w:top w:val="single" w:color="B0C4DE" w:sz="4"/>
              <w:left w:val="single" w:color="B0C4DE" w:sz="4"/>
              <w:bottom w:val="single" w:color="B0C4DE" w:sz="4"/>
              <w:right w:val="single" w:color="B0C4DE"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Improvement (A2−A1)</w:t>
            </w:r>
          </w:p>
        </w:tc>
      </w:tr>
      <w:tr>
        <w:tc>
          <w:tcPr>
            <w:tcW w:type="dxa" w:w="22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Test Accuracy</w:t>
            </w:r>
          </w:p>
        </w:tc>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0.8981 (89.81%)</w:t>
            </w:r>
          </w:p>
        </w:tc>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0.9437 (94.37%)</w:t>
            </w:r>
          </w:p>
        </w:tc>
        <w:tc>
          <w:tcPr>
            <w:tcW w:type="dxa" w:w="2100"/>
            <w:tcBorders>
              <w:top w:val="single" w:color="B0C4DE" w:sz="4"/>
              <w:left w:val="single" w:color="B0C4DE" w:sz="4"/>
              <w:bottom w:val="single" w:color="B0C4DE" w:sz="4"/>
              <w:right w:val="single" w:color="B0C4DE" w:sz="4"/>
            </w:tcBorders>
            <w:shd w:fill="EDFAF0" w:val="clear"/>
            <w:tcMar>
              <w:top w:type="dxa" w:w="80"/>
              <w:left w:type="dxa" w:w="140"/>
              <w:bottom w:type="dxa" w:w="80"/>
              <w:right w:type="dxa" w:w="140"/>
            </w:tcMar>
            <w:vAlign w:val="center"/>
          </w:tcPr>
          <w:p>
            <w:pPr>
              <w:jc w:val="center"/>
            </w:pPr>
            <w:r>
              <w:rPr>
                <w:rFonts w:ascii="Arial" w:cs="Arial" w:eastAsia="Arial" w:hAnsi="Arial"/>
                <w:b/>
                <w:bCs/>
                <w:color w:val="1A6B2E"/>
                <w:sz w:val="19"/>
                <w:szCs w:val="19"/>
              </w:rPr>
              <w:t xml:space="preserve">+0.0456 (+5.09%)</w:t>
            </w:r>
          </w:p>
        </w:tc>
      </w:tr>
      <w:tr>
        <w:tc>
          <w:tcPr>
            <w:tcW w:type="dxa" w:w="22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Precision</w:t>
            </w:r>
          </w:p>
        </w:tc>
        <w:tc>
          <w:tcPr>
            <w:tcW w:type="dxa" w:w="20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0.8982</w:t>
            </w:r>
          </w:p>
        </w:tc>
        <w:tc>
          <w:tcPr>
            <w:tcW w:type="dxa" w:w="20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0.9436</w:t>
            </w:r>
          </w:p>
        </w:tc>
        <w:tc>
          <w:tcPr>
            <w:tcW w:type="dxa" w:w="2100"/>
            <w:tcBorders>
              <w:top w:val="single" w:color="B0C4DE" w:sz="4"/>
              <w:left w:val="single" w:color="B0C4DE" w:sz="4"/>
              <w:bottom w:val="single" w:color="B0C4DE" w:sz="4"/>
              <w:right w:val="single" w:color="B0C4DE" w:sz="4"/>
            </w:tcBorders>
            <w:shd w:fill="E2F5E8" w:val="clear"/>
            <w:tcMar>
              <w:top w:type="dxa" w:w="80"/>
              <w:left w:type="dxa" w:w="140"/>
              <w:bottom w:type="dxa" w:w="80"/>
              <w:right w:type="dxa" w:w="140"/>
            </w:tcMar>
            <w:vAlign w:val="center"/>
          </w:tcPr>
          <w:p>
            <w:pPr>
              <w:jc w:val="center"/>
            </w:pPr>
            <w:r>
              <w:rPr>
                <w:rFonts w:ascii="Arial" w:cs="Arial" w:eastAsia="Arial" w:hAnsi="Arial"/>
                <w:b/>
                <w:bCs/>
                <w:color w:val="1A6B2E"/>
                <w:sz w:val="19"/>
                <w:szCs w:val="19"/>
              </w:rPr>
              <w:t xml:space="preserve">+0.0454</w:t>
            </w:r>
          </w:p>
        </w:tc>
      </w:tr>
      <w:tr>
        <w:tc>
          <w:tcPr>
            <w:tcW w:type="dxa" w:w="22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Recall (TPR)</w:t>
            </w:r>
          </w:p>
        </w:tc>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0.8981</w:t>
            </w:r>
          </w:p>
        </w:tc>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0.9424</w:t>
            </w:r>
          </w:p>
        </w:tc>
        <w:tc>
          <w:tcPr>
            <w:tcW w:type="dxa" w:w="2100"/>
            <w:tcBorders>
              <w:top w:val="single" w:color="B0C4DE" w:sz="4"/>
              <w:left w:val="single" w:color="B0C4DE" w:sz="4"/>
              <w:bottom w:val="single" w:color="B0C4DE" w:sz="4"/>
              <w:right w:val="single" w:color="B0C4DE" w:sz="4"/>
            </w:tcBorders>
            <w:shd w:fill="EDFAF0" w:val="clear"/>
            <w:tcMar>
              <w:top w:type="dxa" w:w="80"/>
              <w:left w:type="dxa" w:w="140"/>
              <w:bottom w:type="dxa" w:w="80"/>
              <w:right w:type="dxa" w:w="140"/>
            </w:tcMar>
            <w:vAlign w:val="center"/>
          </w:tcPr>
          <w:p>
            <w:pPr>
              <w:jc w:val="center"/>
            </w:pPr>
            <w:r>
              <w:rPr>
                <w:rFonts w:ascii="Arial" w:cs="Arial" w:eastAsia="Arial" w:hAnsi="Arial"/>
                <w:b/>
                <w:bCs/>
                <w:color w:val="1A6B2E"/>
                <w:sz w:val="19"/>
                <w:szCs w:val="19"/>
              </w:rPr>
              <w:t xml:space="preserve">+0.0443</w:t>
            </w:r>
          </w:p>
        </w:tc>
      </w:tr>
      <w:tr>
        <w:tc>
          <w:tcPr>
            <w:tcW w:type="dxa" w:w="22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F1-Score</w:t>
            </w:r>
          </w:p>
        </w:tc>
        <w:tc>
          <w:tcPr>
            <w:tcW w:type="dxa" w:w="20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0.8980</w:t>
            </w:r>
          </w:p>
        </w:tc>
        <w:tc>
          <w:tcPr>
            <w:tcW w:type="dxa" w:w="20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0.9429</w:t>
            </w:r>
          </w:p>
        </w:tc>
        <w:tc>
          <w:tcPr>
            <w:tcW w:type="dxa" w:w="2100"/>
            <w:tcBorders>
              <w:top w:val="single" w:color="B0C4DE" w:sz="4"/>
              <w:left w:val="single" w:color="B0C4DE" w:sz="4"/>
              <w:bottom w:val="single" w:color="B0C4DE" w:sz="4"/>
              <w:right w:val="single" w:color="B0C4DE" w:sz="4"/>
            </w:tcBorders>
            <w:shd w:fill="E2F5E8" w:val="clear"/>
            <w:tcMar>
              <w:top w:type="dxa" w:w="80"/>
              <w:left w:type="dxa" w:w="140"/>
              <w:bottom w:type="dxa" w:w="80"/>
              <w:right w:type="dxa" w:w="140"/>
            </w:tcMar>
            <w:vAlign w:val="center"/>
          </w:tcPr>
          <w:p>
            <w:pPr>
              <w:jc w:val="center"/>
            </w:pPr>
            <w:r>
              <w:rPr>
                <w:rFonts w:ascii="Arial" w:cs="Arial" w:eastAsia="Arial" w:hAnsi="Arial"/>
                <w:b/>
                <w:bCs/>
                <w:color w:val="1A6B2E"/>
                <w:sz w:val="19"/>
                <w:szCs w:val="19"/>
              </w:rPr>
              <w:t xml:space="preserve">+0.0449</w:t>
            </w:r>
          </w:p>
        </w:tc>
      </w:tr>
      <w:tr>
        <w:tc>
          <w:tcPr>
            <w:tcW w:type="dxa" w:w="22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Macro Avg FPR</w:t>
            </w:r>
          </w:p>
        </w:tc>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0.0128</w:t>
            </w:r>
          </w:p>
        </w:tc>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0.0070</w:t>
            </w:r>
          </w:p>
        </w:tc>
        <w:tc>
          <w:tcPr>
            <w:tcW w:type="dxa" w:w="2100"/>
            <w:tcBorders>
              <w:top w:val="single" w:color="B0C4DE" w:sz="4"/>
              <w:left w:val="single" w:color="B0C4DE" w:sz="4"/>
              <w:bottom w:val="single" w:color="B0C4DE" w:sz="4"/>
              <w:right w:val="single" w:color="B0C4DE" w:sz="4"/>
            </w:tcBorders>
            <w:shd w:fill="EDFAF0" w:val="clear"/>
            <w:tcMar>
              <w:top w:type="dxa" w:w="80"/>
              <w:left w:type="dxa" w:w="140"/>
              <w:bottom w:type="dxa" w:w="80"/>
              <w:right w:type="dxa" w:w="140"/>
            </w:tcMar>
            <w:vAlign w:val="center"/>
          </w:tcPr>
          <w:p>
            <w:pPr>
              <w:jc w:val="center"/>
            </w:pPr>
            <w:r>
              <w:rPr>
                <w:rFonts w:ascii="Arial" w:cs="Arial" w:eastAsia="Arial" w:hAnsi="Arial"/>
                <w:b/>
                <w:bCs/>
                <w:color w:val="1A6B2E"/>
                <w:sz w:val="19"/>
                <w:szCs w:val="19"/>
              </w:rPr>
              <w:t xml:space="preserve">−0.0058 ↓ improved</w:t>
            </w:r>
          </w:p>
        </w:tc>
      </w:tr>
      <w:tr>
        <w:tc>
          <w:tcPr>
            <w:tcW w:type="dxa" w:w="22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Weighted AUROC</w:t>
            </w:r>
          </w:p>
        </w:tc>
        <w:tc>
          <w:tcPr>
            <w:tcW w:type="dxa" w:w="20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0.9926</w:t>
            </w:r>
          </w:p>
        </w:tc>
        <w:tc>
          <w:tcPr>
            <w:tcW w:type="dxa" w:w="20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0.9976</w:t>
            </w:r>
          </w:p>
        </w:tc>
        <w:tc>
          <w:tcPr>
            <w:tcW w:type="dxa" w:w="2100"/>
            <w:tcBorders>
              <w:top w:val="single" w:color="B0C4DE" w:sz="4"/>
              <w:left w:val="single" w:color="B0C4DE" w:sz="4"/>
              <w:bottom w:val="single" w:color="B0C4DE" w:sz="4"/>
              <w:right w:val="single" w:color="B0C4DE" w:sz="4"/>
            </w:tcBorders>
            <w:shd w:fill="E2F5E8" w:val="clear"/>
            <w:tcMar>
              <w:top w:type="dxa" w:w="80"/>
              <w:left w:type="dxa" w:w="140"/>
              <w:bottom w:type="dxa" w:w="80"/>
              <w:right w:type="dxa" w:w="140"/>
            </w:tcMar>
            <w:vAlign w:val="center"/>
          </w:tcPr>
          <w:p>
            <w:pPr>
              <w:jc w:val="center"/>
            </w:pPr>
            <w:r>
              <w:rPr>
                <w:rFonts w:ascii="Arial" w:cs="Arial" w:eastAsia="Arial" w:hAnsi="Arial"/>
                <w:b/>
                <w:bCs/>
                <w:color w:val="1A6B2E"/>
                <w:sz w:val="19"/>
                <w:szCs w:val="19"/>
              </w:rPr>
              <w:t xml:space="preserve">+0.0050</w:t>
            </w:r>
          </w:p>
        </w:tc>
      </w:tr>
      <w:tr>
        <w:tc>
          <w:tcPr>
            <w:tcW w:type="dxa" w:w="22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Final Loss (mlogloss)</w:t>
            </w:r>
          </w:p>
        </w:tc>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0.3450</w:t>
            </w:r>
          </w:p>
        </w:tc>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0.1621</w:t>
            </w:r>
          </w:p>
        </w:tc>
        <w:tc>
          <w:tcPr>
            <w:tcW w:type="dxa" w:w="2100"/>
            <w:tcBorders>
              <w:top w:val="single" w:color="B0C4DE" w:sz="4"/>
              <w:left w:val="single" w:color="B0C4DE" w:sz="4"/>
              <w:bottom w:val="single" w:color="B0C4DE" w:sz="4"/>
              <w:right w:val="single" w:color="B0C4DE" w:sz="4"/>
            </w:tcBorders>
            <w:shd w:fill="EDFAF0" w:val="clear"/>
            <w:tcMar>
              <w:top w:type="dxa" w:w="80"/>
              <w:left w:type="dxa" w:w="140"/>
              <w:bottom w:type="dxa" w:w="80"/>
              <w:right w:type="dxa" w:w="140"/>
            </w:tcMar>
            <w:vAlign w:val="center"/>
          </w:tcPr>
          <w:p>
            <w:pPr>
              <w:jc w:val="center"/>
            </w:pPr>
            <w:r>
              <w:rPr>
                <w:rFonts w:ascii="Arial" w:cs="Arial" w:eastAsia="Arial" w:hAnsi="Arial"/>
                <w:b/>
                <w:bCs/>
                <w:color w:val="1A6B2E"/>
                <w:sz w:val="19"/>
                <w:szCs w:val="19"/>
              </w:rPr>
              <w:t xml:space="preserve">−0.1829 ↓ improved</w:t>
            </w:r>
          </w:p>
        </w:tc>
      </w:tr>
      <w:tr>
        <w:tc>
          <w:tcPr>
            <w:tcW w:type="dxa" w:w="2200"/>
            <w:tcBorders>
              <w:top w:val="single" w:color="B0C4DE" w:sz="4"/>
              <w:left w:val="single" w:color="B0C4DE" w:sz="4"/>
              <w:bottom w:val="single" w:color="B0C4DE" w:sz="4"/>
              <w:right w:val="single" w:color="B0C4DE" w:sz="4"/>
            </w:tcBorders>
            <w:shd w:fill="E8EEF8"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Inference Time</w:t>
            </w:r>
          </w:p>
        </w:tc>
        <w:tc>
          <w:tcPr>
            <w:tcW w:type="dxa" w:w="20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0.1177 s</w:t>
            </w:r>
          </w:p>
        </w:tc>
        <w:tc>
          <w:tcPr>
            <w:tcW w:type="dxa" w:w="20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8.90 s</w:t>
            </w:r>
          </w:p>
        </w:tc>
        <w:tc>
          <w:tcPr>
            <w:tcW w:type="dxa" w:w="2100"/>
            <w:tcBorders>
              <w:top w:val="single" w:color="B0C4DE" w:sz="4"/>
              <w:left w:val="single" w:color="B0C4DE" w:sz="4"/>
              <w:bottom w:val="single" w:color="B0C4DE" w:sz="4"/>
              <w:right w:val="single" w:color="B0C4DE" w:sz="4"/>
            </w:tcBorders>
            <w:shd w:fill="E2F5E8" w:val="clear"/>
            <w:tcMar>
              <w:top w:type="dxa" w:w="80"/>
              <w:left w:type="dxa" w:w="140"/>
              <w:bottom w:type="dxa" w:w="80"/>
              <w:right w:type="dxa" w:w="140"/>
            </w:tcMar>
            <w:vAlign w:val="center"/>
          </w:tcPr>
          <w:p>
            <w:pPr>
              <w:jc w:val="center"/>
            </w:pPr>
            <w:r>
              <w:rPr>
                <w:rFonts w:ascii="Arial" w:cs="Arial" w:eastAsia="Arial" w:hAnsi="Arial"/>
                <w:b/>
                <w:bCs/>
                <w:color w:val="1A6B2E"/>
                <w:sz w:val="19"/>
                <w:szCs w:val="19"/>
              </w:rPr>
              <w:t xml:space="preserve">+8.78 s (slower)</w:t>
            </w:r>
          </w:p>
        </w:tc>
      </w:tr>
      <w:tr>
        <w:tc>
          <w:tcPr>
            <w:tcW w:type="dxa" w:w="2200"/>
            <w:tcBorders>
              <w:top w:val="single" w:color="B0C4DE" w:sz="4"/>
              <w:left w:val="single" w:color="B0C4DE" w:sz="4"/>
              <w:bottom w:val="single" w:color="B0C4DE" w:sz="4"/>
              <w:right w:val="single" w:color="B0C4DE" w:sz="4"/>
            </w:tcBorders>
            <w:shd w:fill="F0F4FB" w:val="clear"/>
            <w:tcMar>
              <w:top w:type="dxa" w:w="80"/>
              <w:left w:type="dxa" w:w="140"/>
              <w:bottom w:type="dxa" w:w="80"/>
              <w:right w:type="dxa" w:w="140"/>
            </w:tcMar>
            <w:vAlign w:val="center"/>
          </w:tcPr>
          <w:p>
            <w:pPr>
              <w:jc w:val="left"/>
            </w:pPr>
            <w:r>
              <w:rPr>
                <w:rFonts w:ascii="Arial" w:cs="Arial" w:eastAsia="Arial" w:hAnsi="Arial"/>
                <w:b/>
                <w:bCs/>
                <w:color w:val="000000"/>
                <w:sz w:val="19"/>
                <w:szCs w:val="19"/>
              </w:rPr>
              <w:t xml:space="preserve">HPO Strategy</w:t>
            </w:r>
          </w:p>
        </w:tc>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Fixed parameters</w:t>
            </w:r>
          </w:p>
        </w:tc>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Optuna TPE (25 trials)</w:t>
            </w:r>
          </w:p>
        </w:tc>
        <w:tc>
          <w:tcPr>
            <w:tcW w:type="dxa" w:w="2100"/>
            <w:tcBorders>
              <w:top w:val="single" w:color="B0C4DE" w:sz="4"/>
              <w:left w:val="single" w:color="B0C4DE" w:sz="4"/>
              <w:bottom w:val="single" w:color="B0C4DE" w:sz="4"/>
              <w:right w:val="single" w:color="B0C4DE" w:sz="4"/>
            </w:tcBorders>
            <w:shd w:fill="EDFAF0" w:val="clear"/>
            <w:tcMar>
              <w:top w:type="dxa" w:w="80"/>
              <w:left w:type="dxa" w:w="140"/>
              <w:bottom w:type="dxa" w:w="80"/>
              <w:right w:type="dxa" w:w="140"/>
            </w:tcMar>
            <w:vAlign w:val="center"/>
          </w:tcPr>
          <w:p>
            <w:pPr>
              <w:jc w:val="center"/>
            </w:pPr>
            <w:r>
              <w:rPr>
                <w:rFonts w:ascii="Arial" w:cs="Arial" w:eastAsia="Arial" w:hAnsi="Arial"/>
                <w:b/>
                <w:bCs/>
                <w:color w:val="1A6B2E"/>
                <w:sz w:val="19"/>
                <w:szCs w:val="19"/>
              </w:rPr>
              <w:t xml:space="preserve">—</w:t>
            </w:r>
          </w:p>
        </w:tc>
      </w:tr>
    </w:tbl>
    <w:p>
      <w:pPr>
        <w:spacing w:after="120" w:before="60"/>
      </w:pPr>
      <w:r>
        <w:rPr>
          <w:rFonts w:ascii="Arial" w:cs="Arial" w:eastAsia="Arial" w:hAnsi="Arial"/>
          <w:color w:val="555555"/>
          <w:sz w:val="17"/>
          <w:szCs w:val="17"/>
        </w:rPr>
        <w:t xml:space="preserve">↓ Negative improvement values indicate reduction (lower is better) for FPR and Loss metrics.</w:t>
      </w:r>
    </w:p>
    <w:p>
      <w:pPr>
        <w:pBdr>
          <w:left w:val="single" w:color="2E5BA8" w:sz="16" w:space="8"/>
        </w:pBdr>
        <w:spacing w:after="60" w:before="160"/>
        <w:ind w:left="120"/>
      </w:pPr>
      <w:r>
        <w:rPr>
          <w:rFonts w:ascii="Arial" w:cs="Arial" w:eastAsia="Arial" w:hAnsi="Arial"/>
          <w:b/>
          <w:bCs/>
          <w:color w:val="2E5BA8"/>
          <w:sz w:val="20"/>
          <w:szCs w:val="20"/>
        </w:rPr>
        <w:t xml:space="preserve">Analysis — Cross-Architecture Comparison:</w:t>
      </w:r>
    </w:p>
    <w:p>
      <w:pPr>
        <w:spacing w:after="80" w:before="80"/>
      </w:pPr>
      <w:r>
        <w:rPr>
          <w:rFonts w:ascii="Arial" w:cs="Arial" w:eastAsia="Arial" w:hAnsi="Arial"/>
          <w:sz w:val="20"/>
          <w:szCs w:val="20"/>
        </w:rPr>
        <w:t xml:space="preserve">Architecture 2 (Swin-Base + Optuna) outperforms Architecture 1 (LeViT-256 + Fixed) across every classification metric. The test accuracy improvement of +0.0456 (+5.09 percentage points) is substantial given the already competitive LeViT-256 baseline. This gain is driven by the Swin Transformer's hierarchical multi-scale attention mechanism, which simultaneously captures fine-grained local textures and global spatial relationships, producing richer and more discriminative feature representations than LeViT-256's token mixing approach. The weighted F1-score improvement of +0.0449 reflects more balanced performance across all nine waste classes, not merely overall accuracy gains.</w:t>
      </w:r>
    </w:p>
    <w:p>
      <w:pPr>
        <w:spacing w:before="60"/>
      </w:pPr>
      <w:r>
        <w:t xml:space="preserve"/>
      </w:r>
    </w:p>
    <w:p>
      <w:pPr>
        <w:spacing w:after="80" w:before="80"/>
      </w:pPr>
      <w:r>
        <w:rPr>
          <w:rFonts w:ascii="Arial" w:cs="Arial" w:eastAsia="Arial" w:hAnsi="Arial"/>
          <w:sz w:val="20"/>
          <w:szCs w:val="20"/>
        </w:rPr>
        <w:t xml:space="preserve">The test loss improvement of −0.1829 (from 0.3450 to 0.1621) is particularly significant: it indicates that Architecture 2 produces substantially more calibrated probability estimates. The model is not only more accurate but also more confident in its correct predictions — an important property for downstream applications that require reliable confidence thresholds for decision-making. The AUROC improvement from 0.9926 to 0.9976 confirms superior class separability.</w:t>
      </w:r>
    </w:p>
    <w:p>
      <w:pPr>
        <w:spacing w:before="60"/>
      </w:pPr>
      <w:r>
        <w:t xml:space="preserve"/>
      </w:r>
    </w:p>
    <w:p>
      <w:pPr>
        <w:spacing w:after="80" w:before="80"/>
      </w:pPr>
      <w:r>
        <w:rPr>
          <w:rFonts w:ascii="Arial" w:cs="Arial" w:eastAsia="Arial" w:hAnsi="Arial"/>
          <w:sz w:val="20"/>
          <w:szCs w:val="20"/>
        </w:rPr>
        <w:t xml:space="preserve">The FPR reduction of −0.0058 (from 0.0128 to 0.0070) demonstrates that Architecture 2 produces significantly fewer false positives per class. In waste classification applications, misclassifying recyclable or hazardous materials incurs direct operational cost, making low FPR a critical deployment metric. The major trade-off is inference time: Architecture 2 requires 8.90 seconds for 2,364 samples compared to 0.1177 seconds for Architecture 1 — a 75.6-fold increase in latency. Architecture 1 is therefore the preferred choice for real-time or embedded deployment, while Architecture 2 is suited for offline batch-processing scenarios where accuracy is the primary objective.</w:t>
      </w:r>
    </w:p>
    <w:p>
      <w:pPr>
        <w:spacing w:before="16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300"/>
      </w:tblGrid>
      <w:tr>
        <w:trPr>
          <w:tblHeader/>
        </w:trPr>
        <w:tc>
          <w:tcPr>
            <w:tcW w:type="dxa" w:w="2000"/>
            <w:tcBorders>
              <w:top w:val="single" w:color="B0C4DE" w:sz="4"/>
              <w:left w:val="single" w:color="B0C4DE" w:sz="4"/>
              <w:bottom w:val="single" w:color="B0C4DE" w:sz="4"/>
              <w:right w:val="single" w:color="B0C4DE"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Configuration</w:t>
            </w:r>
          </w:p>
        </w:tc>
        <w:tc>
          <w:tcPr>
            <w:tcW w:type="dxa" w:w="2000"/>
            <w:tcBorders>
              <w:top w:val="single" w:color="B0C4DE" w:sz="4"/>
              <w:left w:val="single" w:color="B0C4DE" w:sz="4"/>
              <w:bottom w:val="single" w:color="B0C4DE" w:sz="4"/>
              <w:right w:val="single" w:color="B0C4DE"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Test Accuracy</w:t>
            </w:r>
          </w:p>
        </w:tc>
        <w:tc>
          <w:tcPr>
            <w:tcW w:type="dxa" w:w="2000"/>
            <w:tcBorders>
              <w:top w:val="single" w:color="B0C4DE" w:sz="4"/>
              <w:left w:val="single" w:color="B0C4DE" w:sz="4"/>
              <w:bottom w:val="single" w:color="B0C4DE" w:sz="4"/>
              <w:right w:val="single" w:color="B0C4DE"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Test F1</w:t>
            </w:r>
          </w:p>
        </w:tc>
        <w:tc>
          <w:tcPr>
            <w:tcW w:type="dxa" w:w="2300"/>
            <w:tcBorders>
              <w:top w:val="single" w:color="B0C4DE" w:sz="4"/>
              <w:left w:val="single" w:color="B0C4DE" w:sz="4"/>
              <w:bottom w:val="single" w:color="B0C4DE" w:sz="4"/>
              <w:right w:val="single" w:color="B0C4DE"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Recommended Use</w:t>
            </w:r>
          </w:p>
        </w:tc>
      </w:tr>
      <w:tr>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Arch. 1 Unoptimised</w:t>
            </w:r>
          </w:p>
        </w:tc>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0.8981</w:t>
            </w:r>
          </w:p>
        </w:tc>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0.8980</w:t>
            </w:r>
          </w:p>
        </w:tc>
        <w:tc>
          <w:tcPr>
            <w:tcW w:type="dxa" w:w="23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Baseline reference</w:t>
            </w:r>
          </w:p>
        </w:tc>
      </w:tr>
      <w:tr>
        <w:tc>
          <w:tcPr>
            <w:tcW w:type="dxa" w:w="20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Arch. 1 Optimised</w:t>
            </w:r>
          </w:p>
        </w:tc>
        <w:tc>
          <w:tcPr>
            <w:tcW w:type="dxa" w:w="20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0.9027</w:t>
            </w:r>
          </w:p>
        </w:tc>
        <w:tc>
          <w:tcPr>
            <w:tcW w:type="dxa" w:w="20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0.9027</w:t>
            </w:r>
          </w:p>
        </w:tc>
        <w:tc>
          <w:tcPr>
            <w:tcW w:type="dxa" w:w="2300"/>
            <w:tcBorders>
              <w:top w:val="single" w:color="B0C4DE" w:sz="4"/>
              <w:left w:val="single" w:color="B0C4DE" w:sz="4"/>
              <w:bottom w:val="single" w:color="B0C4DE" w:sz="4"/>
              <w:right w:val="single" w:color="B0C4DE" w:sz="4"/>
            </w:tcBorders>
            <w:shd w:fill="ED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Real-time / Edge deployment</w:t>
            </w:r>
          </w:p>
        </w:tc>
      </w:tr>
      <w:tr>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Arch. 2 Unoptimised</w:t>
            </w:r>
          </w:p>
        </w:tc>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0.9315</w:t>
            </w:r>
          </w:p>
        </w:tc>
        <w:tc>
          <w:tcPr>
            <w:tcW w:type="dxa" w:w="20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0.9307</w:t>
            </w:r>
          </w:p>
        </w:tc>
        <w:tc>
          <w:tcPr>
            <w:tcW w:type="dxa" w:w="2300"/>
            <w:tcBorders>
              <w:top w:val="single" w:color="B0C4DE" w:sz="4"/>
              <w:left w:val="single" w:color="B0C4DE" w:sz="4"/>
              <w:bottom w:val="single" w:color="B0C4DE" w:sz="4"/>
              <w:right w:val="single" w:color="B0C4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Pre-HPO Swin benchmark</w:t>
            </w:r>
          </w:p>
        </w:tc>
      </w:tr>
      <w:tr>
        <w:tc>
          <w:tcPr>
            <w:tcW w:type="dxa" w:w="2000"/>
            <w:tcBorders>
              <w:top w:val="single" w:color="B0C4DE" w:sz="4"/>
              <w:left w:val="single" w:color="B0C4DE" w:sz="4"/>
              <w:bottom w:val="single" w:color="B0C4DE" w:sz="4"/>
              <w:right w:val="single" w:color="B0C4DE" w:sz="4"/>
            </w:tcBorders>
            <w:shd w:fill="FFF8DC" w:val="clear"/>
            <w:tcMar>
              <w:top w:type="dxa" w:w="80"/>
              <w:left w:type="dxa" w:w="140"/>
              <w:bottom w:type="dxa" w:w="80"/>
              <w:right w:type="dxa" w:w="140"/>
            </w:tcMar>
            <w:vAlign w:val="center"/>
          </w:tcPr>
          <w:p>
            <w:pPr>
              <w:jc w:val="left"/>
            </w:pPr>
            <w:r>
              <w:rPr>
                <w:rFonts w:ascii="Arial" w:cs="Arial" w:eastAsia="Arial" w:hAnsi="Arial"/>
                <w:b/>
                <w:bCs/>
                <w:color w:val="7D5A00"/>
                <w:sz w:val="18"/>
                <w:szCs w:val="18"/>
              </w:rPr>
              <w:t xml:space="preserve">Arch. 2 Optimised ⭐</w:t>
            </w:r>
          </w:p>
        </w:tc>
        <w:tc>
          <w:tcPr>
            <w:tcW w:type="dxa" w:w="2000"/>
            <w:tcBorders>
              <w:top w:val="single" w:color="B0C4DE" w:sz="4"/>
              <w:left w:val="single" w:color="B0C4DE" w:sz="4"/>
              <w:bottom w:val="single" w:color="B0C4DE" w:sz="4"/>
              <w:right w:val="single" w:color="B0C4DE" w:sz="4"/>
            </w:tcBorders>
            <w:shd w:fill="FFF8DC" w:val="clear"/>
            <w:tcMar>
              <w:top w:type="dxa" w:w="80"/>
              <w:left w:type="dxa" w:w="140"/>
              <w:bottom w:type="dxa" w:w="80"/>
              <w:right w:type="dxa" w:w="140"/>
            </w:tcMar>
            <w:vAlign w:val="center"/>
          </w:tcPr>
          <w:p>
            <w:pPr>
              <w:jc w:val="center"/>
            </w:pPr>
            <w:r>
              <w:rPr>
                <w:rFonts w:ascii="Arial" w:cs="Arial" w:eastAsia="Arial" w:hAnsi="Arial"/>
                <w:b/>
                <w:bCs/>
                <w:color w:val="7D5A00"/>
                <w:sz w:val="18"/>
                <w:szCs w:val="18"/>
              </w:rPr>
              <w:t xml:space="preserve">0.9437</w:t>
            </w:r>
          </w:p>
        </w:tc>
        <w:tc>
          <w:tcPr>
            <w:tcW w:type="dxa" w:w="2000"/>
            <w:tcBorders>
              <w:top w:val="single" w:color="B0C4DE" w:sz="4"/>
              <w:left w:val="single" w:color="B0C4DE" w:sz="4"/>
              <w:bottom w:val="single" w:color="B0C4DE" w:sz="4"/>
              <w:right w:val="single" w:color="B0C4DE" w:sz="4"/>
            </w:tcBorders>
            <w:shd w:fill="FFF8DC" w:val="clear"/>
            <w:tcMar>
              <w:top w:type="dxa" w:w="80"/>
              <w:left w:type="dxa" w:w="140"/>
              <w:bottom w:type="dxa" w:w="80"/>
              <w:right w:type="dxa" w:w="140"/>
            </w:tcMar>
            <w:vAlign w:val="center"/>
          </w:tcPr>
          <w:p>
            <w:pPr>
              <w:jc w:val="center"/>
            </w:pPr>
            <w:r>
              <w:rPr>
                <w:rFonts w:ascii="Arial" w:cs="Arial" w:eastAsia="Arial" w:hAnsi="Arial"/>
                <w:b/>
                <w:bCs/>
                <w:color w:val="7D5A00"/>
                <w:sz w:val="18"/>
                <w:szCs w:val="18"/>
              </w:rPr>
              <w:t xml:space="preserve">0.9429</w:t>
            </w:r>
          </w:p>
        </w:tc>
        <w:tc>
          <w:tcPr>
            <w:tcW w:type="dxa" w:w="2300"/>
            <w:tcBorders>
              <w:top w:val="single" w:color="B0C4DE" w:sz="4"/>
              <w:left w:val="single" w:color="B0C4DE" w:sz="4"/>
              <w:bottom w:val="single" w:color="B0C4DE" w:sz="4"/>
              <w:right w:val="single" w:color="B0C4DE" w:sz="4"/>
            </w:tcBorders>
            <w:shd w:fill="FFF8DC" w:val="clear"/>
            <w:tcMar>
              <w:top w:type="dxa" w:w="80"/>
              <w:left w:type="dxa" w:w="140"/>
              <w:bottom w:type="dxa" w:w="80"/>
              <w:right w:type="dxa" w:w="140"/>
            </w:tcMar>
            <w:vAlign w:val="center"/>
          </w:tcPr>
          <w:p>
            <w:pPr>
              <w:jc w:val="center"/>
            </w:pPr>
            <w:r>
              <w:rPr>
                <w:rFonts w:ascii="Arial" w:cs="Arial" w:eastAsia="Arial" w:hAnsi="Arial"/>
                <w:b/>
                <w:bCs/>
                <w:color w:val="7D5A00"/>
                <w:sz w:val="18"/>
                <w:szCs w:val="18"/>
              </w:rPr>
              <w:t xml:space="preserve">Batch / High-accuracy offline</w:t>
            </w:r>
          </w:p>
        </w:tc>
      </w:tr>
    </w:tbl>
    <w:p>
      <w:pPr>
        <w:spacing w:before="60"/>
      </w:pPr>
      <w:r>
        <w:t xml:space="preserve"/>
      </w:r>
    </w:p>
    <w:p>
      <w:pPr>
        <w:spacing w:after="80" w:before="60"/>
      </w:pPr>
      <w:r>
        <w:rPr>
          <w:rFonts w:ascii="Arial" w:cs="Arial" w:eastAsia="Arial" w:hAnsi="Arial"/>
          <w:color w:val="7D5A00"/>
          <w:sz w:val="17"/>
          <w:szCs w:val="17"/>
        </w:rPr>
        <w:t xml:space="preserve">⭐ Best overall performance across all four evaluated configurations.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3A6B"/>
      <w:sz w:val="24"/>
      <w:szCs w:val="24"/>
    </w:rPr>
  </w:style>
  <w:style w:type="paragraph" w:styleId="Heading3">
    <w:name w:val="Heading 3"/>
    <w:basedOn w:val="Normal"/>
    <w:next w:val="Normal"/>
    <w:qFormat/>
    <w:pPr>
      <w:spacing w:after="100" w:before="240"/>
      <w:outlineLvl w:val="2"/>
    </w:pPr>
    <w:rPr>
      <w:rFonts w:ascii="Arial" w:cs="Arial" w:eastAsia="Arial" w:hAnsi="Arial"/>
      <w:b/>
      <w:bCs/>
      <w:color w:val="FFFF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2026-04-25T14:41:43.532Z</dcterms:created>
  <dcterms:modified xsi:type="dcterms:W3CDTF">2026-04-25T14:41:43.570Z</dcterms:modified>
</cp:coreProperties>
</file>

<file path=docProps/custom.xml><?xml version="1.0" encoding="utf-8"?>
<Properties xmlns="http://schemas.openxmlformats.org/officeDocument/2006/custom-properties" xmlns:vt="http://schemas.openxmlformats.org/officeDocument/2006/docPropsVTypes"/>
</file>