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4050"/>
        <w:gridCol w:w="2759"/>
      </w:tblGrid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区分请求和应答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2020/8/21</w:t>
            </w:r>
          </w:p>
        </w:tc>
      </w:tr>
    </w:tbl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3"/>
        </w:numPr>
      </w:pPr>
      <w:r>
        <w:t>纯文本</w:t>
      </w:r>
    </w:p>
    <w:p>
      <w:pPr>
        <w:numPr>
          <w:ilvl w:val="0"/>
          <w:numId w:val="3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3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4"/>
        </w:numPr>
      </w:pPr>
      <w:bookmarkStart w:id="0" w:name="_Ref67392261"/>
      <w:r>
        <w:t>指令</w:t>
      </w:r>
      <w:bookmarkEnd w:id="0"/>
    </w:p>
    <w:p>
      <w:pPr>
        <w:ind w:left="420"/>
      </w:pPr>
      <w:r>
        <w:t>一个指令由以下ASCII控制字符和可打印字符构成。尖括号内位必须按行，中括号内为可选项。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5"/>
        </w:numPr>
        <w:ind w:left="840"/>
      </w:pPr>
      <w:r>
        <w:t>STX和ETX之间的所有字符异或，得到S0</w:t>
      </w:r>
    </w:p>
    <w:p>
      <w:pPr>
        <w:numPr>
          <w:ilvl w:val="0"/>
          <w:numId w:val="5"/>
        </w:numPr>
        <w:ind w:left="840"/>
      </w:pPr>
      <w:r>
        <w:t>S0二进制值中含1的个数若为偶数，则将S0的最高位置为1，得到S1，即校验和中始终含奇数个1。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4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4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&gt;[JSON]&lt;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&gt;，当没有JSON字符串时可以不传送&lt;</w:t>
      </w:r>
      <w:r>
        <w:rPr>
          <w:b/>
        </w:rPr>
        <w:t>STX</w:t>
      </w:r>
      <w:r>
        <w:t>&gt;、&lt;</w:t>
      </w:r>
      <w:r>
        <w:rPr>
          <w:b/>
        </w:rPr>
        <w:t>ETX</w:t>
      </w:r>
      <w:r>
        <w:t>&gt;，如：&lt;</w:t>
      </w:r>
      <w:r>
        <w:rPr>
          <w:b/>
        </w:rPr>
        <w:t>ACK</w:t>
      </w:r>
      <w:r>
        <w:t>&gt;[chksum]&lt;</w:t>
      </w:r>
      <w:r>
        <w:rPr>
          <w:b/>
        </w:rPr>
        <w:t>EOT</w:t>
      </w:r>
      <w:r>
        <w:t>&gt;，因为没有字符串，故而chksum的值为1。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</w:t>
      </w:r>
    </w:p>
    <w:p>
      <w:pPr>
        <w:pStyle w:val="2"/>
      </w:pPr>
      <w:r>
        <w:t>强制指令</w:t>
      </w:r>
      <w:bookmarkStart w:id="1" w:name="_GoBack"/>
      <w:bookmarkEnd w:id="1"/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</w:t>
      </w:r>
    </w:p>
    <w:p>
      <w:pPr>
        <w:ind w:firstLine="419"/>
      </w:pPr>
      <w:r>
        <w:t>“ID”: “QN9ST8U001”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&gt;RequestFeatures&lt;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应答，没有具体要求，设备自行提供即可。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若从设备处于Standby状态，则返回&lt;ACK&gt;，否则返回JSON字串，并在Status键值中描述状态。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6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6"/>
        </w:numPr>
      </w:pPr>
      <w:r>
        <w:t>返回忙碌状态，</w:t>
      </w:r>
    </w:p>
    <w:p>
      <w:pPr>
        <w:numPr>
          <w:ilvl w:val="0"/>
          <w:numId w:val="6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2020年8月21日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9D26E2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5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6">
    <w:nsid w:val="AE5FE28C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7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7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7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7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7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7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7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7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7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151</TotalTime>
  <Application>Yozo_Office27021597764231179</Application>
  <Pages>5</Pages>
  <Words>1196</Words>
  <Characters>1996</Characters>
  <Lines>111</Lines>
  <Paragraphs>83</Paragraphs>
  <CharactersWithSpaces>2038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2020-08-21T05:41:02Z</dcterms:modified>
</cp:coreProperties>
</file>