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2AE" w:rsidRDefault="00E752AE" w:rsidP="00E752AE">
      <w:r>
        <w:t>NOTE STRATEGIQUE – OPTIMISATION DES PROCESSUS</w:t>
      </w:r>
    </w:p>
    <w:p w:rsidR="00E752AE" w:rsidRDefault="00E752AE" w:rsidP="00E752AE"/>
    <w:p w:rsidR="00E752AE" w:rsidRDefault="00E752AE" w:rsidP="00E752AE">
      <w:r>
        <w:t>1. Contexte</w:t>
      </w:r>
    </w:p>
    <w:p w:rsidR="00E752AE" w:rsidRDefault="00E752AE" w:rsidP="00E752AE">
      <w:r>
        <w:t>Dans un environnement académique simulé, l’optimisation des processus internes est essentielle pour garantir efficacité et cohérence.</w:t>
      </w:r>
    </w:p>
    <w:p w:rsidR="00E752AE" w:rsidRDefault="00E752AE" w:rsidP="00E752AE"/>
    <w:p w:rsidR="00E752AE" w:rsidRDefault="00E752AE" w:rsidP="00E752AE">
      <w:r>
        <w:t>2. Analyse</w:t>
      </w:r>
    </w:p>
    <w:p w:rsidR="00E752AE" w:rsidRDefault="00E752AE" w:rsidP="00E752AE">
      <w:r>
        <w:t>Les principaux axes d’amélioration identifiés sont :</w:t>
      </w:r>
    </w:p>
    <w:p w:rsidR="00E752AE" w:rsidRDefault="00E752AE" w:rsidP="00E752AE">
      <w:r>
        <w:t>- centralisation de l’information,</w:t>
      </w:r>
    </w:p>
    <w:p w:rsidR="00E752AE" w:rsidRDefault="00E752AE" w:rsidP="00E752AE">
      <w:r>
        <w:t>- réduction des délais de transmission,</w:t>
      </w:r>
    </w:p>
    <w:p w:rsidR="00E752AE" w:rsidRDefault="00E752AE" w:rsidP="00E752AE">
      <w:r>
        <w:t>- standardisation des rapports.</w:t>
      </w:r>
    </w:p>
    <w:p w:rsidR="00E752AE" w:rsidRDefault="00E752AE" w:rsidP="00E752AE"/>
    <w:p w:rsidR="00E752AE" w:rsidRDefault="00E752AE" w:rsidP="00E752AE">
      <w:r>
        <w:t>3. Recommandations</w:t>
      </w:r>
    </w:p>
    <w:p w:rsidR="00E752AE" w:rsidRDefault="00E752AE" w:rsidP="00E752AE">
      <w:r>
        <w:t>- Mise en place d’un système de suivi numérique.</w:t>
      </w:r>
    </w:p>
    <w:p w:rsidR="00E752AE" w:rsidRDefault="00E752AE" w:rsidP="00E752AE">
      <w:r>
        <w:t>- Structuration des comptes rendus.</w:t>
      </w:r>
    </w:p>
    <w:p w:rsidR="00E752AE" w:rsidRDefault="00E752AE" w:rsidP="00E752AE">
      <w:r>
        <w:t>- Clarification des chaînes de responsabilité.</w:t>
      </w:r>
    </w:p>
    <w:p w:rsidR="00E752AE" w:rsidRDefault="00E752AE" w:rsidP="00E752AE"/>
    <w:p w:rsidR="00E752AE" w:rsidRDefault="00E752AE" w:rsidP="00E752AE">
      <w:r>
        <w:t>4. Impact attendu</w:t>
      </w:r>
    </w:p>
    <w:p w:rsidR="00E752AE" w:rsidRDefault="00E752AE" w:rsidP="00E752AE">
      <w:r>
        <w:t>Une amélioration de la coordination et une meilleure anticipation des risques.</w:t>
      </w:r>
    </w:p>
    <w:p w:rsidR="00E752AE" w:rsidRDefault="00E752AE" w:rsidP="00E752AE"/>
    <w:p w:rsidR="00E752AE" w:rsidRDefault="00E752AE" w:rsidP="00E752AE">
      <w:r>
        <w:t>5. Conclusion</w:t>
      </w:r>
    </w:p>
    <w:p w:rsidR="00BC6059" w:rsidRDefault="00E752AE" w:rsidP="00E752AE">
      <w:r>
        <w:t>Une approche stratégique structurée renforce la performance globale.</w:t>
      </w:r>
      <w:bookmarkStart w:id="0" w:name="_GoBack"/>
      <w:bookmarkEnd w:id="0"/>
    </w:p>
    <w:sectPr w:rsidR="00BC60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5EB"/>
    <w:rsid w:val="00425E1F"/>
    <w:rsid w:val="00AD55EB"/>
    <w:rsid w:val="00C524C8"/>
    <w:rsid w:val="00E752AE"/>
    <w:rsid w:val="00FB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CD2A0C-B3DF-4B6E-B5C2-CAF9C3BEC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592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2026-02-13T16:02:00Z</dcterms:created>
  <dcterms:modified xsi:type="dcterms:W3CDTF">2026-02-13T16:02:00Z</dcterms:modified>
</cp:coreProperties>
</file>